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EE5" w:rsidRDefault="006A0EE5" w:rsidP="00503727">
      <w:pPr>
        <w:ind w:left="284" w:right="560" w:firstLine="425"/>
        <w:jc w:val="center"/>
        <w:rPr>
          <w:b/>
          <w:sz w:val="28"/>
        </w:rPr>
      </w:pPr>
      <w:r>
        <w:rPr>
          <w:b/>
          <w:sz w:val="28"/>
        </w:rPr>
        <w:t>MATERIALI AD USO DEGLI STUDENTI</w:t>
      </w:r>
    </w:p>
    <w:p w:rsidR="006A0EE5" w:rsidRDefault="006A0EE5" w:rsidP="00503727">
      <w:pPr>
        <w:ind w:left="284" w:right="560" w:firstLine="425"/>
        <w:jc w:val="center"/>
        <w:rPr>
          <w:b/>
          <w:sz w:val="28"/>
        </w:rPr>
      </w:pPr>
      <w:r>
        <w:rPr>
          <w:b/>
          <w:sz w:val="28"/>
        </w:rPr>
        <w:t>tratti da:</w:t>
      </w:r>
    </w:p>
    <w:p w:rsidR="006A0EE5" w:rsidRDefault="006A0EE5" w:rsidP="00503727">
      <w:pPr>
        <w:ind w:left="284" w:right="560" w:firstLine="425"/>
        <w:jc w:val="center"/>
        <w:rPr>
          <w:b/>
          <w:sz w:val="28"/>
        </w:rPr>
      </w:pPr>
      <w:r>
        <w:rPr>
          <w:b/>
          <w:sz w:val="28"/>
        </w:rPr>
        <w:t xml:space="preserve"> </w:t>
      </w:r>
    </w:p>
    <w:p w:rsidR="006A0EE5" w:rsidRPr="00B606FD" w:rsidRDefault="006A0EE5" w:rsidP="00503727">
      <w:pPr>
        <w:ind w:left="284" w:right="560" w:firstLine="425"/>
        <w:jc w:val="center"/>
        <w:rPr>
          <w:smallCaps/>
          <w:sz w:val="32"/>
          <w:szCs w:val="32"/>
        </w:rPr>
      </w:pPr>
      <w:r w:rsidRPr="00B606FD">
        <w:rPr>
          <w:smallCaps/>
          <w:sz w:val="32"/>
          <w:szCs w:val="32"/>
        </w:rPr>
        <w:t>Pietro Pellegrino</w:t>
      </w:r>
    </w:p>
    <w:p w:rsidR="006A0EE5" w:rsidRDefault="006A0EE5" w:rsidP="00503727">
      <w:pPr>
        <w:ind w:left="284" w:right="560" w:firstLine="425"/>
        <w:jc w:val="center"/>
        <w:rPr>
          <w:b/>
          <w:sz w:val="28"/>
        </w:rPr>
      </w:pPr>
    </w:p>
    <w:p w:rsidR="006A0EE5" w:rsidRPr="00B606FD" w:rsidRDefault="006A0EE5" w:rsidP="00503727">
      <w:pPr>
        <w:ind w:left="284" w:right="560" w:firstLine="425"/>
        <w:jc w:val="center"/>
        <w:rPr>
          <w:b/>
          <w:i/>
          <w:sz w:val="28"/>
        </w:rPr>
      </w:pPr>
      <w:r w:rsidRPr="00B606FD">
        <w:rPr>
          <w:b/>
          <w:i/>
          <w:sz w:val="28"/>
        </w:rPr>
        <w:t>MITI, FAVOLE, FIABE</w:t>
      </w:r>
    </w:p>
    <w:p w:rsidR="006A0EE5" w:rsidRPr="00B606FD" w:rsidRDefault="006A0EE5" w:rsidP="00503727">
      <w:pPr>
        <w:ind w:left="284" w:right="560" w:firstLine="425"/>
        <w:jc w:val="center"/>
        <w:rPr>
          <w:b/>
          <w:i/>
          <w:sz w:val="28"/>
        </w:rPr>
      </w:pPr>
      <w:r w:rsidRPr="00B606FD">
        <w:rPr>
          <w:b/>
          <w:i/>
          <w:sz w:val="28"/>
        </w:rPr>
        <w:t>Modelli alternativi di comunicazione giuridica tra prosa e poesia.</w:t>
      </w:r>
    </w:p>
    <w:p w:rsidR="006A0EE5" w:rsidRDefault="006A0EE5" w:rsidP="00503727">
      <w:pPr>
        <w:ind w:left="284" w:right="560" w:firstLine="425"/>
        <w:jc w:val="center"/>
        <w:rPr>
          <w:b/>
          <w:sz w:val="28"/>
        </w:rPr>
      </w:pPr>
      <w:r w:rsidRPr="00B606FD">
        <w:rPr>
          <w:b/>
          <w:i/>
          <w:sz w:val="28"/>
        </w:rPr>
        <w:t>Lezioni di narratologia del diritto</w:t>
      </w:r>
      <w:r>
        <w:rPr>
          <w:b/>
          <w:sz w:val="28"/>
        </w:rPr>
        <w:t>.</w:t>
      </w:r>
    </w:p>
    <w:p w:rsidR="009A2A48" w:rsidRDefault="009A2A48" w:rsidP="00503727">
      <w:pPr>
        <w:ind w:left="284" w:right="560" w:firstLine="425"/>
        <w:jc w:val="center"/>
        <w:rPr>
          <w:b/>
          <w:sz w:val="28"/>
        </w:rPr>
      </w:pPr>
    </w:p>
    <w:p w:rsidR="006A0EE5" w:rsidRPr="00B606FD" w:rsidRDefault="006A0EE5" w:rsidP="00503727">
      <w:pPr>
        <w:ind w:left="284" w:right="560" w:firstLine="425"/>
        <w:jc w:val="center"/>
        <w:rPr>
          <w:sz w:val="28"/>
        </w:rPr>
      </w:pPr>
      <w:r w:rsidRPr="00B606FD">
        <w:rPr>
          <w:sz w:val="28"/>
        </w:rPr>
        <w:t>Editore ARACNE</w:t>
      </w:r>
      <w:r w:rsidR="00B606FD">
        <w:rPr>
          <w:sz w:val="28"/>
        </w:rPr>
        <w:t>,</w:t>
      </w:r>
      <w:r w:rsidRPr="00B606FD">
        <w:rPr>
          <w:sz w:val="28"/>
        </w:rPr>
        <w:t xml:space="preserve"> Roma</w:t>
      </w:r>
      <w:r w:rsidR="00B606FD">
        <w:rPr>
          <w:sz w:val="28"/>
        </w:rPr>
        <w:t>,</w:t>
      </w:r>
      <w:r w:rsidRPr="00B606FD">
        <w:rPr>
          <w:sz w:val="28"/>
        </w:rPr>
        <w:t xml:space="preserve"> 2013</w:t>
      </w:r>
    </w:p>
    <w:p w:rsidR="006A0EE5" w:rsidRDefault="006A0EE5" w:rsidP="00503727">
      <w:pPr>
        <w:ind w:left="284" w:right="560" w:firstLine="425"/>
        <w:jc w:val="center"/>
        <w:rPr>
          <w:b/>
          <w:sz w:val="28"/>
        </w:rPr>
      </w:pPr>
    </w:p>
    <w:p w:rsidR="006A0EE5" w:rsidRDefault="006A0EE5" w:rsidP="00503727">
      <w:pPr>
        <w:ind w:left="284" w:right="560" w:firstLine="425"/>
        <w:jc w:val="center"/>
        <w:rPr>
          <w:b/>
          <w:sz w:val="28"/>
        </w:rPr>
      </w:pPr>
    </w:p>
    <w:p w:rsidR="00503727" w:rsidRPr="009A2A48" w:rsidRDefault="00503727" w:rsidP="00503727">
      <w:pPr>
        <w:ind w:left="284" w:right="560" w:firstLine="425"/>
        <w:jc w:val="center"/>
        <w:rPr>
          <w:b/>
          <w:sz w:val="28"/>
          <w:u w:val="single"/>
        </w:rPr>
      </w:pPr>
      <w:r w:rsidRPr="009A2A48">
        <w:rPr>
          <w:b/>
          <w:sz w:val="28"/>
          <w:u w:val="single"/>
        </w:rPr>
        <w:t>Diritto e narrazione. Etica, estetica, comunicazione</w:t>
      </w:r>
    </w:p>
    <w:p w:rsidR="00503727" w:rsidRPr="00392365" w:rsidRDefault="00503727" w:rsidP="00503727">
      <w:pPr>
        <w:ind w:left="284" w:right="560" w:firstLine="425"/>
        <w:jc w:val="center"/>
        <w:rPr>
          <w:b/>
          <w:sz w:val="28"/>
        </w:rPr>
      </w:pPr>
    </w:p>
    <w:p w:rsidR="00503727" w:rsidRPr="00BE68E7" w:rsidRDefault="00503727" w:rsidP="00503727">
      <w:pPr>
        <w:tabs>
          <w:tab w:val="left" w:pos="9356"/>
        </w:tabs>
        <w:ind w:left="284" w:right="276" w:firstLine="425"/>
        <w:jc w:val="both"/>
        <w:rPr>
          <w:sz w:val="28"/>
        </w:rPr>
      </w:pPr>
      <w:r w:rsidRPr="00BE68E7">
        <w:rPr>
          <w:sz w:val="28"/>
        </w:rPr>
        <w:t>La perdurante crisi</w:t>
      </w:r>
      <w:r w:rsidRPr="00BE68E7">
        <w:rPr>
          <w:rStyle w:val="Rimandonotaapidipagina"/>
          <w:sz w:val="28"/>
        </w:rPr>
        <w:footnoteReference w:id="1"/>
      </w:r>
      <w:r w:rsidRPr="00BE68E7">
        <w:rPr>
          <w:sz w:val="28"/>
        </w:rPr>
        <w:t xml:space="preserve"> del tradizionale sistema armonico di produzione e fruizione dei contesti normativi, questi ultimi sempre più ridotti, nel sentire comune, a semplici fatti di tecnica produttiva di proposizioni cogenti ancorché non sempre dotate di senso utile, impone inevitabilmente di allargare l’orizzonte di comprensione del </w:t>
      </w:r>
      <w:r w:rsidRPr="00BE68E7">
        <w:rPr>
          <w:i/>
          <w:sz w:val="28"/>
        </w:rPr>
        <w:t>giuridico</w:t>
      </w:r>
      <w:r w:rsidRPr="00BE68E7">
        <w:rPr>
          <w:sz w:val="28"/>
        </w:rPr>
        <w:t>.</w:t>
      </w:r>
    </w:p>
    <w:p w:rsidR="00503727" w:rsidRPr="00BE68E7" w:rsidRDefault="00503727" w:rsidP="00503727">
      <w:pPr>
        <w:tabs>
          <w:tab w:val="left" w:pos="9356"/>
        </w:tabs>
        <w:ind w:left="284" w:right="276" w:firstLine="425"/>
        <w:jc w:val="both"/>
        <w:rPr>
          <w:sz w:val="28"/>
        </w:rPr>
      </w:pPr>
      <w:r w:rsidRPr="00BE68E7">
        <w:rPr>
          <w:sz w:val="28"/>
        </w:rPr>
        <w:t>Pregio non trascurabile della rinnovata riflessione di filosofia del diritto in senso tradizionale, è quello di contribuire, proprio in questi anni segnati dall’irreversibile declino delle metodiche dottrinarie post-positivistiche e analitiche, alla rinnovata emersione di una speculazione forte che recuperi, nello scenario umanistico, le risposte di senso da opporre alle perturbazioni di un diritto inteso solo in quanto tecnica di controllo e omologazione</w:t>
      </w:r>
      <w:r w:rsidRPr="00BE68E7">
        <w:rPr>
          <w:rStyle w:val="Rimandonotaapidipagina"/>
          <w:sz w:val="28"/>
        </w:rPr>
        <w:footnoteReference w:id="2"/>
      </w:r>
      <w:r w:rsidRPr="00BE68E7">
        <w:rPr>
          <w:sz w:val="28"/>
        </w:rPr>
        <w:t>.</w:t>
      </w:r>
    </w:p>
    <w:p w:rsidR="00503727" w:rsidRPr="00BE68E7" w:rsidRDefault="00503727" w:rsidP="00503727">
      <w:pPr>
        <w:ind w:left="284" w:right="276" w:firstLine="425"/>
        <w:jc w:val="both"/>
        <w:rPr>
          <w:sz w:val="28"/>
        </w:rPr>
      </w:pPr>
      <w:r w:rsidRPr="00BE68E7">
        <w:rPr>
          <w:sz w:val="28"/>
        </w:rPr>
        <w:lastRenderedPageBreak/>
        <w:t>Oggi più che mai, si propongono come plausibili argini a questo parossismo di straniamento del mondo del diritto, tutti gli approcci di interpretazione del fenomeno giuridico che recuperino il suo intrinseco contenuto dialogico e valoriale, esaltandone la primaria funzione comunicativa, di promozione e di crescita</w:t>
      </w:r>
      <w:r w:rsidRPr="00BE68E7">
        <w:rPr>
          <w:rStyle w:val="Rimandonotaapidipagina"/>
          <w:sz w:val="28"/>
        </w:rPr>
        <w:footnoteReference w:id="3"/>
      </w:r>
      <w:r w:rsidRPr="00BE68E7">
        <w:rPr>
          <w:sz w:val="28"/>
        </w:rPr>
        <w:t>.</w:t>
      </w:r>
    </w:p>
    <w:p w:rsidR="00503727" w:rsidRPr="00BE68E7" w:rsidRDefault="00503727" w:rsidP="00503727">
      <w:pPr>
        <w:ind w:left="284" w:right="276" w:firstLine="425"/>
        <w:jc w:val="both"/>
        <w:rPr>
          <w:sz w:val="28"/>
        </w:rPr>
      </w:pPr>
      <w:r w:rsidRPr="00BE68E7">
        <w:rPr>
          <w:sz w:val="28"/>
        </w:rPr>
        <w:t xml:space="preserve">Del resto, non può certo mettersi in discussione che tra le funzioni usualmente e storicamente associate al mondo delle relazioni giuridiche vi sia, e in posizione preminente almeno a far data dall’affermarsi delle dottrine ottocentesche in tema di categorizzazione e sviluppo dei diritti soggettivi </w:t>
      </w:r>
      <w:r w:rsidRPr="00BE68E7">
        <w:rPr>
          <w:sz w:val="28"/>
        </w:rPr>
        <w:lastRenderedPageBreak/>
        <w:t>pubblici e privati, quella della promozione e del miglioramento delle condizioni di equilibrio degli ambiti sociali e locali di riferimento.</w:t>
      </w:r>
    </w:p>
    <w:p w:rsidR="00503727" w:rsidRPr="00A5732C" w:rsidRDefault="00503727" w:rsidP="00503727">
      <w:pPr>
        <w:ind w:left="284" w:right="276" w:firstLine="425"/>
        <w:jc w:val="both"/>
        <w:rPr>
          <w:sz w:val="28"/>
        </w:rPr>
      </w:pPr>
      <w:r w:rsidRPr="00A5732C">
        <w:rPr>
          <w:sz w:val="28"/>
        </w:rPr>
        <w:t>La squillante voce di Jurgen Habermas, nello sviluppo della propria dottrina filosofica ed etico-giuridica dell’</w:t>
      </w:r>
      <w:r w:rsidRPr="00A5732C">
        <w:rPr>
          <w:i/>
          <w:sz w:val="28"/>
        </w:rPr>
        <w:t>agire comunicativo</w:t>
      </w:r>
      <w:r w:rsidRPr="00A5732C">
        <w:rPr>
          <w:sz w:val="28"/>
        </w:rPr>
        <w:t xml:space="preserve">, ha condivisibilmente definito il diritto, non a caso, come una particolare forma di comunicazione di valori condivisi </w:t>
      </w:r>
      <w:r w:rsidRPr="00A5732C">
        <w:rPr>
          <w:i/>
          <w:sz w:val="28"/>
        </w:rPr>
        <w:t>a priori</w:t>
      </w:r>
      <w:r w:rsidRPr="00A5732C">
        <w:rPr>
          <w:sz w:val="28"/>
        </w:rPr>
        <w:t>, pervenendo alla conclusione che le pretese universalistiche implicite nei sistemi giuridici convergono in un nucleo di intuizioni morali da interpretare in termini di eguale rispetto di ciascuno, di eguale rispetto per l’integrità, bisognosa di protezione, di ogni persona e per la fragile intersoggettività di tutte le forme di vita…”</w:t>
      </w:r>
      <w:r w:rsidRPr="00A5732C">
        <w:rPr>
          <w:rStyle w:val="Rimandonotaapidipagina"/>
          <w:sz w:val="28"/>
        </w:rPr>
        <w:footnoteReference w:id="4"/>
      </w:r>
      <w:r w:rsidRPr="00A5732C">
        <w:rPr>
          <w:sz w:val="28"/>
        </w:rPr>
        <w:t>.</w:t>
      </w:r>
    </w:p>
    <w:p w:rsidR="00503727" w:rsidRPr="00A5732C" w:rsidRDefault="00503727" w:rsidP="00503727">
      <w:pPr>
        <w:ind w:left="284" w:right="276" w:firstLine="425"/>
        <w:jc w:val="both"/>
        <w:rPr>
          <w:sz w:val="28"/>
        </w:rPr>
      </w:pPr>
      <w:r w:rsidRPr="00A5732C">
        <w:rPr>
          <w:sz w:val="28"/>
        </w:rPr>
        <w:t>Entro questi limiti, i canoni d’interpretazione del diritto che fondino la loro stessa attitudine chiarificatrice su basi diverse da quelle di una mera attività specialistica vincolata da principi e regole esegetiche e analitiche, sono sicuramente più duttili e meglio possono conformarsi ad una lettura umanisticamente orientata del fenomeno giuridico</w:t>
      </w:r>
      <w:r w:rsidRPr="00A5732C">
        <w:rPr>
          <w:rStyle w:val="Rimandonotaapidipagina"/>
          <w:sz w:val="28"/>
        </w:rPr>
        <w:footnoteReference w:id="5"/>
      </w:r>
      <w:r w:rsidRPr="00A5732C">
        <w:rPr>
          <w:sz w:val="28"/>
        </w:rPr>
        <w:t>.</w:t>
      </w:r>
    </w:p>
    <w:p w:rsidR="00503727" w:rsidRPr="00A5732C" w:rsidRDefault="00503727" w:rsidP="00503727">
      <w:pPr>
        <w:ind w:left="284" w:right="276" w:firstLine="425"/>
        <w:jc w:val="both"/>
        <w:rPr>
          <w:sz w:val="28"/>
        </w:rPr>
      </w:pPr>
      <w:r w:rsidRPr="00A5732C">
        <w:rPr>
          <w:sz w:val="28"/>
        </w:rPr>
        <w:t>Se il diritto ha ragione di essere in quanto comunichi e promuova determinati valori condivisi o largamente condivisibili, è naturale che l’operazione mediante la quale si pretenda di interpretarlo, dall’esterno come dall’interno, debba tenere conto di questa intrinseca capacità dialogica</w:t>
      </w:r>
      <w:r w:rsidRPr="00A5732C">
        <w:rPr>
          <w:rStyle w:val="Rimandonotaapidipagina"/>
          <w:sz w:val="28"/>
        </w:rPr>
        <w:footnoteReference w:id="6"/>
      </w:r>
      <w:r w:rsidRPr="00A5732C">
        <w:rPr>
          <w:sz w:val="28"/>
        </w:rPr>
        <w:t>.</w:t>
      </w:r>
    </w:p>
    <w:p w:rsidR="00503727" w:rsidRPr="00A5732C" w:rsidRDefault="00503727" w:rsidP="00503727">
      <w:pPr>
        <w:ind w:left="284" w:right="276" w:firstLine="425"/>
        <w:jc w:val="both"/>
        <w:rPr>
          <w:sz w:val="28"/>
        </w:rPr>
      </w:pPr>
      <w:r w:rsidRPr="00A5732C">
        <w:rPr>
          <w:sz w:val="28"/>
        </w:rPr>
        <w:t>La relazione tra soggetti che disputino tra di loro per convivere e crescere partecipa dei caratteri, nello stesso tempo, del rapporto giuridico e del contatto comunicativo; l’uomo è allora, per certi versi, il testo stesso del diritto della contemporaneità; anzi, se non lo è ancora del tutto è comunque legittima l’aspirazione a che questa identificazione si compia definitivamente al più presto.</w:t>
      </w:r>
    </w:p>
    <w:p w:rsidR="00503727" w:rsidRPr="00A5732C" w:rsidRDefault="00503727" w:rsidP="00503727">
      <w:pPr>
        <w:ind w:left="284" w:right="276" w:firstLine="425"/>
        <w:jc w:val="both"/>
        <w:rPr>
          <w:sz w:val="28"/>
        </w:rPr>
      </w:pPr>
      <w:r w:rsidRPr="00F92F65">
        <w:rPr>
          <w:i/>
          <w:sz w:val="28"/>
        </w:rPr>
        <w:t>Diritto</w:t>
      </w:r>
      <w:r w:rsidRPr="00A5732C">
        <w:rPr>
          <w:sz w:val="28"/>
        </w:rPr>
        <w:t xml:space="preserve"> e </w:t>
      </w:r>
      <w:r w:rsidRPr="00F92F65">
        <w:rPr>
          <w:i/>
          <w:sz w:val="28"/>
        </w:rPr>
        <w:t>persona</w:t>
      </w:r>
      <w:r w:rsidRPr="00A5732C">
        <w:rPr>
          <w:sz w:val="28"/>
        </w:rPr>
        <w:t>, almeno in questa prospettiva, sono la stessa cosa, e la lezione della grande tradizione della metafisica giuridica italiana di Antonio Rosmini</w:t>
      </w:r>
      <w:r w:rsidRPr="00A5732C">
        <w:rPr>
          <w:rStyle w:val="Rimandonotaapidipagina"/>
          <w:sz w:val="28"/>
        </w:rPr>
        <w:footnoteReference w:id="7"/>
      </w:r>
      <w:r w:rsidRPr="00A5732C">
        <w:rPr>
          <w:sz w:val="28"/>
        </w:rPr>
        <w:t xml:space="preserve"> o più recentemente di Giuseppe Capograssi</w:t>
      </w:r>
      <w:r w:rsidRPr="00A5732C">
        <w:rPr>
          <w:rStyle w:val="Rimandonotaapidipagina"/>
          <w:sz w:val="28"/>
        </w:rPr>
        <w:footnoteReference w:id="8"/>
      </w:r>
      <w:r w:rsidRPr="00A5732C">
        <w:rPr>
          <w:sz w:val="28"/>
        </w:rPr>
        <w:t>, pare quanto mai appropriata.</w:t>
      </w:r>
    </w:p>
    <w:p w:rsidR="00503727" w:rsidRPr="00F92F65" w:rsidRDefault="00503727" w:rsidP="00503727">
      <w:pPr>
        <w:ind w:left="284" w:right="276" w:firstLine="425"/>
        <w:jc w:val="both"/>
        <w:rPr>
          <w:sz w:val="28"/>
        </w:rPr>
      </w:pPr>
      <w:r w:rsidRPr="00F92F65">
        <w:rPr>
          <w:sz w:val="28"/>
        </w:rPr>
        <w:lastRenderedPageBreak/>
        <w:t>Fisiologica conseguenza di un’impostazione che tocchi queste corde è il rigetto di una concezione dei fenomeni giuridici che confini la cifra stessa del diritto nella norma e/o nella produzione di norme oltre che nella verifica delle condizioni per l’irrogazione di sanzioni in caso di trasgressione alle regole date.</w:t>
      </w:r>
    </w:p>
    <w:p w:rsidR="00503727" w:rsidRPr="00F92F65" w:rsidRDefault="00503727" w:rsidP="00503727">
      <w:pPr>
        <w:ind w:left="284" w:right="276" w:firstLine="425"/>
        <w:jc w:val="both"/>
        <w:rPr>
          <w:sz w:val="28"/>
        </w:rPr>
      </w:pPr>
      <w:r w:rsidRPr="00F92F65">
        <w:rPr>
          <w:sz w:val="28"/>
        </w:rPr>
        <w:t xml:space="preserve">Questa che pare un’ovvietà è invece spesso considerata un’eresia dai molti che ancora confidano, nonostante i segni della sua difficoltà siano sotto gli occhi di tutti, nelle </w:t>
      </w:r>
      <w:r w:rsidRPr="000F53F2">
        <w:rPr>
          <w:i/>
          <w:sz w:val="28"/>
        </w:rPr>
        <w:t>malìe</w:t>
      </w:r>
      <w:r w:rsidRPr="00F92F65">
        <w:rPr>
          <w:sz w:val="28"/>
        </w:rPr>
        <w:t xml:space="preserve"> del positivismo giuridico e del post-positivismo analitico di tipo logico-simbolico</w:t>
      </w:r>
      <w:r w:rsidRPr="00F92F65">
        <w:rPr>
          <w:rStyle w:val="Rimandonotaapidipagina"/>
          <w:sz w:val="28"/>
        </w:rPr>
        <w:footnoteReference w:id="9"/>
      </w:r>
      <w:r w:rsidRPr="00F92F65">
        <w:rPr>
          <w:sz w:val="28"/>
        </w:rPr>
        <w:t>.</w:t>
      </w:r>
    </w:p>
    <w:p w:rsidR="00503727" w:rsidRPr="00F92F65" w:rsidRDefault="00503727" w:rsidP="00503727">
      <w:pPr>
        <w:ind w:left="284" w:right="276" w:firstLine="425"/>
        <w:jc w:val="both"/>
        <w:rPr>
          <w:sz w:val="28"/>
        </w:rPr>
      </w:pPr>
      <w:r w:rsidRPr="00F92F65">
        <w:rPr>
          <w:sz w:val="28"/>
        </w:rPr>
        <w:t xml:space="preserve">Se il diritto è la persona, esattamente come la persona il diritto </w:t>
      </w:r>
      <w:r w:rsidRPr="00AA73F5">
        <w:rPr>
          <w:i/>
          <w:sz w:val="28"/>
        </w:rPr>
        <w:t>vive</w:t>
      </w:r>
      <w:r w:rsidRPr="00F92F65">
        <w:rPr>
          <w:sz w:val="28"/>
        </w:rPr>
        <w:t xml:space="preserve">, </w:t>
      </w:r>
      <w:r w:rsidRPr="00AA73F5">
        <w:rPr>
          <w:i/>
          <w:sz w:val="28"/>
        </w:rPr>
        <w:t>comunica</w:t>
      </w:r>
      <w:r w:rsidRPr="00F92F65">
        <w:rPr>
          <w:sz w:val="28"/>
        </w:rPr>
        <w:t xml:space="preserve">, </w:t>
      </w:r>
      <w:r w:rsidRPr="00AA73F5">
        <w:rPr>
          <w:i/>
          <w:sz w:val="28"/>
        </w:rPr>
        <w:t>sbaglia</w:t>
      </w:r>
      <w:r w:rsidRPr="00F92F65">
        <w:rPr>
          <w:sz w:val="28"/>
        </w:rPr>
        <w:t xml:space="preserve"> o </w:t>
      </w:r>
      <w:r w:rsidRPr="00AA73F5">
        <w:rPr>
          <w:i/>
          <w:sz w:val="28"/>
        </w:rPr>
        <w:t>indovina</w:t>
      </w:r>
      <w:r w:rsidRPr="00F92F65">
        <w:rPr>
          <w:sz w:val="28"/>
        </w:rPr>
        <w:t xml:space="preserve">, </w:t>
      </w:r>
      <w:r w:rsidRPr="00AA73F5">
        <w:rPr>
          <w:i/>
          <w:sz w:val="28"/>
        </w:rPr>
        <w:t>abbellisce</w:t>
      </w:r>
      <w:r w:rsidRPr="00F92F65">
        <w:rPr>
          <w:sz w:val="28"/>
        </w:rPr>
        <w:t xml:space="preserve"> o </w:t>
      </w:r>
      <w:r w:rsidRPr="00AA73F5">
        <w:rPr>
          <w:i/>
          <w:sz w:val="28"/>
        </w:rPr>
        <w:t>mortifica</w:t>
      </w:r>
      <w:r w:rsidRPr="00F92F65">
        <w:rPr>
          <w:sz w:val="28"/>
        </w:rPr>
        <w:t>, soprattutto esso si lascia catturare e comprendere solo in un’ottica ampia e variegata che, definitivamente messa da parte la banalizzazione norma/sanzione, compartecipi piuttosto di tutte quelle che sono le reali componenti dell’umanità in sé.</w:t>
      </w:r>
    </w:p>
    <w:p w:rsidR="00503727" w:rsidRPr="000F53F2" w:rsidRDefault="00503727" w:rsidP="00503727">
      <w:pPr>
        <w:ind w:left="284" w:right="276" w:firstLine="425"/>
        <w:jc w:val="both"/>
        <w:rPr>
          <w:sz w:val="28"/>
        </w:rPr>
      </w:pPr>
      <w:r w:rsidRPr="00F92F65">
        <w:rPr>
          <w:sz w:val="28"/>
        </w:rPr>
        <w:t>Sensibilità, giustizia comunicativa, bellezza, tradizione, ove applicate al diritto</w:t>
      </w:r>
      <w:r w:rsidRPr="000F53F2">
        <w:rPr>
          <w:sz w:val="28"/>
        </w:rPr>
        <w:t>, rivendicano la necessità di individuare una nuova direzione di ricerca giuridica, che immancabilmente leghi la percepibilità della realtà effettiva dell’uomo alla forma diacronica di manifestazione della concretezza del fenomenismo regolativo e giurisdizionale nel tempo e nello spazio</w:t>
      </w:r>
      <w:r w:rsidRPr="000F53F2">
        <w:rPr>
          <w:rStyle w:val="Rimandonotaapidipagina"/>
          <w:sz w:val="28"/>
        </w:rPr>
        <w:footnoteReference w:id="10"/>
      </w:r>
      <w:r w:rsidRPr="000F53F2">
        <w:rPr>
          <w:sz w:val="28"/>
        </w:rPr>
        <w:t>.</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t xml:space="preserve">Tra fatto (dimensione esistenziale della realtà, </w:t>
      </w:r>
      <w:r w:rsidRPr="00A5732C">
        <w:rPr>
          <w:rFonts w:eastAsia="AppleGothic"/>
          <w:i/>
          <w:sz w:val="28"/>
          <w:lang w:eastAsia="ko-KR"/>
        </w:rPr>
        <w:t>regno dell’essere</w:t>
      </w:r>
      <w:r w:rsidRPr="00A5732C">
        <w:rPr>
          <w:rFonts w:eastAsia="AppleGothic"/>
          <w:sz w:val="28"/>
          <w:lang w:eastAsia="ko-KR"/>
        </w:rPr>
        <w:t>) e prescrizione normativa (dimensione del giuridico,</w:t>
      </w:r>
      <w:r w:rsidRPr="00A5732C">
        <w:rPr>
          <w:rFonts w:eastAsia="AppleGothic"/>
          <w:i/>
          <w:sz w:val="28"/>
          <w:lang w:eastAsia="ko-KR"/>
        </w:rPr>
        <w:t xml:space="preserve"> regno del dover essere </w:t>
      </w:r>
      <w:r w:rsidRPr="00A5732C">
        <w:rPr>
          <w:rFonts w:eastAsia="AppleGothic"/>
          <w:sz w:val="28"/>
          <w:lang w:eastAsia="ko-KR"/>
        </w:rPr>
        <w:t xml:space="preserve">che presidia l’obbligo cui prestare ossequio), si pone allora, soprattutto nella coscienza e nel senso comuni, una terza area, il campo della narrazione (del racconto, della relazione tra soggetti accomunati da comune </w:t>
      </w:r>
      <w:r w:rsidRPr="00A5732C">
        <w:rPr>
          <w:rFonts w:eastAsia="AppleGothic"/>
          <w:i/>
          <w:sz w:val="28"/>
          <w:lang w:eastAsia="ko-KR"/>
        </w:rPr>
        <w:t>pathos</w:t>
      </w:r>
      <w:r w:rsidRPr="00A5732C">
        <w:rPr>
          <w:rFonts w:eastAsia="AppleGothic"/>
          <w:sz w:val="28"/>
          <w:lang w:eastAsia="ko-KR"/>
        </w:rPr>
        <w:t xml:space="preserve"> e che, per ciò, si riconoscono: il </w:t>
      </w:r>
      <w:r w:rsidRPr="00A5732C">
        <w:rPr>
          <w:rFonts w:eastAsia="AppleGothic"/>
          <w:i/>
          <w:sz w:val="28"/>
          <w:lang w:eastAsia="ko-KR"/>
        </w:rPr>
        <w:t>regno del poter essere</w:t>
      </w:r>
      <w:r w:rsidRPr="00A5732C">
        <w:rPr>
          <w:rFonts w:eastAsia="AppleGothic"/>
          <w:sz w:val="28"/>
          <w:lang w:eastAsia="ko-KR"/>
        </w:rPr>
        <w:t xml:space="preserve">, di ciò che è ragionevole, gratificante ed è </w:t>
      </w:r>
      <w:r w:rsidRPr="00A5732C">
        <w:rPr>
          <w:rFonts w:eastAsia="AppleGothic"/>
          <w:i/>
          <w:sz w:val="28"/>
          <w:lang w:eastAsia="ko-KR"/>
        </w:rPr>
        <w:t>possibile</w:t>
      </w:r>
      <w:r w:rsidRPr="00A5732C">
        <w:rPr>
          <w:rFonts w:eastAsia="AppleGothic"/>
          <w:sz w:val="28"/>
          <w:lang w:eastAsia="ko-KR"/>
        </w:rPr>
        <w:t xml:space="preserve"> che sia previsto e consentito dalla norma e dalla sua interpretazione comunitaria)</w:t>
      </w:r>
      <w:r w:rsidRPr="00A5732C">
        <w:rPr>
          <w:rStyle w:val="Rimandonotaapidipagina"/>
          <w:rFonts w:eastAsia="AppleGothic"/>
          <w:sz w:val="28"/>
          <w:lang w:eastAsia="ko-KR"/>
        </w:rPr>
        <w:footnoteReference w:id="11"/>
      </w:r>
      <w:r w:rsidRPr="00A5732C">
        <w:rPr>
          <w:rFonts w:eastAsia="AppleGothic"/>
          <w:sz w:val="28"/>
          <w:lang w:eastAsia="ko-KR"/>
        </w:rPr>
        <w:t xml:space="preserve">. </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lastRenderedPageBreak/>
        <w:t xml:space="preserve">In questo senso la relazione tra giuridicità e narratività è intrinseca e gode di reciproca compenetrazione. </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t>I precetti ed i princìpi giuridici prodotti dalle varie forme di narrazione delle singole comunità sociali sono forme di comunicazione, una volta, almeno, che abbiano ottenuto il riconoscimento da parte della Società, dello Stato o comunque del Potere normativo relativo</w:t>
      </w:r>
      <w:r w:rsidRPr="00A5732C">
        <w:rPr>
          <w:rStyle w:val="Rimandonotaapidipagina"/>
          <w:rFonts w:eastAsia="AppleGothic"/>
          <w:sz w:val="28"/>
          <w:lang w:eastAsia="ko-KR"/>
        </w:rPr>
        <w:footnoteReference w:id="12"/>
      </w:r>
      <w:r w:rsidRPr="00A5732C">
        <w:rPr>
          <w:rFonts w:eastAsia="AppleGothic"/>
          <w:sz w:val="28"/>
          <w:lang w:eastAsia="ko-KR"/>
        </w:rPr>
        <w:t>.</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lastRenderedPageBreak/>
        <w:t>Non deve allora affatto stupire, in ragione di tutto ciò, che nella storia della cultura universale, aree solo in apparenza distantissime tra loro, come il diritto, la poesia, la letteratura, l’estetica in genere, in quanto momenti di crescita relazionale, comunicativa ed anche sentimentale del genere umano, si siano toccate tanto e siano, in quanto pratiche accomunate dalla discorsività valoriale, finalmente oggetto, soprattutto, di quello specifico interesse in cui si inserisce anche questo corso di lezioni</w:t>
      </w:r>
      <w:r w:rsidRPr="00A5732C">
        <w:rPr>
          <w:rStyle w:val="Rimandonotaapidipagina"/>
          <w:rFonts w:eastAsia="AppleGothic"/>
          <w:sz w:val="28"/>
          <w:lang w:eastAsia="ko-KR"/>
        </w:rPr>
        <w:footnoteReference w:id="13"/>
      </w:r>
      <w:r w:rsidRPr="00A5732C">
        <w:rPr>
          <w:rFonts w:eastAsia="AppleGothic"/>
          <w:sz w:val="28"/>
          <w:lang w:eastAsia="ko-KR"/>
        </w:rPr>
        <w:t>.</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lastRenderedPageBreak/>
        <w:t>Formulare in questa sede introduttiva una panoramica storica delle coordinate di questi rapporti, sarebbe pretenzioso: se ne parlerà meglio nel prosieguo della trattazione.</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t>Alcuni cenni, alcune pennellate iniziali, vanno tuttavia fatti per aiutare a rendere l’idea del percorso ermeneutico che si vuole provare a seguire.</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t>Può essere interessante notare, per esempio, come le istanze fin ora proposte non siano storicamente affatto nuove.</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t xml:space="preserve"> Già nel primo Medioevo, intorno cioè al secolo XI, circolava in Germania una pregevole opera letteraria di autore anonimo, che in forma poetica si prefiggeva di tratteggiare, perché se ne favorisse la divulgazione orale in funzione di didattica morale, </w:t>
      </w:r>
      <w:r w:rsidRPr="00A5732C">
        <w:rPr>
          <w:rFonts w:eastAsia="AppleGothic"/>
          <w:i/>
          <w:sz w:val="28"/>
          <w:lang w:eastAsia="ko-KR"/>
        </w:rPr>
        <w:t>i caratteri del diritto</w:t>
      </w:r>
      <w:r w:rsidRPr="00A5732C">
        <w:rPr>
          <w:rFonts w:eastAsia="AppleGothic"/>
          <w:sz w:val="28"/>
          <w:lang w:eastAsia="ko-KR"/>
        </w:rPr>
        <w:t>, soggettivo ed oggettivo, nella prospettiva di un universale ordine del mondo, adatto alla vita dell’uomo ed alle sue possibilità di comprensione.</w:t>
      </w:r>
    </w:p>
    <w:p w:rsidR="00503727" w:rsidRPr="00A5732C" w:rsidRDefault="00503727" w:rsidP="00503727">
      <w:pPr>
        <w:ind w:left="284" w:right="276" w:firstLine="425"/>
        <w:jc w:val="both"/>
        <w:rPr>
          <w:rFonts w:eastAsia="AppleGothic"/>
          <w:sz w:val="28"/>
          <w:lang w:eastAsia="ko-KR"/>
        </w:rPr>
      </w:pPr>
      <w:r w:rsidRPr="00A5732C">
        <w:rPr>
          <w:rFonts w:eastAsia="AppleGothic"/>
          <w:sz w:val="28"/>
          <w:lang w:eastAsia="ko-KR"/>
        </w:rPr>
        <w:t xml:space="preserve">Ci si riferisce al poema </w:t>
      </w:r>
      <w:r w:rsidRPr="00A5732C">
        <w:rPr>
          <w:rFonts w:eastAsia="AppleGothic"/>
          <w:i/>
          <w:sz w:val="28"/>
          <w:lang w:eastAsia="ko-KR"/>
        </w:rPr>
        <w:t>Vom Rechte</w:t>
      </w:r>
      <w:r w:rsidRPr="00A82673">
        <w:rPr>
          <w:rStyle w:val="Rimandonotaapidipagina"/>
          <w:rFonts w:eastAsia="AppleGothic"/>
          <w:sz w:val="28"/>
          <w:lang w:eastAsia="ko-KR"/>
        </w:rPr>
        <w:footnoteReference w:id="14"/>
      </w:r>
      <w:r w:rsidRPr="00A5732C">
        <w:rPr>
          <w:rFonts w:eastAsia="AppleGothic"/>
          <w:sz w:val="28"/>
          <w:lang w:eastAsia="ko-KR"/>
        </w:rPr>
        <w:t>, che in un’articolata trama di allegorie bibliche e riferimenti popolari utili a fissare la memoria e focalizzare l’attenzione e la meditazione, delineava, con stilemi veramente innovativi, una nuova concezione di opera poetica e didascalico-giuridica ad un tempo, ancorata al contesto sociale dell’epoca ed alla situazione esistenziale dei lettori e degli ascoltatori di quei versi: uomini e donne certamente interessati, per la temperie millenaria di quei decenni, ad apprendere che:</w:t>
      </w:r>
    </w:p>
    <w:p w:rsidR="00503727" w:rsidRPr="00A5732C" w:rsidRDefault="00503727" w:rsidP="00503727">
      <w:pPr>
        <w:ind w:left="284" w:right="276" w:firstLine="425"/>
        <w:jc w:val="center"/>
        <w:rPr>
          <w:rFonts w:eastAsia="AppleGothic"/>
          <w:i/>
          <w:sz w:val="28"/>
          <w:lang w:eastAsia="ko-KR"/>
        </w:rPr>
      </w:pP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Del diritto molte son le forme</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Ma tre le contengon tutte quante.</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Un primo diritto sono i vincoli di fedeltà</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con i quali vivere dobbiamo.</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Un secondo diritto è siffatto:</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che quanto per noi stessi aver vogliamo</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l’un all’altro conceder lo dovremmo,</w:t>
      </w:r>
    </w:p>
    <w:p w:rsidR="00503727" w:rsidRPr="00143094" w:rsidRDefault="00503727" w:rsidP="00503727">
      <w:pPr>
        <w:ind w:left="284" w:right="276" w:firstLine="425"/>
        <w:jc w:val="center"/>
        <w:rPr>
          <w:rFonts w:eastAsia="AppleGothic"/>
          <w:i/>
          <w:lang w:eastAsia="ko-KR"/>
        </w:rPr>
      </w:pPr>
      <w:r w:rsidRPr="00143094">
        <w:rPr>
          <w:rFonts w:eastAsia="AppleGothic"/>
          <w:lang w:eastAsia="ko-KR"/>
        </w:rPr>
        <w:t>se da cristiani vivere volessimo</w:t>
      </w:r>
      <w:r w:rsidRPr="00143094">
        <w:rPr>
          <w:rFonts w:eastAsia="AppleGothic"/>
          <w:i/>
          <w:lang w:eastAsia="ko-KR"/>
        </w:rPr>
        <w:t>.</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Chi osservi questi tre diritti,</w:t>
      </w:r>
    </w:p>
    <w:p w:rsidR="00503727" w:rsidRPr="00143094" w:rsidRDefault="00503727" w:rsidP="00503727">
      <w:pPr>
        <w:ind w:left="284" w:right="276" w:firstLine="425"/>
        <w:jc w:val="center"/>
        <w:rPr>
          <w:rFonts w:eastAsia="AppleGothic"/>
          <w:lang w:eastAsia="ko-KR"/>
        </w:rPr>
      </w:pPr>
      <w:r w:rsidRPr="00143094">
        <w:rPr>
          <w:rFonts w:eastAsia="AppleGothic"/>
          <w:lang w:eastAsia="ko-KR"/>
        </w:rPr>
        <w:t>dalla rovina Dio lo salverà.</w:t>
      </w:r>
    </w:p>
    <w:p w:rsidR="00503727" w:rsidRPr="00A5732C" w:rsidRDefault="00503727" w:rsidP="00503727">
      <w:pPr>
        <w:ind w:left="284" w:right="276" w:firstLine="425"/>
        <w:jc w:val="both"/>
        <w:rPr>
          <w:rFonts w:eastAsia="AppleGothic"/>
          <w:sz w:val="28"/>
          <w:lang w:eastAsia="ko-KR"/>
        </w:rPr>
      </w:pPr>
    </w:p>
    <w:p w:rsidR="00503727" w:rsidRPr="000F53F2" w:rsidRDefault="00503727" w:rsidP="00503727">
      <w:pPr>
        <w:ind w:left="284" w:right="276" w:firstLine="425"/>
        <w:jc w:val="both"/>
        <w:rPr>
          <w:rFonts w:eastAsia="AppleGothic"/>
          <w:sz w:val="28"/>
          <w:lang w:eastAsia="ko-KR"/>
        </w:rPr>
      </w:pPr>
      <w:r w:rsidRPr="000F53F2">
        <w:rPr>
          <w:rFonts w:eastAsia="AppleGothic"/>
          <w:sz w:val="28"/>
          <w:lang w:eastAsia="ko-KR"/>
        </w:rPr>
        <w:lastRenderedPageBreak/>
        <w:t>In questo modo, meglio che con i possibili insegnamenti di una rigida precettistica, veniva offerta a quegli antichi fruitori una prima presa di dimestichezza con la sfaccettature narrative, etiche ed estetiche del diritto degli uomini, e si anticipava la consapevolezza, che nove secoli dopo Martha C. Nussbaum avrebbe fatto propria parlando di Walt Whitman (1819-1992) e delle sue liriche fondative della cultura civile americana contemporanea, che sia proprio il poeta e non il teologo o il giurista l’uomo equanime della modernità, capace di formulare il giudizio razionale necessario ad una società equilibrata e democratica</w:t>
      </w:r>
      <w:r w:rsidRPr="000F53F2">
        <w:rPr>
          <w:rStyle w:val="Rimandonotaapidipagina"/>
          <w:rFonts w:eastAsia="AppleGothic"/>
          <w:sz w:val="28"/>
          <w:lang w:eastAsia="ko-KR"/>
        </w:rPr>
        <w:footnoteReference w:id="15"/>
      </w:r>
      <w:r w:rsidRPr="000F53F2">
        <w:rPr>
          <w:rFonts w:eastAsia="AppleGothic"/>
          <w:sz w:val="28"/>
          <w:lang w:eastAsia="ko-KR"/>
        </w:rPr>
        <w:t>.</w:t>
      </w:r>
    </w:p>
    <w:p w:rsidR="006A0EE5" w:rsidRDefault="006A0EE5" w:rsidP="00D34104">
      <w:pPr>
        <w:ind w:left="284" w:right="276" w:firstLine="425"/>
        <w:jc w:val="center"/>
        <w:rPr>
          <w:sz w:val="28"/>
        </w:rPr>
      </w:pPr>
    </w:p>
    <w:p w:rsidR="00D34104" w:rsidRPr="009A2A48" w:rsidRDefault="00D34104" w:rsidP="00D34104">
      <w:pPr>
        <w:ind w:left="284" w:right="276" w:firstLine="425"/>
        <w:jc w:val="center"/>
        <w:rPr>
          <w:rFonts w:eastAsia="Apple LiGothic Medium"/>
          <w:b/>
          <w:sz w:val="28"/>
          <w:u w:val="single"/>
          <w:lang w:eastAsia="zh-TW"/>
        </w:rPr>
      </w:pPr>
      <w:r w:rsidRPr="009A2A48">
        <w:rPr>
          <w:rFonts w:eastAsia="Apple LiGothic Medium"/>
          <w:b/>
          <w:sz w:val="28"/>
          <w:u w:val="single"/>
          <w:lang w:eastAsia="zh-TW"/>
        </w:rPr>
        <w:t>Una sentenza a mo’ di poesia. Il caso di Valerio Magrelli</w:t>
      </w:r>
    </w:p>
    <w:p w:rsidR="00D34104" w:rsidRDefault="00D34104" w:rsidP="00D34104">
      <w:pPr>
        <w:ind w:left="284" w:right="276" w:firstLine="425"/>
        <w:jc w:val="both"/>
        <w:rPr>
          <w:rFonts w:eastAsia="Apple LiGothic Medium"/>
          <w:sz w:val="28"/>
          <w:lang w:eastAsia="zh-TW"/>
        </w:rPr>
      </w:pPr>
    </w:p>
    <w:p w:rsidR="00D34104" w:rsidRPr="00DA054A" w:rsidRDefault="006A0EE5" w:rsidP="00D34104">
      <w:pPr>
        <w:ind w:left="284" w:right="276" w:firstLine="425"/>
        <w:jc w:val="both"/>
        <w:rPr>
          <w:rFonts w:eastAsia="Apple LiGothic Medium"/>
          <w:sz w:val="28"/>
          <w:lang w:eastAsia="zh-TW"/>
        </w:rPr>
      </w:pPr>
      <w:r>
        <w:rPr>
          <w:rFonts w:eastAsia="Apple LiGothic Medium"/>
          <w:sz w:val="28"/>
          <w:lang w:eastAsia="zh-TW"/>
        </w:rPr>
        <w:t xml:space="preserve">Dal </w:t>
      </w:r>
      <w:r w:rsidR="00D34104" w:rsidRPr="00DA054A">
        <w:rPr>
          <w:rFonts w:eastAsia="Apple LiGothic Medium"/>
          <w:sz w:val="28"/>
          <w:lang w:eastAsia="zh-TW"/>
        </w:rPr>
        <w:t xml:space="preserve">punto di vista filologico, </w:t>
      </w:r>
      <w:r w:rsidR="00D34104" w:rsidRPr="00DA054A">
        <w:rPr>
          <w:rFonts w:eastAsia="Apple LiGothic Medium"/>
          <w:i/>
          <w:sz w:val="28"/>
          <w:lang w:eastAsia="zh-TW"/>
        </w:rPr>
        <w:t>sentenza</w:t>
      </w:r>
      <w:r w:rsidR="00D34104" w:rsidRPr="00DA054A">
        <w:rPr>
          <w:rFonts w:eastAsia="Apple LiGothic Medium"/>
          <w:sz w:val="28"/>
          <w:lang w:eastAsia="zh-TW"/>
        </w:rPr>
        <w:t xml:space="preserve"> e </w:t>
      </w:r>
      <w:r w:rsidR="00D34104" w:rsidRPr="00DA054A">
        <w:rPr>
          <w:rFonts w:eastAsia="Apple LiGothic Medium"/>
          <w:i/>
          <w:sz w:val="28"/>
          <w:lang w:eastAsia="zh-TW"/>
        </w:rPr>
        <w:t>poesia</w:t>
      </w:r>
      <w:r w:rsidR="00D34104" w:rsidRPr="00DA054A">
        <w:rPr>
          <w:rFonts w:eastAsia="Apple LiGothic Medium"/>
          <w:sz w:val="28"/>
          <w:lang w:eastAsia="zh-TW"/>
        </w:rPr>
        <w:t xml:space="preserve">, omogenea espressione del resto della cifra gnomica e comunicativa che le accomuna, sono caratterizzate dalla stessa origine morfolinguistica. </w:t>
      </w:r>
    </w:p>
    <w:p w:rsidR="00D34104" w:rsidRPr="00DA054A" w:rsidRDefault="00D34104" w:rsidP="00D34104">
      <w:pPr>
        <w:ind w:left="284" w:right="276" w:firstLine="425"/>
        <w:jc w:val="both"/>
        <w:rPr>
          <w:rFonts w:cs="Georgia"/>
          <w:sz w:val="28"/>
          <w:szCs w:val="32"/>
          <w:lang w:bidi="it-IT"/>
        </w:rPr>
      </w:pPr>
      <w:r w:rsidRPr="00DA054A">
        <w:rPr>
          <w:rFonts w:eastAsia="Apple LiGothic Medium"/>
          <w:sz w:val="28"/>
          <w:lang w:eastAsia="zh-TW"/>
        </w:rPr>
        <w:t xml:space="preserve">Anticamente infatti, nei secoli tutt’altro che bui dell’alto medioevo, la </w:t>
      </w:r>
      <w:r w:rsidRPr="00DA054A">
        <w:rPr>
          <w:rFonts w:eastAsia="Apple LiGothic Medium"/>
          <w:i/>
          <w:sz w:val="28"/>
          <w:lang w:eastAsia="zh-TW"/>
        </w:rPr>
        <w:t>lauda</w:t>
      </w:r>
      <w:r w:rsidRPr="00DA054A">
        <w:rPr>
          <w:rFonts w:eastAsia="Apple LiGothic Medium"/>
          <w:sz w:val="28"/>
          <w:lang w:eastAsia="zh-TW"/>
        </w:rPr>
        <w:t xml:space="preserve"> era tanto componimento poetico polifonico in musica, di esaltazione di virtù religiose ed etiche di una situazione o di un soggetto, quanto sentenza giudiziaria pronunciata da magistrati pubblici che, particolarmente </w:t>
      </w:r>
      <w:r w:rsidRPr="00DA054A">
        <w:rPr>
          <w:rFonts w:cs="Georgia"/>
          <w:sz w:val="28"/>
          <w:szCs w:val="32"/>
          <w:lang w:bidi="it-IT"/>
        </w:rPr>
        <w:t xml:space="preserve">dal X al XII secolo, emettevano questo genere di decisioni - </w:t>
      </w:r>
      <w:r w:rsidRPr="00DA054A">
        <w:rPr>
          <w:rFonts w:cs="Georgia"/>
          <w:i/>
          <w:sz w:val="28"/>
          <w:szCs w:val="32"/>
          <w:lang w:bidi="it-IT"/>
        </w:rPr>
        <w:t>laudamenta curiae</w:t>
      </w:r>
      <w:r w:rsidRPr="00DA054A">
        <w:rPr>
          <w:rFonts w:cs="Georgia"/>
          <w:sz w:val="28"/>
          <w:szCs w:val="32"/>
          <w:lang w:bidi="it-IT"/>
        </w:rPr>
        <w:t xml:space="preserve"> - aventi ad oggetto non tanto la soluzione di un singolo caso controverso, bensì l'affermazione di un principio di diritto che valesse per il futuro, con funzione ordinamentale nella congerie dei particolarismi dei diritti locali di origine popolare e consuetudinaria</w:t>
      </w:r>
      <w:r w:rsidRPr="00DA054A">
        <w:rPr>
          <w:rFonts w:cs="Georgia-Italic"/>
          <w:i/>
          <w:iCs/>
          <w:sz w:val="28"/>
          <w:szCs w:val="32"/>
          <w:lang w:bidi="it-IT"/>
        </w:rPr>
        <w:t xml:space="preserve"> </w:t>
      </w:r>
      <w:r w:rsidRPr="00DA054A">
        <w:rPr>
          <w:rFonts w:cs="Georgia"/>
          <w:sz w:val="28"/>
          <w:szCs w:val="32"/>
          <w:lang w:bidi="it-IT"/>
        </w:rPr>
        <w:t>(</w:t>
      </w:r>
      <w:r w:rsidRPr="00DA054A">
        <w:rPr>
          <w:rFonts w:cs="Georgia-Italic"/>
          <w:i/>
          <w:iCs/>
          <w:sz w:val="28"/>
          <w:szCs w:val="32"/>
          <w:lang w:bidi="it-IT"/>
        </w:rPr>
        <w:t xml:space="preserve">laudare </w:t>
      </w:r>
      <w:r w:rsidRPr="00DA054A">
        <w:rPr>
          <w:rFonts w:cs="Georgia"/>
          <w:sz w:val="28"/>
          <w:szCs w:val="32"/>
          <w:lang w:bidi="it-IT"/>
        </w:rPr>
        <w:t xml:space="preserve">si diceva propriamente sia dei giudici che emettevano un giudizio che dei </w:t>
      </w:r>
      <w:r w:rsidRPr="00DA054A">
        <w:rPr>
          <w:rFonts w:cs="Georgia"/>
          <w:i/>
          <w:sz w:val="28"/>
          <w:szCs w:val="32"/>
          <w:lang w:bidi="it-IT"/>
        </w:rPr>
        <w:t>trovatori</w:t>
      </w:r>
      <w:r w:rsidRPr="00DA054A">
        <w:rPr>
          <w:rFonts w:cs="Georgia"/>
          <w:sz w:val="28"/>
          <w:szCs w:val="32"/>
          <w:lang w:bidi="it-IT"/>
        </w:rPr>
        <w:t xml:space="preserve"> che esaltavano una virtù).</w:t>
      </w:r>
    </w:p>
    <w:p w:rsidR="00D34104" w:rsidRPr="00A5732C" w:rsidRDefault="00D34104" w:rsidP="00D34104">
      <w:pPr>
        <w:ind w:left="284" w:right="276" w:firstLine="425"/>
        <w:jc w:val="both"/>
        <w:rPr>
          <w:rFonts w:eastAsia="AppleGothic"/>
          <w:sz w:val="28"/>
          <w:lang w:eastAsia="ko-KR"/>
        </w:rPr>
      </w:pPr>
      <w:r w:rsidRPr="00A5732C">
        <w:rPr>
          <w:rFonts w:eastAsia="AppleGothic"/>
          <w:sz w:val="28"/>
          <w:lang w:eastAsia="ko-KR"/>
        </w:rPr>
        <w:t xml:space="preserve">D’altra parte i giudici in alto-tedesco, come in inglese antico, erano chiamati </w:t>
      </w:r>
      <w:r w:rsidRPr="00A5732C">
        <w:rPr>
          <w:rFonts w:eastAsia="AppleGothic"/>
          <w:i/>
          <w:sz w:val="28"/>
          <w:lang w:eastAsia="ko-KR"/>
        </w:rPr>
        <w:t>finder</w:t>
      </w:r>
      <w:r w:rsidRPr="00A5732C">
        <w:rPr>
          <w:rFonts w:eastAsia="AppleGothic"/>
          <w:sz w:val="28"/>
          <w:lang w:eastAsia="ko-KR"/>
        </w:rPr>
        <w:t xml:space="preserve">, ovvero coloro che trovavano la soluzione del caso e i poeti, come è noto, nelle lingue romanze si chiamavano </w:t>
      </w:r>
      <w:r w:rsidRPr="00A5732C">
        <w:rPr>
          <w:rFonts w:eastAsia="AppleGothic"/>
          <w:i/>
          <w:sz w:val="28"/>
          <w:lang w:eastAsia="ko-KR"/>
        </w:rPr>
        <w:t>trobadores</w:t>
      </w:r>
      <w:r w:rsidRPr="00A5732C">
        <w:rPr>
          <w:rFonts w:eastAsia="AppleGothic"/>
          <w:sz w:val="28"/>
          <w:lang w:eastAsia="ko-KR"/>
        </w:rPr>
        <w:t xml:space="preserve"> o </w:t>
      </w:r>
      <w:r w:rsidRPr="00A5732C">
        <w:rPr>
          <w:rFonts w:eastAsia="AppleGothic"/>
          <w:i/>
          <w:sz w:val="28"/>
          <w:lang w:eastAsia="ko-KR"/>
        </w:rPr>
        <w:t>trouveurs</w:t>
      </w:r>
      <w:r w:rsidRPr="00A5732C">
        <w:rPr>
          <w:rFonts w:eastAsia="AppleGothic"/>
          <w:sz w:val="28"/>
          <w:lang w:eastAsia="ko-KR"/>
        </w:rPr>
        <w:t xml:space="preserve">, che vuol dire esattamente la stessa cosa. </w:t>
      </w:r>
    </w:p>
    <w:p w:rsidR="00D34104" w:rsidRPr="00A5732C" w:rsidRDefault="00D34104" w:rsidP="00D34104">
      <w:pPr>
        <w:ind w:left="284" w:right="276" w:firstLine="425"/>
        <w:jc w:val="both"/>
        <w:rPr>
          <w:rFonts w:eastAsia="AppleGothic"/>
          <w:sz w:val="28"/>
          <w:lang w:eastAsia="ko-KR"/>
        </w:rPr>
      </w:pPr>
      <w:r w:rsidRPr="00A5732C">
        <w:rPr>
          <w:rFonts w:eastAsia="AppleGothic"/>
          <w:sz w:val="28"/>
          <w:lang w:eastAsia="ko-KR"/>
        </w:rPr>
        <w:t>I lirici così come i giuristi, altro non sono che facitori della norma letteraria o sociale - infatti</w:t>
      </w:r>
      <w:r w:rsidRPr="00A5732C">
        <w:rPr>
          <w:rFonts w:eastAsia="AppleGothic"/>
          <w:i/>
          <w:sz w:val="28"/>
          <w:lang w:eastAsia="ko-KR"/>
        </w:rPr>
        <w:t xml:space="preserve"> poiéo</w:t>
      </w:r>
      <w:r w:rsidRPr="00A5732C">
        <w:rPr>
          <w:rFonts w:eastAsia="AppleGothic"/>
          <w:sz w:val="28"/>
          <w:lang w:eastAsia="ko-KR"/>
        </w:rPr>
        <w:t>,</w:t>
      </w:r>
      <w:r w:rsidRPr="00A5732C">
        <w:rPr>
          <w:rFonts w:eastAsia="AppleGothic"/>
          <w:i/>
          <w:sz w:val="28"/>
          <w:lang w:eastAsia="ko-KR"/>
        </w:rPr>
        <w:t xml:space="preserve"> </w:t>
      </w:r>
      <w:r w:rsidRPr="00A5732C">
        <w:rPr>
          <w:rFonts w:eastAsia="AppleGothic" w:hint="eastAsia"/>
          <w:sz w:val="28"/>
          <w:lang w:eastAsia="ko-KR"/>
        </w:rPr>
        <w:t>che ci conduce a</w:t>
      </w:r>
      <w:r w:rsidRPr="00A5732C">
        <w:rPr>
          <w:rFonts w:eastAsia="AppleGothic"/>
          <w:sz w:val="28"/>
          <w:lang w:eastAsia="ko-KR"/>
        </w:rPr>
        <w:t xml:space="preserve"> </w:t>
      </w:r>
      <w:r w:rsidRPr="00FB7981">
        <w:rPr>
          <w:rFonts w:eastAsia="AppleGothic"/>
          <w:i/>
          <w:sz w:val="28"/>
          <w:lang w:eastAsia="ko-KR"/>
        </w:rPr>
        <w:t>poeta</w:t>
      </w:r>
      <w:r w:rsidRPr="00FB7981">
        <w:rPr>
          <w:rFonts w:eastAsia="AppleGothic"/>
          <w:sz w:val="28"/>
          <w:lang w:eastAsia="ko-KR"/>
        </w:rPr>
        <w:t>,</w:t>
      </w:r>
      <w:r w:rsidRPr="00A5732C">
        <w:rPr>
          <w:rFonts w:eastAsia="AppleGothic"/>
          <w:sz w:val="28"/>
          <w:lang w:eastAsia="ko-KR"/>
        </w:rPr>
        <w:t xml:space="preserve"> prima di ogni cosa significa </w:t>
      </w:r>
      <w:r w:rsidRPr="00A5732C">
        <w:rPr>
          <w:rFonts w:eastAsia="AppleGothic"/>
          <w:i/>
          <w:sz w:val="28"/>
          <w:lang w:eastAsia="ko-KR"/>
        </w:rPr>
        <w:t>costruisco</w:t>
      </w:r>
      <w:r w:rsidRPr="00A5732C">
        <w:rPr>
          <w:rFonts w:eastAsia="AppleGothic"/>
          <w:sz w:val="28"/>
          <w:lang w:eastAsia="ko-KR"/>
        </w:rPr>
        <w:t xml:space="preserve">, </w:t>
      </w:r>
      <w:r w:rsidRPr="00A5732C">
        <w:rPr>
          <w:rFonts w:eastAsia="AppleGothic"/>
          <w:i/>
          <w:sz w:val="28"/>
          <w:lang w:eastAsia="ko-KR"/>
        </w:rPr>
        <w:t>elaboro</w:t>
      </w:r>
      <w:r w:rsidRPr="00A5732C">
        <w:rPr>
          <w:rFonts w:eastAsia="AppleGothic"/>
          <w:sz w:val="28"/>
          <w:lang w:eastAsia="ko-KR"/>
        </w:rPr>
        <w:t xml:space="preserve">, </w:t>
      </w:r>
      <w:r w:rsidRPr="00A5732C">
        <w:rPr>
          <w:rFonts w:eastAsia="AppleGothic"/>
          <w:i/>
          <w:sz w:val="28"/>
          <w:lang w:eastAsia="ko-KR"/>
        </w:rPr>
        <w:t>produco</w:t>
      </w:r>
      <w:r w:rsidRPr="00A5732C">
        <w:rPr>
          <w:rFonts w:eastAsia="AppleGothic"/>
          <w:sz w:val="28"/>
          <w:lang w:eastAsia="ko-KR"/>
        </w:rPr>
        <w:t xml:space="preserve"> - produttori di canoni, elaboratori di regole di quella lingua tutta speciale ma storicamente unitaria, che i dottrinari romantici come i raccoglitori di fiabe Jacob e Wilhelm Grimm, come il loro maestro Friedrich Carl von Savigny, definivano non a torto simile alla </w:t>
      </w:r>
      <w:r w:rsidRPr="00A5732C">
        <w:rPr>
          <w:rFonts w:eastAsia="AppleGothic"/>
          <w:i/>
          <w:sz w:val="28"/>
          <w:lang w:eastAsia="ko-KR"/>
        </w:rPr>
        <w:t>grammatica del diritto</w:t>
      </w:r>
      <w:r w:rsidRPr="00A5732C">
        <w:rPr>
          <w:rStyle w:val="Rimandonotaapidipagina"/>
          <w:rFonts w:eastAsia="AppleGothic"/>
          <w:sz w:val="28"/>
          <w:lang w:eastAsia="ko-KR"/>
        </w:rPr>
        <w:footnoteReference w:id="16"/>
      </w:r>
      <w:r w:rsidRPr="00A5732C">
        <w:rPr>
          <w:rFonts w:eastAsia="AppleGothic"/>
          <w:i/>
          <w:sz w:val="28"/>
          <w:lang w:eastAsia="ko-KR"/>
        </w:rPr>
        <w:t>.</w:t>
      </w:r>
    </w:p>
    <w:p w:rsidR="00D34104" w:rsidRPr="00DA054A" w:rsidRDefault="00D34104" w:rsidP="00D34104">
      <w:pPr>
        <w:ind w:left="284" w:right="276" w:firstLine="425"/>
        <w:jc w:val="both"/>
        <w:rPr>
          <w:rFonts w:eastAsia="Apple LiGothic Medium"/>
          <w:sz w:val="28"/>
          <w:lang w:eastAsia="zh-TW"/>
        </w:rPr>
      </w:pPr>
      <w:r w:rsidRPr="00DA054A">
        <w:rPr>
          <w:rFonts w:eastAsia="Apple LiGothic Medium"/>
          <w:sz w:val="28"/>
          <w:lang w:eastAsia="zh-TW"/>
        </w:rPr>
        <w:lastRenderedPageBreak/>
        <w:t>Espungere dalla sentenza - perfetta - il lirismo espositivo non è, insomma, cosa auspicabile.</w:t>
      </w:r>
    </w:p>
    <w:p w:rsidR="00D34104" w:rsidRPr="00DA054A" w:rsidRDefault="00D34104" w:rsidP="00D34104">
      <w:pPr>
        <w:ind w:left="284" w:right="276" w:firstLine="425"/>
        <w:jc w:val="both"/>
        <w:rPr>
          <w:rFonts w:eastAsia="Apple LiGothic Medium"/>
          <w:sz w:val="28"/>
          <w:lang w:eastAsia="zh-TW"/>
        </w:rPr>
      </w:pPr>
      <w:r w:rsidRPr="00DA054A">
        <w:rPr>
          <w:rFonts w:eastAsia="Apple LiGothic Medium"/>
          <w:sz w:val="28"/>
          <w:lang w:eastAsia="zh-TW"/>
        </w:rPr>
        <w:t>Talvolta la fortuna è capace di far scoccare - è il caso di dire letteralmente - la scintilla di un incontro fortuito per spiegare meglio di mille parole quanto la dimensione poetica e quella giurisdizionale possano essere compendiate insieme.</w:t>
      </w:r>
    </w:p>
    <w:p w:rsidR="00D34104" w:rsidRPr="00DA054A" w:rsidRDefault="00D34104" w:rsidP="00D34104">
      <w:pPr>
        <w:pStyle w:val="Testonotaapidipagina"/>
        <w:ind w:left="284" w:right="276" w:firstLine="425"/>
        <w:jc w:val="both"/>
        <w:rPr>
          <w:sz w:val="28"/>
        </w:rPr>
      </w:pPr>
      <w:r w:rsidRPr="00DA054A">
        <w:rPr>
          <w:sz w:val="28"/>
        </w:rPr>
        <w:t xml:space="preserve">Ci voleva la straordinaria sensibilità artistica di un poeta come Valerio Magrelli (n. 1957), per riuscire non solo a reperire una certa cifra lirica in una comune sentenza civile per risarcimento danni, ma anche, in qualche modo, per trasporne la musicalità in versi bellissimi. La cosa è meno eclatante di quanto possa apparire, specie alla luce di quanto già si è detto. </w:t>
      </w:r>
    </w:p>
    <w:p w:rsidR="00D34104" w:rsidRPr="00DA054A" w:rsidRDefault="00D34104" w:rsidP="00D34104">
      <w:pPr>
        <w:pStyle w:val="Testonotaapidipagina"/>
        <w:ind w:left="284" w:right="276" w:firstLine="425"/>
        <w:jc w:val="both"/>
        <w:rPr>
          <w:sz w:val="28"/>
        </w:rPr>
      </w:pPr>
      <w:r w:rsidRPr="00DA054A">
        <w:rPr>
          <w:sz w:val="28"/>
        </w:rPr>
        <w:t xml:space="preserve">Fatto sta che, per sua stessa ammissione, Magrelli, poeta e critico letterario di grande spessore, avendo avuto curiosità di indagare i linguaggi, apparentemente diversi da quello poetico, che pure influenzassero la quotidianità delle relazioni umane, aveva preso a frequentare gli archivi del Tribunale di Roma, la sua città. Imbattutosi in una sentenza intentata dal proprietario di una fattoria incendiata da una scintilla scoccata da un treno in corsa, in aperta campagna, a causa del malfunzionamento di un freno, era rimasto impressionato dalle potenti </w:t>
      </w:r>
      <w:r w:rsidRPr="00DA054A">
        <w:rPr>
          <w:i/>
          <w:sz w:val="28"/>
        </w:rPr>
        <w:t>immagini</w:t>
      </w:r>
      <w:r w:rsidRPr="00DA054A">
        <w:rPr>
          <w:sz w:val="28"/>
        </w:rPr>
        <w:t xml:space="preserve"> riportate nel provvedimento e ne aveva tratto ispirazione per una lirica che, intitolata </w:t>
      </w:r>
      <w:r w:rsidRPr="00DA054A">
        <w:rPr>
          <w:i/>
          <w:sz w:val="28"/>
        </w:rPr>
        <w:t>Treno-cometa</w:t>
      </w:r>
      <w:r w:rsidRPr="00DA054A">
        <w:rPr>
          <w:sz w:val="28"/>
        </w:rPr>
        <w:t xml:space="preserve">, aveva inserito, allegando pure brani tratti dalla motivazione giurisdizionale, nella propria raccolta </w:t>
      </w:r>
      <w:r w:rsidRPr="00DA054A">
        <w:rPr>
          <w:i/>
          <w:sz w:val="28"/>
        </w:rPr>
        <w:t>Esercizi di Tiptologia</w:t>
      </w:r>
      <w:r w:rsidRPr="00DA054A">
        <w:rPr>
          <w:sz w:val="28"/>
        </w:rPr>
        <w:t xml:space="preserve">, Mondadori, Milano 1992. </w:t>
      </w:r>
    </w:p>
    <w:p w:rsidR="00D34104" w:rsidRPr="00DA054A" w:rsidRDefault="00D34104" w:rsidP="00D34104">
      <w:pPr>
        <w:pStyle w:val="Testonotaapidipagina"/>
        <w:ind w:left="284" w:right="276" w:firstLine="425"/>
        <w:jc w:val="both"/>
        <w:rPr>
          <w:rStyle w:val="Enfasicorsivo"/>
          <w:i w:val="0"/>
          <w:sz w:val="28"/>
        </w:rPr>
      </w:pPr>
      <w:r w:rsidRPr="00DA054A">
        <w:rPr>
          <w:sz w:val="28"/>
        </w:rPr>
        <w:t>Ne era venuta fuori una pagina simile a questa che si trascrive:</w:t>
      </w:r>
      <w:r w:rsidRPr="00DA054A">
        <w:rPr>
          <w:rStyle w:val="Enfasicorsivo"/>
          <w:i w:val="0"/>
          <w:sz w:val="28"/>
        </w:rPr>
        <w:t xml:space="preserve"> “Assumeva l’attore a fondamento della domanda, che a seguito del passaggio di un treno merci si era sprigionato un incendio il quale, dalla sede ferroviaria, si era diffuso alla confinante proprietà di esso attore distruggendo le colture ivi esistenti. Aggiungeva che l’incendio era stato determinato da un vagone del treno dai cui freni, rimasti bloccati malgrado il movimento del convoglio, si erano sprigionati fasci di scintille. Dall’allegata relazione d’officina si desume che, a causa dell’inceppamento del freno per ostruzione delle condutture dovuta a impurità dell’olio, i ceppi e cerchioni del carrello erano fortemente arrossati per il surriscaldamento, ed il sottocasa era bruciato…(sentenza numero 6826 del 1987 del Tribunale Civile di Roma)”.</w:t>
      </w:r>
    </w:p>
    <w:p w:rsidR="00D34104" w:rsidRPr="00DA054A" w:rsidRDefault="00D34104" w:rsidP="00D34104">
      <w:pPr>
        <w:pStyle w:val="Testonotaapidipagina"/>
        <w:ind w:left="284" w:right="276" w:firstLine="425"/>
        <w:jc w:val="both"/>
        <w:rPr>
          <w:rStyle w:val="Enfasicorsivo"/>
          <w:i w:val="0"/>
          <w:sz w:val="28"/>
        </w:rPr>
      </w:pPr>
      <w:r w:rsidRPr="00DA054A">
        <w:rPr>
          <w:rStyle w:val="Enfasicorsivo"/>
          <w:i w:val="0"/>
          <w:sz w:val="28"/>
        </w:rPr>
        <w:t>Magrelli, infine, aveva prodotto la trasposizione poetica, almeno una tal sorta, della ricostruzione del fatto giudiziario, calato nell’atmosfera linguistica, surreale ed emozionale di quella magia lirico espositiva tanto cara all’autore.</w:t>
      </w:r>
    </w:p>
    <w:p w:rsidR="00D34104" w:rsidRPr="00DA054A" w:rsidRDefault="00D34104" w:rsidP="00D34104">
      <w:pPr>
        <w:pStyle w:val="Testonotaapidipagina"/>
        <w:ind w:left="284" w:right="276" w:firstLine="425"/>
        <w:jc w:val="both"/>
        <w:rPr>
          <w:rStyle w:val="Enfasicorsivo"/>
          <w:i w:val="0"/>
          <w:sz w:val="28"/>
        </w:rPr>
      </w:pPr>
      <w:r w:rsidRPr="00DA054A">
        <w:rPr>
          <w:rStyle w:val="Enfasicorsivo"/>
          <w:i w:val="0"/>
          <w:sz w:val="28"/>
        </w:rPr>
        <w:t>La poesia era questa.</w:t>
      </w:r>
    </w:p>
    <w:p w:rsidR="00D34104" w:rsidRPr="00DA054A" w:rsidRDefault="00D34104" w:rsidP="00D34104">
      <w:pPr>
        <w:pStyle w:val="Testonotaapidipagina"/>
        <w:ind w:left="284" w:right="276" w:firstLine="425"/>
        <w:jc w:val="both"/>
        <w:rPr>
          <w:rStyle w:val="Enfasicorsivo"/>
          <w:i w:val="0"/>
          <w:sz w:val="28"/>
        </w:rPr>
      </w:pPr>
    </w:p>
    <w:p w:rsidR="00D34104" w:rsidRPr="00E52427" w:rsidRDefault="00D34104" w:rsidP="00D34104">
      <w:pPr>
        <w:ind w:left="567" w:right="276" w:firstLine="284"/>
      </w:pPr>
      <w:r w:rsidRPr="00E52427">
        <w:t xml:space="preserve">                                                        “Treno Cometa”</w:t>
      </w:r>
    </w:p>
    <w:p w:rsidR="00D34104" w:rsidRPr="00230E24" w:rsidRDefault="00D34104" w:rsidP="00D34104">
      <w:pPr>
        <w:ind w:left="567" w:right="276" w:firstLine="284"/>
        <w:jc w:val="center"/>
        <w:rPr>
          <w:i/>
        </w:rPr>
      </w:pPr>
      <w:r w:rsidRPr="00230E24">
        <w:t>Fiammifero stregato, ferro</w:t>
      </w:r>
      <w:r w:rsidRPr="00230E24">
        <w:br/>
        <w:t xml:space="preserve"> sfregato contro le rotaie, </w:t>
      </w:r>
      <w:r w:rsidRPr="00230E24">
        <w:br/>
      </w:r>
      <w:r w:rsidRPr="00230E24">
        <w:lastRenderedPageBreak/>
        <w:t xml:space="preserve">freno tirato e attrito, </w:t>
      </w:r>
      <w:r w:rsidRPr="00230E24">
        <w:br/>
        <w:t>treno-freno che strazia</w:t>
      </w:r>
      <w:r w:rsidRPr="00230E24">
        <w:br/>
        <w:t xml:space="preserve">e stride nella notte. </w:t>
      </w:r>
      <w:r w:rsidRPr="00230E24">
        <w:br/>
        <w:t>Venivo avanti con le ruote bloccate</w:t>
      </w:r>
      <w:r w:rsidRPr="00230E24">
        <w:br/>
        <w:t>le vertebre contratte</w:t>
      </w:r>
      <w:r w:rsidRPr="00230E24">
        <w:br/>
        <w:t>le parole-trattino</w:t>
      </w:r>
      <w:r w:rsidRPr="00230E24">
        <w:br/>
        <w:t>e dal mio sforzo veniva</w:t>
      </w:r>
      <w:r w:rsidRPr="00230E24">
        <w:br/>
        <w:t>un calore e un colore</w:t>
      </w:r>
      <w:r w:rsidRPr="00230E24">
        <w:br/>
        <w:t xml:space="preserve">e un odore di carne strinata: </w:t>
      </w:r>
      <w:r w:rsidRPr="00230E24">
        <w:br/>
        <w:t>scintille, una pioggia di lingue</w:t>
      </w:r>
      <w:r w:rsidRPr="00230E24">
        <w:br/>
        <w:t xml:space="preserve">focaie nella notte. </w:t>
      </w:r>
      <w:r w:rsidRPr="00230E24">
        <w:br/>
        <w:t>Ah vagoni frenati, ah parole-trattino</w:t>
      </w:r>
      <w:r w:rsidRPr="00230E24">
        <w:br/>
        <w:t>io fricativo, ritratto dell'attrito</w:t>
      </w:r>
      <w:r w:rsidRPr="00230E24">
        <w:rPr>
          <w:i/>
        </w:rPr>
        <w:t>.</w:t>
      </w:r>
    </w:p>
    <w:p w:rsidR="00D34104" w:rsidRPr="00DA054A" w:rsidRDefault="00D34104" w:rsidP="00D34104">
      <w:pPr>
        <w:pStyle w:val="Testonotaapidipagina"/>
        <w:ind w:left="567" w:right="276" w:firstLine="284"/>
        <w:rPr>
          <w:i/>
        </w:rPr>
      </w:pPr>
    </w:p>
    <w:p w:rsidR="00D34104" w:rsidRPr="00DA054A" w:rsidRDefault="00D34104" w:rsidP="00D34104">
      <w:pPr>
        <w:ind w:left="284" w:right="276" w:firstLine="425"/>
        <w:jc w:val="both"/>
        <w:rPr>
          <w:rFonts w:eastAsia="Apple LiGothic Medium"/>
          <w:sz w:val="28"/>
          <w:lang w:eastAsia="zh-TW"/>
        </w:rPr>
      </w:pPr>
      <w:r w:rsidRPr="00DA054A">
        <w:rPr>
          <w:rFonts w:eastAsia="Apple LiGothic Medium"/>
          <w:sz w:val="28"/>
          <w:lang w:eastAsia="zh-TW"/>
        </w:rPr>
        <w:t>Il risultato di questa operazione, sotto gli occhi di tutti, non ha bisogno, per il suo fascino, di ulteriori commenti.</w:t>
      </w:r>
    </w:p>
    <w:p w:rsidR="006A0EE5" w:rsidRDefault="006A0EE5" w:rsidP="00D34104">
      <w:pPr>
        <w:ind w:left="284" w:right="276" w:firstLine="425"/>
        <w:contextualSpacing/>
        <w:jc w:val="center"/>
        <w:rPr>
          <w:sz w:val="28"/>
        </w:rPr>
      </w:pPr>
    </w:p>
    <w:p w:rsidR="00D34104" w:rsidRPr="009A2A48" w:rsidRDefault="00D34104" w:rsidP="00D34104">
      <w:pPr>
        <w:ind w:left="284" w:right="276" w:firstLine="425"/>
        <w:contextualSpacing/>
        <w:jc w:val="center"/>
        <w:rPr>
          <w:b/>
          <w:sz w:val="22"/>
          <w:u w:val="single"/>
        </w:rPr>
      </w:pPr>
      <w:r w:rsidRPr="009A2A48">
        <w:rPr>
          <w:b/>
          <w:sz w:val="28"/>
          <w:u w:val="single"/>
        </w:rPr>
        <w:t>Fiaba e narrazione giuridica: analogie morfo-strutturali</w:t>
      </w:r>
    </w:p>
    <w:p w:rsidR="00D34104" w:rsidRPr="000E5904" w:rsidRDefault="00D34104" w:rsidP="00D34104">
      <w:pPr>
        <w:ind w:left="284" w:right="276" w:firstLine="425"/>
        <w:contextualSpacing/>
        <w:jc w:val="center"/>
        <w:rPr>
          <w:b/>
          <w:sz w:val="22"/>
        </w:rPr>
      </w:pPr>
    </w:p>
    <w:p w:rsidR="00D34104" w:rsidRPr="000E5904" w:rsidRDefault="00D34104" w:rsidP="00D34104">
      <w:pPr>
        <w:ind w:left="284" w:right="276" w:firstLine="425"/>
        <w:contextualSpacing/>
        <w:jc w:val="both"/>
        <w:rPr>
          <w:sz w:val="28"/>
        </w:rPr>
      </w:pPr>
      <w:r w:rsidRPr="000E5904">
        <w:rPr>
          <w:sz w:val="28"/>
        </w:rPr>
        <w:t>Tanto il mondo delle fiabe e delle narrazioni fantastiche in genere, quanto quello del diritto, una volta che quest’ultimo sia vissuto ed interpretato oltre le frustranti pastoie di un’ermeneutica esclusivamente legata al dato formalistico che pretenda di ridurlo al binomio norma =&gt; sanzione, hanno alla base una comune idea dei rapporti umani.</w:t>
      </w:r>
    </w:p>
    <w:p w:rsidR="00D34104" w:rsidRPr="000E5904" w:rsidRDefault="00D34104" w:rsidP="00D34104">
      <w:pPr>
        <w:ind w:left="284" w:right="276" w:firstLine="425"/>
        <w:contextualSpacing/>
        <w:jc w:val="both"/>
        <w:rPr>
          <w:sz w:val="28"/>
        </w:rPr>
      </w:pPr>
      <w:r w:rsidRPr="000E5904">
        <w:rPr>
          <w:sz w:val="28"/>
        </w:rPr>
        <w:t>Esattamente come la dimensione fiabica, anche quella giuridica in senso ampio, per il sostrato educativo e morale che indubbiamente connota entrambe, si basa sul riconoscimento del proprio prossimo.</w:t>
      </w:r>
    </w:p>
    <w:p w:rsidR="00D34104" w:rsidRPr="000E5904" w:rsidRDefault="00D34104" w:rsidP="00D34104">
      <w:pPr>
        <w:ind w:left="284" w:right="276" w:firstLine="425"/>
        <w:contextualSpacing/>
        <w:jc w:val="both"/>
        <w:rPr>
          <w:sz w:val="28"/>
        </w:rPr>
      </w:pPr>
      <w:r w:rsidRPr="000E5904">
        <w:rPr>
          <w:sz w:val="28"/>
        </w:rPr>
        <w:t>Il già ricordato Jerome Bruner nel proprio meritorio quanto originale sforzo teso a rompere l’isolamento settoriale del diritto al fine di ascriverne la complessiva valenza al più ampio campo della narrazione anche letteraria</w:t>
      </w:r>
      <w:r w:rsidRPr="000E5904">
        <w:rPr>
          <w:rStyle w:val="Rimandonotaapidipagina"/>
          <w:sz w:val="28"/>
        </w:rPr>
        <w:footnoteReference w:id="17"/>
      </w:r>
      <w:r w:rsidRPr="000E5904">
        <w:rPr>
          <w:sz w:val="28"/>
        </w:rPr>
        <w:t xml:space="preserve">, non a caso ha associato, dal proprio punto di vista psico-pedagogico e conoscitivo, il </w:t>
      </w:r>
      <w:r w:rsidRPr="00FE5AFE">
        <w:rPr>
          <w:i/>
          <w:sz w:val="28"/>
        </w:rPr>
        <w:t>fatto giuridico</w:t>
      </w:r>
      <w:r w:rsidRPr="000E5904">
        <w:rPr>
          <w:sz w:val="28"/>
        </w:rPr>
        <w:t xml:space="preserve"> alla </w:t>
      </w:r>
      <w:r w:rsidRPr="00FE5AFE">
        <w:rPr>
          <w:i/>
          <w:sz w:val="28"/>
        </w:rPr>
        <w:t>vita</w:t>
      </w:r>
      <w:r w:rsidRPr="000E5904">
        <w:rPr>
          <w:sz w:val="28"/>
        </w:rPr>
        <w:t xml:space="preserve"> ed entrambi alla narrazione di storie: tutti ambiti potentemente caratterizzati dalla manifestazione di forme di riconoscimento reciproco in chiave di mutua comprensione e funzionale inter-relazione.</w:t>
      </w:r>
    </w:p>
    <w:p w:rsidR="00D34104" w:rsidRPr="000E5904" w:rsidRDefault="00D34104" w:rsidP="00D34104">
      <w:pPr>
        <w:ind w:left="284" w:right="276" w:firstLine="425"/>
        <w:contextualSpacing/>
        <w:jc w:val="both"/>
        <w:rPr>
          <w:sz w:val="28"/>
        </w:rPr>
      </w:pPr>
      <w:r w:rsidRPr="000E5904">
        <w:rPr>
          <w:sz w:val="28"/>
        </w:rPr>
        <w:t>Forse può addirittura segnalarsi per certi versi, con la migliore tradizione della cultura della narrativa universale, come la fiaba in quanto forma di narrazione vitale in se stessa a volte riesca ad avere la meglio, in una naturale contesa tra consimili forme espressive di reciproco riconoscimento, sulla regola giuridica e sul comando che essa implichi.</w:t>
      </w:r>
    </w:p>
    <w:p w:rsidR="00D34104" w:rsidRPr="00FE5AFE" w:rsidRDefault="00D34104" w:rsidP="00D34104">
      <w:pPr>
        <w:ind w:left="284" w:right="276" w:firstLine="425"/>
        <w:contextualSpacing/>
        <w:jc w:val="both"/>
        <w:rPr>
          <w:sz w:val="28"/>
        </w:rPr>
      </w:pPr>
      <w:r w:rsidRPr="000E5904">
        <w:rPr>
          <w:sz w:val="28"/>
        </w:rPr>
        <w:t xml:space="preserve">E’ emblematico il caso di </w:t>
      </w:r>
      <w:r w:rsidRPr="00FE5AFE">
        <w:rPr>
          <w:i/>
          <w:sz w:val="28"/>
        </w:rPr>
        <w:t>Shahrazad</w:t>
      </w:r>
      <w:r w:rsidRPr="000E5904">
        <w:rPr>
          <w:sz w:val="28"/>
        </w:rPr>
        <w:t xml:space="preserve">, l’eroina protagonista della cornice che contiene l’intera trama dei racconti delle </w:t>
      </w:r>
      <w:r w:rsidRPr="00FE5AFE">
        <w:rPr>
          <w:i/>
          <w:sz w:val="28"/>
        </w:rPr>
        <w:t>Mille e una notte</w:t>
      </w:r>
      <w:r w:rsidRPr="00A61878">
        <w:rPr>
          <w:rStyle w:val="Rimandonotaapidipagina"/>
          <w:sz w:val="28"/>
        </w:rPr>
        <w:footnoteReference w:id="18"/>
      </w:r>
      <w:r w:rsidRPr="00FE5AFE">
        <w:rPr>
          <w:sz w:val="28"/>
        </w:rPr>
        <w:t xml:space="preserve">, capace di </w:t>
      </w:r>
      <w:r w:rsidRPr="00FE5AFE">
        <w:rPr>
          <w:sz w:val="28"/>
        </w:rPr>
        <w:lastRenderedPageBreak/>
        <w:t>rimandare di giorno in giorno l’esecuzione capitale cui era destinata, grazie alla malìa narrativa degli avvincenti racconti che di notte ella narrava al Re, prodigo di continue proroghe del bando di morte perché incapace di resistere senza conoscere la fine della catena di storie.</w:t>
      </w:r>
    </w:p>
    <w:p w:rsidR="00D34104" w:rsidRPr="00FE5AFE" w:rsidRDefault="00D34104" w:rsidP="00D34104">
      <w:pPr>
        <w:ind w:left="284" w:right="276" w:firstLine="425"/>
        <w:contextualSpacing/>
        <w:jc w:val="both"/>
        <w:rPr>
          <w:sz w:val="28"/>
        </w:rPr>
      </w:pPr>
      <w:r w:rsidRPr="00FE5AFE">
        <w:rPr>
          <w:sz w:val="28"/>
        </w:rPr>
        <w:t>In questo modo la scaltra narratrice, a torto o a ragione giudicata meritevole della sanzione criminale estrema, può maturare un’aspettativa di vita e di destino che, grazie al riconoscimento della capacità di ascolto del proprio interlocutore,  vince e supera il dato sterile della cogenza della norma punitiva</w:t>
      </w:r>
      <w:r w:rsidRPr="00FE5AFE">
        <w:rPr>
          <w:rStyle w:val="Rimandonotaapidipagina"/>
          <w:sz w:val="28"/>
        </w:rPr>
        <w:footnoteReference w:id="19"/>
      </w:r>
      <w:r w:rsidRPr="00FE5AFE">
        <w:rPr>
          <w:sz w:val="28"/>
        </w:rPr>
        <w:t>.</w:t>
      </w:r>
    </w:p>
    <w:p w:rsidR="00D34104" w:rsidRPr="00FE5AFE" w:rsidRDefault="00D34104" w:rsidP="00D34104">
      <w:pPr>
        <w:ind w:left="284" w:right="276" w:firstLine="425"/>
        <w:contextualSpacing/>
        <w:jc w:val="both"/>
        <w:rPr>
          <w:sz w:val="28"/>
        </w:rPr>
      </w:pPr>
      <w:r w:rsidRPr="00FE5AFE">
        <w:rPr>
          <w:sz w:val="28"/>
        </w:rPr>
        <w:t>Naturalmente solo in quanto sia fedele a se stesso e soddisfi l’aspettativa dei propri fruitori, il racconto di una vicenda può farsi omogeneo veicolo di valori positivi.</w:t>
      </w:r>
    </w:p>
    <w:p w:rsidR="00D34104" w:rsidRPr="00FE5AFE" w:rsidRDefault="00D34104" w:rsidP="00D34104">
      <w:pPr>
        <w:ind w:left="284" w:right="276" w:firstLine="425"/>
        <w:contextualSpacing/>
        <w:jc w:val="both"/>
        <w:rPr>
          <w:sz w:val="28"/>
        </w:rPr>
      </w:pPr>
      <w:r w:rsidRPr="00FE5AFE">
        <w:rPr>
          <w:sz w:val="28"/>
        </w:rPr>
        <w:t>La fiaba in fondo, esattamente come ogni narrazione giuridica, non è o non è soltanto un’organizzazione di contenuti, è piuttosto il modo in cui ciascun individuo è capace di porsi come protagonista della propria vita e della propria storia, anche a costo di rilevarne il carattere rivoluzionario rispetto alle convenzioni narrative del tempo, dello spazio, della comune logica degli accadimenti.</w:t>
      </w:r>
    </w:p>
    <w:p w:rsidR="00D34104" w:rsidRPr="00FE5AFE" w:rsidRDefault="00D34104" w:rsidP="00D34104">
      <w:pPr>
        <w:ind w:left="284" w:right="276" w:firstLine="425"/>
        <w:contextualSpacing/>
        <w:jc w:val="both"/>
        <w:rPr>
          <w:sz w:val="28"/>
        </w:rPr>
      </w:pPr>
      <w:r w:rsidRPr="00FE5AFE">
        <w:rPr>
          <w:sz w:val="28"/>
        </w:rPr>
        <w:t>D’altro canto il ricorso ad una comunicativa semplice e lineare, adeguata alla vitalità dei rapporti umani e scevra dagli sterili formalismi di un logicismo giuridico cavilloso non avvertito come valoriale, può costituire il rimedio utile a riavvicinare il mondo del diritto al pubblico dei suoi destinatari e far così capire che la legge appartiene ancora e sempre ai cittadini.</w:t>
      </w:r>
    </w:p>
    <w:p w:rsidR="00D34104" w:rsidRPr="00FE5AFE" w:rsidRDefault="00D34104" w:rsidP="00D34104">
      <w:pPr>
        <w:ind w:left="284" w:right="276" w:firstLine="425"/>
        <w:contextualSpacing/>
        <w:jc w:val="both"/>
        <w:rPr>
          <w:sz w:val="28"/>
        </w:rPr>
      </w:pPr>
      <w:r w:rsidRPr="00FE5AFE">
        <w:rPr>
          <w:sz w:val="28"/>
        </w:rPr>
        <w:t>Le distinte realtà narrative della fiabistica e della dimensione giuridica, nel loro comune sostrato comunicativo, sono accomunate da alcuni principi morfologici omogenei.</w:t>
      </w:r>
    </w:p>
    <w:p w:rsidR="00D34104" w:rsidRPr="00FE5AFE" w:rsidRDefault="00D34104" w:rsidP="00D34104">
      <w:pPr>
        <w:ind w:left="284" w:right="276" w:firstLine="425"/>
        <w:contextualSpacing/>
        <w:jc w:val="both"/>
        <w:rPr>
          <w:sz w:val="28"/>
        </w:rPr>
      </w:pPr>
      <w:r w:rsidRPr="00FE5AFE">
        <w:rPr>
          <w:sz w:val="28"/>
        </w:rPr>
        <w:t xml:space="preserve">Sono quelli che sempre Bruner ha catalogato come i </w:t>
      </w:r>
      <w:r w:rsidRPr="00547E1B">
        <w:rPr>
          <w:i/>
          <w:sz w:val="28"/>
        </w:rPr>
        <w:t>principi universali</w:t>
      </w:r>
      <w:r w:rsidRPr="00FE5AFE">
        <w:rPr>
          <w:sz w:val="28"/>
        </w:rPr>
        <w:t xml:space="preserve"> di tutte le realtà narratologiche.</w:t>
      </w:r>
    </w:p>
    <w:p w:rsidR="00D34104" w:rsidRPr="00FE5AFE" w:rsidRDefault="00D34104" w:rsidP="00D34104">
      <w:pPr>
        <w:ind w:left="284" w:right="276" w:firstLine="425"/>
        <w:contextualSpacing/>
        <w:jc w:val="both"/>
        <w:rPr>
          <w:sz w:val="28"/>
        </w:rPr>
      </w:pPr>
      <w:r w:rsidRPr="00FE5AFE">
        <w:rPr>
          <w:sz w:val="28"/>
        </w:rPr>
        <w:t xml:space="preserve">Eccoli: 1) </w:t>
      </w:r>
      <w:r w:rsidRPr="00A86B60">
        <w:rPr>
          <w:i/>
          <w:sz w:val="28"/>
        </w:rPr>
        <w:t>una struttura di tempo significativa</w:t>
      </w:r>
      <w:r w:rsidRPr="00FE5AFE">
        <w:rPr>
          <w:sz w:val="28"/>
        </w:rPr>
        <w:t xml:space="preserve">; 2) </w:t>
      </w:r>
      <w:r w:rsidRPr="00A86B60">
        <w:rPr>
          <w:i/>
          <w:sz w:val="28"/>
        </w:rPr>
        <w:t>la particolarità generica</w:t>
      </w:r>
      <w:r w:rsidRPr="00FE5AFE">
        <w:rPr>
          <w:sz w:val="28"/>
        </w:rPr>
        <w:t xml:space="preserve"> (le narrazioni si servono di aspetti particolari); 3) </w:t>
      </w:r>
      <w:r w:rsidRPr="00A86B60">
        <w:rPr>
          <w:i/>
          <w:sz w:val="28"/>
        </w:rPr>
        <w:t>le azioni hanno delle ragioni</w:t>
      </w:r>
      <w:r w:rsidRPr="00FE5AFE">
        <w:rPr>
          <w:sz w:val="28"/>
        </w:rPr>
        <w:t xml:space="preserve"> (ciò che fanno le persone non avviene mai per caso); 4) </w:t>
      </w:r>
      <w:r w:rsidRPr="00A86B60">
        <w:rPr>
          <w:i/>
          <w:sz w:val="28"/>
        </w:rPr>
        <w:t>la composizione</w:t>
      </w:r>
      <w:r w:rsidRPr="00FE5AFE">
        <w:rPr>
          <w:sz w:val="28"/>
        </w:rPr>
        <w:t xml:space="preserve"> </w:t>
      </w:r>
      <w:r w:rsidRPr="00A86B60">
        <w:rPr>
          <w:i/>
          <w:sz w:val="28"/>
        </w:rPr>
        <w:t>ermeneutica</w:t>
      </w:r>
      <w:r w:rsidRPr="00FE5AFE">
        <w:rPr>
          <w:sz w:val="28"/>
        </w:rPr>
        <w:t xml:space="preserve"> (nessuna storia ha una e una sola interpretazione); 5) </w:t>
      </w:r>
      <w:r w:rsidRPr="00A86B60">
        <w:rPr>
          <w:i/>
          <w:sz w:val="28"/>
        </w:rPr>
        <w:t>la canonicità</w:t>
      </w:r>
      <w:r w:rsidRPr="00FE5AFE">
        <w:rPr>
          <w:sz w:val="28"/>
        </w:rPr>
        <w:t xml:space="preserve"> </w:t>
      </w:r>
      <w:r w:rsidRPr="00A86B60">
        <w:rPr>
          <w:i/>
          <w:sz w:val="28"/>
        </w:rPr>
        <w:lastRenderedPageBreak/>
        <w:t>implicita</w:t>
      </w:r>
      <w:r w:rsidRPr="00FE5AFE">
        <w:rPr>
          <w:sz w:val="28"/>
        </w:rPr>
        <w:t xml:space="preserve"> (i rapporti narrativi hanno comunque regole intrinseche); 6) </w:t>
      </w:r>
      <w:r w:rsidRPr="00A86B60">
        <w:rPr>
          <w:i/>
          <w:sz w:val="28"/>
        </w:rPr>
        <w:t>l’ambiguità di referenza</w:t>
      </w:r>
      <w:r w:rsidRPr="00FE5AFE">
        <w:rPr>
          <w:sz w:val="28"/>
        </w:rPr>
        <w:t xml:space="preserve"> (di che cosa parla una narrazione? E’ una domanda che dà sempre luogo a qualche dubbio); 7) </w:t>
      </w:r>
      <w:r w:rsidRPr="00A86B60">
        <w:rPr>
          <w:i/>
          <w:sz w:val="28"/>
        </w:rPr>
        <w:t>la centralità della crisi</w:t>
      </w:r>
      <w:r w:rsidRPr="00FE5AFE">
        <w:rPr>
          <w:sz w:val="28"/>
        </w:rPr>
        <w:t xml:space="preserve"> (le storie ruotano sempre intorno a regole che vengono infrante; 8) </w:t>
      </w:r>
      <w:r w:rsidRPr="00A86B60">
        <w:rPr>
          <w:i/>
          <w:sz w:val="28"/>
        </w:rPr>
        <w:t>la negoziabilità inerente</w:t>
      </w:r>
      <w:r w:rsidRPr="00FE5AFE">
        <w:rPr>
          <w:sz w:val="28"/>
        </w:rPr>
        <w:t xml:space="preserve"> (tra le varie versioni di una storia può sempre, anzi è auspicabile, giungersi ad un punto d’incontro); 9) </w:t>
      </w:r>
      <w:r w:rsidRPr="00A86B60">
        <w:rPr>
          <w:i/>
          <w:sz w:val="28"/>
        </w:rPr>
        <w:t>la capacità di espansione storica della narrativa</w:t>
      </w:r>
      <w:r w:rsidRPr="00FE5AFE">
        <w:rPr>
          <w:sz w:val="28"/>
        </w:rPr>
        <w:t xml:space="preserve"> (l’intreccio, i personaggi, la situazione…tutto sembra continuare ad espandersi)</w:t>
      </w:r>
      <w:r w:rsidRPr="00FE5AFE">
        <w:rPr>
          <w:rStyle w:val="Rimandonotaapidipagina"/>
          <w:sz w:val="28"/>
        </w:rPr>
        <w:footnoteReference w:id="20"/>
      </w:r>
      <w:r w:rsidRPr="00FE5AFE">
        <w:rPr>
          <w:sz w:val="28"/>
        </w:rPr>
        <w:t>.</w:t>
      </w:r>
    </w:p>
    <w:p w:rsidR="00D34104" w:rsidRPr="00FE5AFE" w:rsidRDefault="00D34104" w:rsidP="00D34104">
      <w:pPr>
        <w:ind w:left="284" w:right="276" w:firstLine="425"/>
        <w:contextualSpacing/>
        <w:jc w:val="both"/>
        <w:rPr>
          <w:sz w:val="28"/>
        </w:rPr>
      </w:pPr>
      <w:r w:rsidRPr="00FE5AFE">
        <w:rPr>
          <w:sz w:val="28"/>
        </w:rPr>
        <w:t>E’ fin troppo agevole rilevare come si tratti di canoni usualmente reperibili tanto in una fiaba di tradizione quanto in un qualsiasi scritto giurisdizionale, come una sentenza od una memoria difensiva di parte.</w:t>
      </w:r>
    </w:p>
    <w:p w:rsidR="00D34104" w:rsidRPr="00FE5AFE" w:rsidRDefault="00D34104" w:rsidP="00D34104">
      <w:pPr>
        <w:ind w:left="284" w:right="276" w:firstLine="425"/>
        <w:contextualSpacing/>
        <w:jc w:val="both"/>
        <w:rPr>
          <w:sz w:val="28"/>
        </w:rPr>
      </w:pPr>
      <w:r w:rsidRPr="00FE5AFE">
        <w:rPr>
          <w:sz w:val="28"/>
        </w:rPr>
        <w:t xml:space="preserve">Non si può, in altre parole, non riconoscere una dimensione giuridica alla base della forma folklorica o letteraria della tradizione fiabistica che, come il diritto, conosce anch’essa le sue leggi fondamentali, il suo </w:t>
      </w:r>
      <w:r w:rsidRPr="00A86B60">
        <w:rPr>
          <w:i/>
          <w:sz w:val="28"/>
        </w:rPr>
        <w:t>nomos</w:t>
      </w:r>
      <w:r w:rsidRPr="00FE5AFE">
        <w:rPr>
          <w:sz w:val="28"/>
        </w:rPr>
        <w:t>, i suoi canoni e le sue procedure, tutti esternativi di quella dimensione comunicativa e simbolico-figurativa che per più versi accomuna i due distinti ambiti.</w:t>
      </w:r>
    </w:p>
    <w:p w:rsidR="00D34104" w:rsidRPr="00FE5AFE" w:rsidRDefault="00D34104" w:rsidP="00D34104">
      <w:pPr>
        <w:ind w:left="284" w:right="276" w:firstLine="425"/>
        <w:contextualSpacing/>
        <w:jc w:val="both"/>
        <w:rPr>
          <w:sz w:val="28"/>
        </w:rPr>
      </w:pPr>
      <w:r w:rsidRPr="00FE5AFE">
        <w:rPr>
          <w:sz w:val="28"/>
        </w:rPr>
        <w:t>Una fiaba, assai spesso, si snoda attraverso gli stessi paradigmi esplicativi di una comune narrazione giudiziaria di una qualsiasi aula di tribunale.</w:t>
      </w:r>
    </w:p>
    <w:p w:rsidR="00D34104" w:rsidRPr="00FE5AFE" w:rsidRDefault="00D34104" w:rsidP="00D34104">
      <w:pPr>
        <w:ind w:left="284" w:right="276" w:firstLine="425"/>
        <w:contextualSpacing/>
        <w:jc w:val="both"/>
        <w:rPr>
          <w:sz w:val="28"/>
        </w:rPr>
      </w:pPr>
      <w:r w:rsidRPr="00FE5AFE">
        <w:rPr>
          <w:sz w:val="28"/>
        </w:rPr>
        <w:t>Si può provare, esemplificando per linee generalissime, a darne conto.</w:t>
      </w:r>
    </w:p>
    <w:p w:rsidR="00D34104" w:rsidRPr="00FE5AFE" w:rsidRDefault="00D34104" w:rsidP="00D34104">
      <w:pPr>
        <w:ind w:left="284" w:right="276" w:firstLine="425"/>
        <w:contextualSpacing/>
        <w:jc w:val="both"/>
        <w:rPr>
          <w:sz w:val="28"/>
        </w:rPr>
      </w:pPr>
      <w:r w:rsidRPr="00FE5AFE">
        <w:rPr>
          <w:sz w:val="28"/>
        </w:rPr>
        <w:t xml:space="preserve">E’ semplice reperire alcuni </w:t>
      </w:r>
      <w:r w:rsidRPr="00FA67D1">
        <w:rPr>
          <w:i/>
          <w:sz w:val="28"/>
        </w:rPr>
        <w:t>topoi</w:t>
      </w:r>
      <w:r w:rsidRPr="00FE5AFE">
        <w:rPr>
          <w:sz w:val="28"/>
        </w:rPr>
        <w:t xml:space="preserve"> comuni.</w:t>
      </w:r>
    </w:p>
    <w:p w:rsidR="00D34104" w:rsidRPr="00FE5AFE" w:rsidRDefault="00D34104" w:rsidP="00D34104">
      <w:pPr>
        <w:ind w:left="284" w:right="276" w:firstLine="425"/>
        <w:contextualSpacing/>
        <w:jc w:val="both"/>
        <w:rPr>
          <w:sz w:val="28"/>
        </w:rPr>
      </w:pPr>
      <w:r w:rsidRPr="00FE5AFE">
        <w:rPr>
          <w:sz w:val="28"/>
        </w:rPr>
        <w:t xml:space="preserve">La </w:t>
      </w:r>
      <w:r w:rsidRPr="00FA67D1">
        <w:rPr>
          <w:i/>
          <w:sz w:val="28"/>
        </w:rPr>
        <w:t>caduta</w:t>
      </w:r>
      <w:r w:rsidRPr="00FE5AFE">
        <w:rPr>
          <w:sz w:val="28"/>
        </w:rPr>
        <w:t xml:space="preserve"> (si verifica ad interrompere la condizione favorevole in cui vive il protagonista della storia; es. Cenerentola prima della morte dell’amorevole madre; Cappuccetto rosso prima di essere mandata sola nel bosco…); la </w:t>
      </w:r>
      <w:r w:rsidRPr="00FA67D1">
        <w:rPr>
          <w:i/>
          <w:sz w:val="28"/>
        </w:rPr>
        <w:t>tregua</w:t>
      </w:r>
      <w:r w:rsidRPr="00FE5AFE">
        <w:rPr>
          <w:sz w:val="28"/>
        </w:rPr>
        <w:t xml:space="preserve"> (Cenerentola riesce comunque ad andare al ballo a corte; il lupo lascia proseguire Cappuccetto rosso fino alla casa della nonna); l’</w:t>
      </w:r>
      <w:r w:rsidRPr="00FA67D1">
        <w:rPr>
          <w:i/>
          <w:sz w:val="28"/>
        </w:rPr>
        <w:t>arretramento</w:t>
      </w:r>
      <w:r w:rsidRPr="00FE5AFE">
        <w:rPr>
          <w:sz w:val="28"/>
        </w:rPr>
        <w:t xml:space="preserve"> (Cenerentola deve scappare via dal ballo ad una certa ora; Cappuccetto rosso si attarda nel bosco…); la </w:t>
      </w:r>
      <w:r w:rsidRPr="00FA67D1">
        <w:rPr>
          <w:i/>
          <w:sz w:val="28"/>
        </w:rPr>
        <w:t>caduta definitiva</w:t>
      </w:r>
      <w:r w:rsidRPr="00FE5AFE">
        <w:rPr>
          <w:sz w:val="28"/>
        </w:rPr>
        <w:t xml:space="preserve"> (tutto sembra perduto: è una delle sorellastre di Cenerentola ad allontanarsi col principe; il lupo divora Cappuccetto rosso); la risalita (quando tutto sembra perduto la matassa si sbroglia, proprio come dovrebbe essere con la sentenza di un processo: …e tutti vivono felici e contenti, come, almeno auspicabilmente, dopo una buona soluzione giurisdizionale)</w:t>
      </w:r>
      <w:r w:rsidRPr="00FE5AFE">
        <w:rPr>
          <w:rStyle w:val="Rimandonotaapidipagina"/>
          <w:sz w:val="28"/>
        </w:rPr>
        <w:footnoteReference w:id="21"/>
      </w:r>
      <w:r w:rsidRPr="00FE5AFE">
        <w:rPr>
          <w:sz w:val="28"/>
        </w:rPr>
        <w:t>.</w:t>
      </w:r>
    </w:p>
    <w:p w:rsidR="00D34104" w:rsidRPr="006D1191" w:rsidRDefault="00D34104" w:rsidP="00D34104">
      <w:pPr>
        <w:ind w:left="284" w:right="276" w:firstLine="425"/>
        <w:contextualSpacing/>
        <w:jc w:val="both"/>
        <w:rPr>
          <w:sz w:val="28"/>
        </w:rPr>
      </w:pPr>
      <w:r w:rsidRPr="00FE5AFE">
        <w:rPr>
          <w:sz w:val="28"/>
        </w:rPr>
        <w:t xml:space="preserve">E’ proprio per la valorizzazione di queste similitudini, per l’esaltazione di queste analogie che nei paesi di area anglosassone caratterizzati dalla forma processuale molto scenica della </w:t>
      </w:r>
      <w:r w:rsidRPr="006D1191">
        <w:rPr>
          <w:i/>
          <w:sz w:val="28"/>
        </w:rPr>
        <w:t>common law</w:t>
      </w:r>
      <w:r w:rsidRPr="006D1191">
        <w:rPr>
          <w:sz w:val="28"/>
        </w:rPr>
        <w:t>, ricca nell’immaginario collettivo come nella realtà di colpi di teatro degni di una sequenza cinematografica, da moltissimi decenni è molto diffuso un genere letterario-giudiziario tutt’affatto particolare.</w:t>
      </w:r>
    </w:p>
    <w:p w:rsidR="00D34104" w:rsidRPr="006D1191" w:rsidRDefault="00D34104" w:rsidP="00D34104">
      <w:pPr>
        <w:ind w:left="284" w:right="276" w:firstLine="425"/>
        <w:contextualSpacing/>
        <w:jc w:val="both"/>
        <w:rPr>
          <w:sz w:val="28"/>
        </w:rPr>
      </w:pPr>
      <w:r w:rsidRPr="006D1191">
        <w:rPr>
          <w:sz w:val="28"/>
        </w:rPr>
        <w:lastRenderedPageBreak/>
        <w:t xml:space="preserve">Ci si riferisce alla produzione di così detti </w:t>
      </w:r>
      <w:r w:rsidRPr="006D1191">
        <w:rPr>
          <w:i/>
          <w:sz w:val="28"/>
        </w:rPr>
        <w:t>Law tales</w:t>
      </w:r>
      <w:r w:rsidRPr="006D1191">
        <w:rPr>
          <w:sz w:val="28"/>
        </w:rPr>
        <w:t xml:space="preserve"> - racconti di ambientazione giurisdizionale - che altro non sono che la trasposizione in forma di novella di casi giudiziari reali, veramente trattati e risolti da una corte o da un’altra.</w:t>
      </w:r>
    </w:p>
    <w:p w:rsidR="00D34104" w:rsidRPr="006D1191" w:rsidRDefault="00D34104" w:rsidP="00D34104">
      <w:pPr>
        <w:ind w:left="284" w:right="276" w:firstLine="425"/>
        <w:contextualSpacing/>
        <w:jc w:val="both"/>
        <w:rPr>
          <w:sz w:val="28"/>
        </w:rPr>
      </w:pPr>
      <w:r w:rsidRPr="006D1191">
        <w:rPr>
          <w:sz w:val="28"/>
        </w:rPr>
        <w:t>Si tratta di una produzione letteraria tradizionalmente apprezzatissima tra il pubblico di lingua inglese che ha consegnato agli annali i nomi di alcuni autori assurti al rango di veri e propri maestri del genere.</w:t>
      </w:r>
    </w:p>
    <w:p w:rsidR="00D34104" w:rsidRDefault="00D34104" w:rsidP="00D34104">
      <w:pPr>
        <w:ind w:left="284" w:right="276" w:firstLine="425"/>
        <w:contextualSpacing/>
        <w:jc w:val="both"/>
        <w:rPr>
          <w:sz w:val="28"/>
        </w:rPr>
      </w:pPr>
      <w:r w:rsidRPr="006D1191">
        <w:rPr>
          <w:sz w:val="28"/>
        </w:rPr>
        <w:t xml:space="preserve">Tra i tanti, a conclusione di queste digressioni, è giusto fare il nome almeno di William Roughead (1870-1952) che negli ottantadue anni della sua vita, in larga parte spesi come </w:t>
      </w:r>
      <w:r w:rsidRPr="006D1191">
        <w:rPr>
          <w:i/>
          <w:sz w:val="28"/>
        </w:rPr>
        <w:t>solicitor</w:t>
      </w:r>
      <w:r w:rsidRPr="006D1191">
        <w:rPr>
          <w:rStyle w:val="Rimandonotaapidipagina"/>
          <w:sz w:val="28"/>
        </w:rPr>
        <w:footnoteReference w:id="22"/>
      </w:r>
      <w:r w:rsidRPr="006D1191">
        <w:rPr>
          <w:sz w:val="28"/>
        </w:rPr>
        <w:t xml:space="preserve"> in quel di Edimburgo, produsse una quarantina di volumi di </w:t>
      </w:r>
      <w:r w:rsidRPr="006D1191">
        <w:rPr>
          <w:i/>
          <w:sz w:val="28"/>
        </w:rPr>
        <w:t>Law tales</w:t>
      </w:r>
      <w:r w:rsidRPr="006D1191">
        <w:rPr>
          <w:sz w:val="28"/>
        </w:rPr>
        <w:t>, largamente ispirati a casi giudiziari realmente trattati, descritti con tanta maestria di stile da averne fatto uno degli autori di riferimento della cultura giuridica e non solo della Scozia novecentesca.</w:t>
      </w:r>
    </w:p>
    <w:p w:rsidR="00D34104" w:rsidRDefault="00D34104" w:rsidP="00D34104">
      <w:pPr>
        <w:ind w:left="284" w:right="276" w:firstLine="425"/>
        <w:contextualSpacing/>
        <w:jc w:val="center"/>
        <w:rPr>
          <w:b/>
          <w:sz w:val="28"/>
        </w:rPr>
      </w:pPr>
    </w:p>
    <w:p w:rsidR="00D34104" w:rsidRPr="009A2A48" w:rsidRDefault="00D34104" w:rsidP="00D34104">
      <w:pPr>
        <w:ind w:left="284" w:right="276" w:firstLine="425"/>
        <w:contextualSpacing/>
        <w:jc w:val="center"/>
        <w:rPr>
          <w:b/>
          <w:sz w:val="28"/>
          <w:u w:val="single"/>
        </w:rPr>
      </w:pPr>
      <w:r w:rsidRPr="009A2A48">
        <w:rPr>
          <w:b/>
          <w:sz w:val="28"/>
          <w:u w:val="single"/>
        </w:rPr>
        <w:t>Fiabisti o giuristi? Scrittori di storie tra diritto e letteratura</w:t>
      </w:r>
    </w:p>
    <w:p w:rsidR="00D34104" w:rsidRPr="000E5904" w:rsidRDefault="00D34104" w:rsidP="00D34104">
      <w:pPr>
        <w:ind w:left="284" w:right="276" w:firstLine="425"/>
        <w:contextualSpacing/>
        <w:jc w:val="center"/>
        <w:rPr>
          <w:b/>
          <w:sz w:val="22"/>
        </w:rPr>
      </w:pPr>
    </w:p>
    <w:p w:rsidR="00D34104" w:rsidRPr="00F07271" w:rsidRDefault="00D34104" w:rsidP="00D34104">
      <w:pPr>
        <w:ind w:left="284" w:right="276" w:firstLine="425"/>
        <w:contextualSpacing/>
        <w:jc w:val="both"/>
        <w:rPr>
          <w:sz w:val="28"/>
        </w:rPr>
      </w:pPr>
      <w:r w:rsidRPr="00F07271">
        <w:rPr>
          <w:sz w:val="28"/>
        </w:rPr>
        <w:t xml:space="preserve">Dopo quello che si è cercato di spiegare fino ad ora provando ad illustrare le complementarità strutturali tra un testo fiabico ed uno giuridico, desterà minore meraviglia, o forse non ne desterà affatto, osservare come alcuni tra i protagonisti universali di questo genere di tradizione e divulgazione letteraria, siano stati giuristi di formazione o comunque grandi cultori delle materie del </w:t>
      </w:r>
      <w:r w:rsidRPr="00F07271">
        <w:rPr>
          <w:i/>
          <w:sz w:val="28"/>
        </w:rPr>
        <w:t>giure</w:t>
      </w:r>
      <w:r w:rsidRPr="00F07271">
        <w:rPr>
          <w:sz w:val="28"/>
        </w:rPr>
        <w:t>, ed abbiano in alcuni casi esercitato per vivere professioni direttamente legate al mondo del diritto o ad esso molto vicine.</w:t>
      </w:r>
    </w:p>
    <w:p w:rsidR="00D34104" w:rsidRPr="00A5732C" w:rsidRDefault="00D34104" w:rsidP="00D34104">
      <w:pPr>
        <w:ind w:left="284" w:right="276" w:firstLine="425"/>
        <w:contextualSpacing/>
        <w:jc w:val="both"/>
        <w:rPr>
          <w:rFonts w:cs="Verdana"/>
          <w:sz w:val="28"/>
          <w:szCs w:val="30"/>
          <w:lang w:bidi="it-IT"/>
        </w:rPr>
      </w:pPr>
      <w:r w:rsidRPr="00F07271">
        <w:rPr>
          <w:sz w:val="28"/>
        </w:rPr>
        <w:t xml:space="preserve">Tra i principali autori di letteratura a sfondo fiabesco, quantunque non secondo gli stilemi tradizionali, un posto d’onore spetta in assoluto alla grande figura di </w:t>
      </w:r>
      <w:r w:rsidRPr="00A5732C">
        <w:rPr>
          <w:rFonts w:cs="Verdana"/>
          <w:sz w:val="28"/>
          <w:szCs w:val="30"/>
          <w:lang w:bidi="it-IT"/>
        </w:rPr>
        <w:t>François Rabelais (1494-1553).</w:t>
      </w:r>
    </w:p>
    <w:p w:rsidR="00D34104" w:rsidRPr="00A5732C" w:rsidRDefault="00D34104" w:rsidP="00D34104">
      <w:pPr>
        <w:ind w:left="284" w:right="276" w:firstLine="425"/>
        <w:contextualSpacing/>
        <w:jc w:val="both"/>
        <w:rPr>
          <w:rFonts w:cs="Verdana"/>
          <w:sz w:val="28"/>
          <w:szCs w:val="30"/>
          <w:lang w:bidi="it-IT"/>
        </w:rPr>
      </w:pPr>
      <w:r w:rsidRPr="00A5732C">
        <w:rPr>
          <w:rFonts w:cs="Verdana"/>
          <w:sz w:val="28"/>
          <w:szCs w:val="30"/>
          <w:lang w:bidi="it-IT"/>
        </w:rPr>
        <w:t xml:space="preserve">Un caso più unico che raro di attitudine critica alla divulgazione di acute teorie giuridiche, oltre che pozzo senza fondo di erudizione in materia, è costituito proprio dal suo capolavoro </w:t>
      </w:r>
      <w:r w:rsidRPr="00A5732C">
        <w:rPr>
          <w:rFonts w:cs="Verdana"/>
          <w:i/>
          <w:sz w:val="28"/>
          <w:szCs w:val="30"/>
          <w:lang w:bidi="it-IT"/>
        </w:rPr>
        <w:t>Gargantua e Pantagruele</w:t>
      </w:r>
      <w:r w:rsidRPr="00A5732C">
        <w:rPr>
          <w:rFonts w:cs="Verdana"/>
          <w:sz w:val="28"/>
          <w:szCs w:val="30"/>
          <w:lang w:bidi="it-IT"/>
        </w:rPr>
        <w:t>, una vastissima narrazione di fantasia composta tra il 1532 ed il 1534.</w:t>
      </w:r>
    </w:p>
    <w:p w:rsidR="00D34104" w:rsidRPr="00A5732C" w:rsidRDefault="00D34104" w:rsidP="00D34104">
      <w:pPr>
        <w:ind w:left="284" w:right="276" w:firstLine="425"/>
        <w:jc w:val="both"/>
        <w:rPr>
          <w:rFonts w:cs="Verdana"/>
          <w:sz w:val="28"/>
          <w:szCs w:val="30"/>
          <w:lang w:bidi="it-IT"/>
        </w:rPr>
      </w:pPr>
      <w:r w:rsidRPr="00A5732C">
        <w:rPr>
          <w:rFonts w:cs="Verdana"/>
          <w:sz w:val="28"/>
          <w:szCs w:val="30"/>
          <w:lang w:bidi="it-IT"/>
        </w:rPr>
        <w:t xml:space="preserve">L’autore - già lo si è visto in altra lezione, ma può qui ribadirsi - prima di optare per la teologia e per la medicina, aveva studiato legge e le sue ampie conoscenze giuridiche, mai sterili ma sempre perfettamente coniugate con la parossistica trama del romanzo, rendono il </w:t>
      </w:r>
      <w:r w:rsidRPr="00A5732C">
        <w:rPr>
          <w:rFonts w:cs="Verdana"/>
          <w:i/>
          <w:sz w:val="28"/>
          <w:szCs w:val="30"/>
          <w:lang w:bidi="it-IT"/>
        </w:rPr>
        <w:t>Gargantua</w:t>
      </w:r>
      <w:r w:rsidRPr="00A5732C">
        <w:rPr>
          <w:rFonts w:cs="Verdana"/>
          <w:sz w:val="28"/>
          <w:szCs w:val="30"/>
          <w:lang w:bidi="it-IT"/>
        </w:rPr>
        <w:t xml:space="preserve"> un’autentica miniera per la conoscenza del diritto ebraico biblico, di quello greco antico e di quello romano, sempre messi a confronto con la sociologia, la letteratura e la cultura rinascimentali, con tale ampiezza di vedute da rendere lo studio di quella </w:t>
      </w:r>
      <w:r w:rsidRPr="00A5732C">
        <w:rPr>
          <w:rFonts w:cs="Verdana"/>
          <w:sz w:val="28"/>
          <w:szCs w:val="30"/>
          <w:lang w:bidi="it-IT"/>
        </w:rPr>
        <w:lastRenderedPageBreak/>
        <w:t>ponderosa quanto affascinante opera del tutto gratificante per un giurista mediamente curioso</w:t>
      </w:r>
      <w:r w:rsidRPr="00A5732C">
        <w:rPr>
          <w:rStyle w:val="Rimandonotaapidipagina"/>
          <w:rFonts w:cs="Verdana"/>
          <w:sz w:val="28"/>
          <w:szCs w:val="30"/>
          <w:lang w:bidi="it-IT"/>
        </w:rPr>
        <w:footnoteReference w:id="23"/>
      </w:r>
      <w:r w:rsidRPr="00A5732C">
        <w:rPr>
          <w:rFonts w:cs="Verdana"/>
          <w:sz w:val="28"/>
          <w:szCs w:val="30"/>
          <w:lang w:bidi="it-IT"/>
        </w:rPr>
        <w:t>.</w:t>
      </w:r>
    </w:p>
    <w:p w:rsidR="00D34104" w:rsidRPr="00A5732C" w:rsidRDefault="00D34104" w:rsidP="00D34104">
      <w:pPr>
        <w:ind w:left="284" w:right="276" w:firstLine="425"/>
        <w:jc w:val="both"/>
        <w:rPr>
          <w:rFonts w:cs="Verdana"/>
          <w:sz w:val="28"/>
          <w:szCs w:val="30"/>
          <w:lang w:bidi="it-IT"/>
        </w:rPr>
      </w:pPr>
      <w:r w:rsidRPr="00A5732C">
        <w:rPr>
          <w:rFonts w:cs="Verdana"/>
          <w:sz w:val="28"/>
          <w:szCs w:val="30"/>
          <w:lang w:bidi="it-IT"/>
        </w:rPr>
        <w:t xml:space="preserve">Molti giuristi contemporanei si sono soffermati nello specifico sulle teorie processuali esposte nell’opera. </w:t>
      </w:r>
    </w:p>
    <w:p w:rsidR="00D34104" w:rsidRPr="00A5732C" w:rsidRDefault="00D34104" w:rsidP="00D34104">
      <w:pPr>
        <w:ind w:left="284" w:right="276" w:firstLine="425"/>
        <w:jc w:val="both"/>
        <w:rPr>
          <w:rFonts w:cs="Verdana"/>
          <w:sz w:val="28"/>
          <w:szCs w:val="30"/>
          <w:lang w:bidi="it-IT"/>
        </w:rPr>
      </w:pPr>
      <w:r w:rsidRPr="00A5732C">
        <w:rPr>
          <w:rFonts w:cs="Verdana"/>
          <w:sz w:val="28"/>
          <w:szCs w:val="30"/>
          <w:lang w:bidi="it-IT"/>
        </w:rPr>
        <w:t xml:space="preserve">In particolare nel capitolo quarantesimo del libro III, nel contesto di una disputa giudiziaria presentata nella storia, Rabelais esterna le singolari teorie processuali del giudice </w:t>
      </w:r>
      <w:r w:rsidRPr="00A5732C">
        <w:rPr>
          <w:rFonts w:cs="Verdana"/>
          <w:i/>
          <w:sz w:val="28"/>
          <w:szCs w:val="30"/>
          <w:lang w:bidi="it-IT"/>
        </w:rPr>
        <w:t>Briglialoca</w:t>
      </w:r>
      <w:r w:rsidRPr="00A5732C">
        <w:rPr>
          <w:rFonts w:cs="Verdana"/>
          <w:sz w:val="28"/>
          <w:szCs w:val="30"/>
          <w:lang w:bidi="it-IT"/>
        </w:rPr>
        <w:t xml:space="preserve">, chiamato a decidere la contesa (cosa che da sempre faceva, comunque dopo meticolosa attività istruttoria, </w:t>
      </w:r>
      <w:r w:rsidRPr="00A5732C">
        <w:rPr>
          <w:rFonts w:cs="Verdana"/>
          <w:i/>
          <w:sz w:val="28"/>
          <w:szCs w:val="30"/>
          <w:lang w:bidi="it-IT"/>
        </w:rPr>
        <w:t>tirando i dadi</w:t>
      </w:r>
      <w:r w:rsidRPr="00A5732C">
        <w:rPr>
          <w:rFonts w:cs="Verdana"/>
          <w:sz w:val="28"/>
          <w:szCs w:val="30"/>
          <w:lang w:bidi="it-IT"/>
        </w:rPr>
        <w:t xml:space="preserve">…). </w:t>
      </w:r>
    </w:p>
    <w:p w:rsidR="00D34104" w:rsidRPr="00A5732C" w:rsidRDefault="00D34104" w:rsidP="00D34104">
      <w:pPr>
        <w:ind w:left="284" w:right="276" w:firstLine="425"/>
        <w:jc w:val="both"/>
        <w:rPr>
          <w:rFonts w:cs="Verdana"/>
          <w:sz w:val="28"/>
          <w:szCs w:val="30"/>
          <w:lang w:bidi="it-IT"/>
        </w:rPr>
      </w:pPr>
      <w:r w:rsidRPr="00A5732C">
        <w:rPr>
          <w:rFonts w:cs="Verdana"/>
          <w:sz w:val="28"/>
          <w:szCs w:val="30"/>
          <w:lang w:bidi="it-IT"/>
        </w:rPr>
        <w:t xml:space="preserve">Il brano è singolare e le parole dell’anziano magistrato sono roboanti e meritano menzione: </w:t>
      </w:r>
    </w:p>
    <w:p w:rsidR="00D34104" w:rsidRPr="00A5732C" w:rsidRDefault="00D34104" w:rsidP="00D34104">
      <w:pPr>
        <w:ind w:left="284" w:right="276" w:firstLine="425"/>
        <w:jc w:val="both"/>
        <w:rPr>
          <w:rFonts w:cs="Verdana"/>
          <w:sz w:val="28"/>
          <w:szCs w:val="30"/>
          <w:lang w:bidi="it-IT"/>
        </w:rPr>
      </w:pPr>
    </w:p>
    <w:p w:rsidR="00D34104" w:rsidRPr="00777F64" w:rsidRDefault="00D34104" w:rsidP="00D34104">
      <w:pPr>
        <w:ind w:left="1134" w:right="1694"/>
        <w:jc w:val="both"/>
      </w:pPr>
      <w:r w:rsidRPr="00777F64">
        <w:t xml:space="preserve">Io [il giudice Briglialoca] considero che il tempo matura ogni cosa, e col tempo tutte le cose vengono in chiaro, e il tempo è padre della Verità. [...] E per questo appunto, come fate voi, Signori, io </w:t>
      </w:r>
      <w:r w:rsidRPr="00777F64">
        <w:rPr>
          <w:i/>
        </w:rPr>
        <w:t>soprassiedo, diluisco e differisco il giudizio: affinché il processo, ben ventilato, crivellato, e dibattuto</w:t>
      </w:r>
      <w:r w:rsidRPr="00777F64">
        <w:t xml:space="preserve">, arrivi in prosieguo di tempo alla sua maturità, e il giudizio della sorte, sopravvenendo a sua volta, sia più in santa pace accettato dalla parte condannata... </w:t>
      </w:r>
    </w:p>
    <w:p w:rsidR="00D34104" w:rsidRPr="00A5732C" w:rsidRDefault="00D34104" w:rsidP="00D34104">
      <w:pPr>
        <w:ind w:left="284" w:right="276" w:firstLine="425"/>
        <w:jc w:val="both"/>
        <w:rPr>
          <w:sz w:val="28"/>
        </w:rPr>
      </w:pPr>
    </w:p>
    <w:p w:rsidR="00D34104" w:rsidRPr="00A5732C" w:rsidRDefault="00D34104" w:rsidP="00D34104">
      <w:pPr>
        <w:ind w:left="284" w:right="276" w:firstLine="425"/>
        <w:jc w:val="both"/>
        <w:rPr>
          <w:rFonts w:cs="Verdana"/>
          <w:sz w:val="28"/>
          <w:szCs w:val="30"/>
          <w:lang w:bidi="it-IT"/>
        </w:rPr>
      </w:pPr>
      <w:r w:rsidRPr="00A5732C">
        <w:rPr>
          <w:sz w:val="28"/>
        </w:rPr>
        <w:t xml:space="preserve">Un affermato processualista italiano, giurista accademico ma anche battagliero avvocato, Bruno Cavallone, studioso dotato di notevoli </w:t>
      </w:r>
      <w:r w:rsidRPr="00777F64">
        <w:rPr>
          <w:i/>
          <w:sz w:val="28"/>
        </w:rPr>
        <w:t>verve</w:t>
      </w:r>
      <w:r w:rsidRPr="00A5732C">
        <w:rPr>
          <w:sz w:val="28"/>
        </w:rPr>
        <w:t xml:space="preserve"> e costruttiva curiosità</w:t>
      </w:r>
      <w:r w:rsidRPr="00A5732C">
        <w:rPr>
          <w:rFonts w:cs="Verdana"/>
          <w:sz w:val="28"/>
          <w:szCs w:val="30"/>
          <w:lang w:bidi="it-IT"/>
        </w:rPr>
        <w:t xml:space="preserve">, si è molto soffermato su questi spunti rabelesiani, rinvenendovi i segni chiari di una compartecipazione </w:t>
      </w:r>
      <w:r w:rsidRPr="00A5732C">
        <w:rPr>
          <w:rFonts w:cs="Verdana"/>
          <w:i/>
          <w:sz w:val="28"/>
          <w:szCs w:val="30"/>
          <w:lang w:bidi="it-IT"/>
        </w:rPr>
        <w:t xml:space="preserve">ante litteram </w:t>
      </w:r>
      <w:r w:rsidRPr="00A5732C">
        <w:rPr>
          <w:rFonts w:cs="Verdana"/>
          <w:sz w:val="28"/>
          <w:szCs w:val="30"/>
          <w:lang w:bidi="it-IT"/>
        </w:rPr>
        <w:t xml:space="preserve">alle teorie giudiziarie di cui sono fautori tutti gli studiosi del processo così detti </w:t>
      </w:r>
      <w:r w:rsidRPr="00A5732C">
        <w:rPr>
          <w:rFonts w:cs="Verdana"/>
          <w:i/>
          <w:sz w:val="28"/>
          <w:szCs w:val="30"/>
          <w:lang w:bidi="it-IT"/>
        </w:rPr>
        <w:t>ritualisti</w:t>
      </w:r>
      <w:r w:rsidRPr="00A5732C">
        <w:rPr>
          <w:rFonts w:cs="Verdana"/>
          <w:sz w:val="28"/>
          <w:szCs w:val="30"/>
          <w:lang w:bidi="it-IT"/>
        </w:rPr>
        <w:t xml:space="preserve">. </w:t>
      </w:r>
    </w:p>
    <w:p w:rsidR="00D34104" w:rsidRPr="00A5732C" w:rsidRDefault="00D34104" w:rsidP="00D34104">
      <w:pPr>
        <w:ind w:left="284" w:right="276" w:firstLine="425"/>
        <w:jc w:val="both"/>
        <w:rPr>
          <w:rFonts w:cs="Verdana"/>
          <w:sz w:val="28"/>
          <w:szCs w:val="30"/>
          <w:lang w:bidi="it-IT"/>
        </w:rPr>
      </w:pPr>
      <w:r w:rsidRPr="00A5732C">
        <w:rPr>
          <w:rFonts w:cs="Verdana"/>
          <w:sz w:val="28"/>
          <w:szCs w:val="30"/>
          <w:lang w:bidi="it-IT"/>
        </w:rPr>
        <w:t>La diluizione della tempistica per l’affermazione giurisdizionale, secondo le esplicite parole del giudice Briglialoca - in ciò seguito da Feliciano Benvenuti per il processo amministrativo, da Cavallone appunto, da Oscar Chase grande giurista americano, ma anche dalle teorie procedimentali generali di John Rawls di Robert Dahl e di Niklas Luhmann - non è sterile strategia attendista, ma ha una sua apprezzabile e sostanziale ragione di essere: quella di garantire la piena partecipazione delle parti al contraddittorio processuale in ogni suo passaggio, in ogni sua diramazione, allo scopo di rendere la decisione finale, quale essa sia, sentita come propria dai contendenti che l’abbiano convissuta passo dopo passo: anche da chi non abbia visto riconosciute le proprie ragioni, ma abbia comunque preso parte attivamente alla democrazia processuale che tutto ciò sottende</w:t>
      </w:r>
      <w:r w:rsidRPr="00A5732C">
        <w:rPr>
          <w:rStyle w:val="Rimandonotaapidipagina"/>
          <w:rFonts w:cs="Verdana"/>
          <w:sz w:val="28"/>
          <w:szCs w:val="30"/>
          <w:lang w:bidi="it-IT"/>
        </w:rPr>
        <w:footnoteReference w:id="24"/>
      </w:r>
      <w:r w:rsidRPr="00A5732C">
        <w:rPr>
          <w:rFonts w:cs="Verdana"/>
          <w:sz w:val="28"/>
          <w:szCs w:val="30"/>
          <w:lang w:bidi="it-IT"/>
        </w:rPr>
        <w:t>.</w:t>
      </w:r>
    </w:p>
    <w:p w:rsidR="00D34104" w:rsidRPr="00777F64" w:rsidRDefault="00D34104" w:rsidP="00D34104">
      <w:pPr>
        <w:ind w:left="284" w:right="276" w:firstLine="425"/>
        <w:contextualSpacing/>
        <w:jc w:val="both"/>
        <w:rPr>
          <w:rFonts w:cs="Verdana"/>
          <w:sz w:val="28"/>
          <w:szCs w:val="30"/>
          <w:lang w:bidi="it-IT"/>
        </w:rPr>
      </w:pPr>
      <w:r w:rsidRPr="00A5732C">
        <w:rPr>
          <w:rFonts w:cs="Verdana"/>
          <w:sz w:val="28"/>
          <w:szCs w:val="30"/>
          <w:lang w:bidi="it-IT"/>
        </w:rPr>
        <w:lastRenderedPageBreak/>
        <w:t xml:space="preserve">Anche in questo caso, in definitiva, l’etica </w:t>
      </w:r>
      <w:r w:rsidRPr="00777F64">
        <w:rPr>
          <w:rFonts w:cs="Verdana"/>
          <w:sz w:val="28"/>
          <w:szCs w:val="30"/>
          <w:lang w:bidi="it-IT"/>
        </w:rPr>
        <w:t>narrativa, poiché questo in fondo è il sapore intimo che ha l’opera di Rabelais, si dimostra un autentico capolinea di itinerari capaci di gettare viva luce sul mondo delle istituzioni politiche e sociali.</w:t>
      </w:r>
    </w:p>
    <w:p w:rsidR="00D34104" w:rsidRPr="00777F64" w:rsidRDefault="00D34104" w:rsidP="00D34104">
      <w:pPr>
        <w:ind w:left="284" w:right="276" w:firstLine="425"/>
        <w:contextualSpacing/>
        <w:jc w:val="both"/>
        <w:rPr>
          <w:rFonts w:cs="Helvetica"/>
          <w:sz w:val="28"/>
          <w:szCs w:val="26"/>
          <w:lang w:bidi="it-IT"/>
        </w:rPr>
      </w:pPr>
      <w:r w:rsidRPr="00777F64">
        <w:rPr>
          <w:rFonts w:cs="Helvetica-Bold"/>
          <w:bCs/>
          <w:sz w:val="28"/>
          <w:szCs w:val="26"/>
          <w:lang w:bidi="it-IT"/>
        </w:rPr>
        <w:t xml:space="preserve">Pure Jean de La Fontaine </w:t>
      </w:r>
      <w:r w:rsidRPr="00777F64">
        <w:rPr>
          <w:rFonts w:cs="Helvetica"/>
          <w:sz w:val="28"/>
          <w:szCs w:val="26"/>
          <w:lang w:bidi="it-IT"/>
        </w:rPr>
        <w:t>(1621-1695), scrittore e poeta francese, autore di celebri favole con intenti moralistici, ebbe ai suoi tempi un’autentica passione per il diritto ed una grande dimestichezza con la materia.</w:t>
      </w:r>
    </w:p>
    <w:p w:rsidR="00D34104" w:rsidRPr="00777F64" w:rsidRDefault="00D34104" w:rsidP="00D34104">
      <w:pPr>
        <w:ind w:left="284" w:right="276" w:firstLine="425"/>
        <w:contextualSpacing/>
        <w:jc w:val="both"/>
        <w:rPr>
          <w:rFonts w:cs="Helvetica"/>
          <w:sz w:val="28"/>
          <w:szCs w:val="26"/>
          <w:lang w:bidi="it-IT"/>
        </w:rPr>
      </w:pPr>
      <w:r w:rsidRPr="00777F64">
        <w:rPr>
          <w:rFonts w:cs="Helvetica"/>
          <w:sz w:val="28"/>
          <w:szCs w:val="26"/>
          <w:lang w:bidi="it-IT"/>
        </w:rPr>
        <w:t>Era del resto figlio di un magistrato - esattamente come i fratelli Grimm anch’essi figli di un giudice con giurisdizione di diritto agrario - e, nonostante l’iniziale opposizione paterna che per motivi di prestigio avrebbe voluto fare del ragazzo un alto prelato avviandolo alla teologia, il futuro letterato era riuscito a dare la svolta agognata ai propri studi.</w:t>
      </w:r>
    </w:p>
    <w:p w:rsidR="00D34104" w:rsidRPr="00777F64" w:rsidRDefault="00D34104" w:rsidP="00D34104">
      <w:pPr>
        <w:ind w:left="284" w:right="276" w:firstLine="425"/>
        <w:contextualSpacing/>
        <w:jc w:val="both"/>
        <w:rPr>
          <w:rFonts w:cs="Helvetica"/>
          <w:sz w:val="28"/>
          <w:szCs w:val="26"/>
          <w:lang w:bidi="it-IT"/>
        </w:rPr>
      </w:pPr>
      <w:r w:rsidRPr="00777F64">
        <w:rPr>
          <w:rFonts w:cs="Helvetica"/>
          <w:sz w:val="28"/>
          <w:szCs w:val="26"/>
          <w:lang w:bidi="it-IT"/>
        </w:rPr>
        <w:t xml:space="preserve">Si era infatti laureato anche lui in giurisprudenza nel 1641, frequentando per ben cinque anni i corsi della facoltà di Parigi dove più tardi, nel 1649, avrebbe superato gli esami per l’esercizio dell’avvocatura. Nel 1652 aveva ereditato la carica paterna di </w:t>
      </w:r>
      <w:r w:rsidRPr="009B60ED">
        <w:rPr>
          <w:rFonts w:cs="Helvetica"/>
          <w:i/>
          <w:sz w:val="28"/>
          <w:szCs w:val="26"/>
          <w:lang w:bidi="it-IT"/>
        </w:rPr>
        <w:t xml:space="preserve">consigliere </w:t>
      </w:r>
      <w:r w:rsidRPr="00777F64">
        <w:rPr>
          <w:rFonts w:cs="Helvetica"/>
          <w:i/>
          <w:sz w:val="28"/>
          <w:szCs w:val="26"/>
          <w:lang w:bidi="it-IT"/>
        </w:rPr>
        <w:t>degli affari delle acque e delle foreste</w:t>
      </w:r>
      <w:r w:rsidRPr="00777F64">
        <w:rPr>
          <w:rFonts w:cs="Helvetica"/>
          <w:sz w:val="28"/>
          <w:szCs w:val="26"/>
          <w:lang w:bidi="it-IT"/>
        </w:rPr>
        <w:t xml:space="preserve"> nel distretto di </w:t>
      </w:r>
      <w:r w:rsidRPr="00777F64">
        <w:rPr>
          <w:rFonts w:cs="Helvetica-Bold"/>
          <w:bCs/>
          <w:sz w:val="28"/>
          <w:szCs w:val="26"/>
          <w:lang w:bidi="it-IT"/>
        </w:rPr>
        <w:t>Château-Thierry, in Piccardia, sulle rive della Marna, incarico ricoperto fino al 1671.</w:t>
      </w:r>
    </w:p>
    <w:p w:rsidR="00D34104" w:rsidRPr="00FB7D56" w:rsidRDefault="00D34104" w:rsidP="00D34104">
      <w:pPr>
        <w:ind w:left="284" w:right="276" w:firstLine="425"/>
        <w:contextualSpacing/>
        <w:jc w:val="both"/>
        <w:rPr>
          <w:rFonts w:cs="Helvetica"/>
          <w:sz w:val="28"/>
          <w:szCs w:val="26"/>
          <w:lang w:bidi="it-IT"/>
        </w:rPr>
      </w:pPr>
      <w:r w:rsidRPr="00777F64">
        <w:rPr>
          <w:rFonts w:cs="Helvetica"/>
          <w:sz w:val="28"/>
          <w:szCs w:val="26"/>
          <w:lang w:bidi="it-IT"/>
        </w:rPr>
        <w:t xml:space="preserve">La formazione e la professionalità giuridiche dello scrittore francese si colgono a piene mani nelle sue squisite </w:t>
      </w:r>
      <w:r w:rsidRPr="00777F64">
        <w:rPr>
          <w:rFonts w:cs="Helvetica"/>
          <w:i/>
          <w:sz w:val="28"/>
          <w:szCs w:val="26"/>
          <w:lang w:bidi="it-IT"/>
        </w:rPr>
        <w:t>favole in versi</w:t>
      </w:r>
      <w:r w:rsidRPr="00777F64">
        <w:rPr>
          <w:rFonts w:cs="Helvetica"/>
          <w:sz w:val="28"/>
          <w:szCs w:val="26"/>
          <w:lang w:bidi="it-IT"/>
        </w:rPr>
        <w:t xml:space="preserve">, la cui prima stesura risale al 1669, tanto che, nel recente rigoglioso fiorire degli studi di </w:t>
      </w:r>
      <w:r w:rsidRPr="00FB7D56">
        <w:rPr>
          <w:rFonts w:cs="Helvetica"/>
          <w:i/>
          <w:sz w:val="28"/>
          <w:szCs w:val="26"/>
          <w:lang w:bidi="it-IT"/>
        </w:rPr>
        <w:t>Diritto e Letteratura</w:t>
      </w:r>
      <w:r w:rsidRPr="00FB7D56">
        <w:rPr>
          <w:rFonts w:cs="Helvetica"/>
          <w:sz w:val="28"/>
          <w:szCs w:val="26"/>
          <w:lang w:bidi="it-IT"/>
        </w:rPr>
        <w:t>, più di un corso universitario in patria è stato dedicato ad indagare gli elementi e le prospettive giuridiche contenuti nella favolistica di La Fontaine</w:t>
      </w:r>
      <w:r w:rsidRPr="00FB7D56">
        <w:rPr>
          <w:rStyle w:val="Rimandonotaapidipagina"/>
          <w:rFonts w:cs="Helvetica"/>
          <w:sz w:val="28"/>
          <w:szCs w:val="26"/>
          <w:lang w:bidi="it-IT"/>
        </w:rPr>
        <w:footnoteReference w:id="25"/>
      </w:r>
      <w:r w:rsidRPr="00FB7D56">
        <w:rPr>
          <w:rFonts w:cs="Helvetica"/>
          <w:sz w:val="28"/>
          <w:szCs w:val="26"/>
          <w:lang w:bidi="it-IT"/>
        </w:rPr>
        <w:t>.</w:t>
      </w:r>
    </w:p>
    <w:p w:rsidR="00D34104" w:rsidRPr="00FB7D56" w:rsidRDefault="00D34104" w:rsidP="00D34104">
      <w:pPr>
        <w:ind w:left="284" w:right="276" w:firstLine="425"/>
        <w:contextualSpacing/>
        <w:jc w:val="both"/>
        <w:rPr>
          <w:rFonts w:cs="Helvetica"/>
          <w:sz w:val="28"/>
          <w:szCs w:val="26"/>
          <w:lang w:bidi="it-IT"/>
        </w:rPr>
      </w:pPr>
      <w:r w:rsidRPr="00FB7D56">
        <w:rPr>
          <w:rFonts w:cs="Helvetica"/>
          <w:sz w:val="28"/>
          <w:szCs w:val="26"/>
          <w:lang w:bidi="it-IT"/>
        </w:rPr>
        <w:t>Ciò ha fatto dire anche, molti anni fa, ad uno dei critici più competenti dell’opera dello scrittore che le duecentoquaranta favole di La Fontaine altro non sono che duecentoquaranta commenti di situazioni giudiziarie, temi di diritto contrattuale, di diritto commerciale o del lavoro, ma anche di diritto e di procedura giudiziaria idonei, benché per lo più agitati da animali domestici, bestiole o fiere selvagge, a compendiare un intero codice di diritto privato e di diritto pubblico, denso di regole ed utili ammaestramenti per il ruolo dell’uomo nel mondo</w:t>
      </w:r>
      <w:r w:rsidRPr="00FB7D56">
        <w:rPr>
          <w:rStyle w:val="Rimandonotaapidipagina"/>
          <w:rFonts w:cs="Helvetica"/>
          <w:sz w:val="28"/>
          <w:szCs w:val="26"/>
          <w:lang w:bidi="it-IT"/>
        </w:rPr>
        <w:footnoteReference w:id="26"/>
      </w:r>
      <w:r w:rsidRPr="00FB7D56">
        <w:rPr>
          <w:rFonts w:cs="Helvetica"/>
          <w:sz w:val="28"/>
          <w:szCs w:val="26"/>
          <w:lang w:bidi="it-IT"/>
        </w:rPr>
        <w:t>.</w:t>
      </w:r>
    </w:p>
    <w:p w:rsidR="00D34104" w:rsidRPr="00D53E12" w:rsidRDefault="00D34104" w:rsidP="00D34104">
      <w:pPr>
        <w:ind w:left="284" w:right="276" w:firstLine="425"/>
        <w:contextualSpacing/>
        <w:jc w:val="both"/>
        <w:rPr>
          <w:rFonts w:cs="Helvetica"/>
          <w:sz w:val="28"/>
          <w:szCs w:val="26"/>
          <w:lang w:bidi="it-IT"/>
        </w:rPr>
      </w:pPr>
      <w:r w:rsidRPr="00FB7D56">
        <w:rPr>
          <w:rFonts w:cs="Helvetica"/>
          <w:sz w:val="28"/>
          <w:szCs w:val="26"/>
          <w:lang w:bidi="it-IT"/>
        </w:rPr>
        <w:t xml:space="preserve">Forse si tratta di un giudizio troppo radicale, tuttavia non vi sono dubbi sul fatto che l’ordito delle affascinanti favolette in versi tramandate dal poeta francese abbondino di riferimenti a situazioni, fattispecie, modelli del diritto e del processo moderni, come in parte già era stato seppur su di un piano più </w:t>
      </w:r>
      <w:r w:rsidRPr="00D53E12">
        <w:rPr>
          <w:rFonts w:cs="Helvetica"/>
          <w:sz w:val="28"/>
          <w:szCs w:val="26"/>
          <w:lang w:bidi="it-IT"/>
        </w:rPr>
        <w:t xml:space="preserve">moraleggiante che di stretto diritto, per i modelli </w:t>
      </w:r>
      <w:r w:rsidRPr="00D53E12">
        <w:rPr>
          <w:rFonts w:cs="Helvetica"/>
          <w:i/>
          <w:sz w:val="28"/>
          <w:szCs w:val="26"/>
          <w:lang w:bidi="it-IT"/>
        </w:rPr>
        <w:t xml:space="preserve">esopiano </w:t>
      </w:r>
      <w:r w:rsidRPr="00D53E12">
        <w:rPr>
          <w:rFonts w:cs="Helvetica"/>
          <w:sz w:val="28"/>
          <w:szCs w:val="26"/>
          <w:lang w:bidi="it-IT"/>
        </w:rPr>
        <w:t xml:space="preserve">e </w:t>
      </w:r>
      <w:r w:rsidRPr="00D53E12">
        <w:rPr>
          <w:rFonts w:cs="Helvetica"/>
          <w:i/>
          <w:sz w:val="28"/>
          <w:szCs w:val="26"/>
          <w:lang w:bidi="it-IT"/>
        </w:rPr>
        <w:t>fedriano</w:t>
      </w:r>
      <w:r w:rsidRPr="00D53E12">
        <w:rPr>
          <w:rFonts w:cs="Helvetica"/>
          <w:sz w:val="28"/>
          <w:szCs w:val="26"/>
          <w:lang w:bidi="it-IT"/>
        </w:rPr>
        <w:t xml:space="preserve"> larghissimamente tenuti presenti da La Fontaine.</w:t>
      </w:r>
    </w:p>
    <w:p w:rsidR="00D34104" w:rsidRPr="00D53E12" w:rsidRDefault="00D34104" w:rsidP="00D34104">
      <w:pPr>
        <w:ind w:left="284" w:right="276" w:firstLine="425"/>
        <w:contextualSpacing/>
        <w:jc w:val="both"/>
        <w:rPr>
          <w:rFonts w:cs="Helvetica"/>
          <w:sz w:val="28"/>
          <w:szCs w:val="26"/>
          <w:lang w:bidi="it-IT"/>
        </w:rPr>
      </w:pPr>
      <w:r w:rsidRPr="00D53E12">
        <w:rPr>
          <w:rFonts w:cs="Helvetica"/>
          <w:sz w:val="28"/>
          <w:szCs w:val="26"/>
          <w:lang w:bidi="it-IT"/>
        </w:rPr>
        <w:t>Giudici, avvocati ed arbitri popolano l’universo poetico dell’autore transalpino e quasi mai ci fanno bella figura.</w:t>
      </w:r>
    </w:p>
    <w:p w:rsidR="00D34104" w:rsidRPr="00D53E12" w:rsidRDefault="00D34104" w:rsidP="00D34104">
      <w:pPr>
        <w:ind w:left="284" w:right="276" w:firstLine="425"/>
        <w:contextualSpacing/>
        <w:jc w:val="both"/>
        <w:rPr>
          <w:rFonts w:cs="Helvetica"/>
          <w:sz w:val="28"/>
          <w:szCs w:val="26"/>
          <w:lang w:bidi="it-IT"/>
        </w:rPr>
      </w:pPr>
      <w:r w:rsidRPr="00D53E12">
        <w:rPr>
          <w:rFonts w:cs="Helvetica"/>
          <w:sz w:val="28"/>
          <w:szCs w:val="26"/>
          <w:lang w:bidi="it-IT"/>
        </w:rPr>
        <w:lastRenderedPageBreak/>
        <w:t xml:space="preserve">Si pensi, solo per fare pochi esempi, a </w:t>
      </w:r>
      <w:r w:rsidRPr="00D53E12">
        <w:rPr>
          <w:rFonts w:cs="Helvetica"/>
          <w:i/>
          <w:sz w:val="28"/>
          <w:szCs w:val="26"/>
          <w:lang w:bidi="it-IT"/>
        </w:rPr>
        <w:t>I Calabroni e le Api</w:t>
      </w:r>
      <w:r w:rsidRPr="00D53E12">
        <w:rPr>
          <w:rFonts w:cs="Helvetica"/>
          <w:sz w:val="28"/>
          <w:szCs w:val="26"/>
          <w:lang w:bidi="it-IT"/>
        </w:rPr>
        <w:t xml:space="preserve"> (favola n. XXI del 1° libro), elegante quanto durissimo atto d’accusa verso le lungaggini delle procedure giudiziarie secentesche, capaci solo, dopo mille differimenti, balzelli, tasse, scartoffie e dilazioni varie, di ingrassare patroni e magistrati</w:t>
      </w:r>
      <w:r w:rsidRPr="00D53E12">
        <w:rPr>
          <w:rStyle w:val="Rimandonotaapidipagina"/>
          <w:rFonts w:cs="Helvetica"/>
          <w:sz w:val="28"/>
          <w:szCs w:val="26"/>
          <w:lang w:bidi="it-IT"/>
        </w:rPr>
        <w:footnoteReference w:id="27"/>
      </w:r>
      <w:r w:rsidRPr="00D53E12">
        <w:rPr>
          <w:rFonts w:cs="Helvetica"/>
          <w:sz w:val="28"/>
          <w:szCs w:val="26"/>
          <w:lang w:bidi="it-IT"/>
        </w:rPr>
        <w:t>.</w:t>
      </w:r>
    </w:p>
    <w:p w:rsidR="00D34104" w:rsidRPr="00D53E12" w:rsidRDefault="00D34104" w:rsidP="00D34104">
      <w:pPr>
        <w:ind w:left="284" w:right="276" w:firstLine="425"/>
        <w:contextualSpacing/>
        <w:jc w:val="both"/>
        <w:rPr>
          <w:rFonts w:cs="Helvetica"/>
          <w:sz w:val="28"/>
          <w:szCs w:val="26"/>
          <w:lang w:bidi="it-IT"/>
        </w:rPr>
      </w:pPr>
      <w:r w:rsidRPr="00D53E12">
        <w:rPr>
          <w:rFonts w:cs="Helvetica"/>
          <w:sz w:val="28"/>
          <w:szCs w:val="26"/>
          <w:lang w:bidi="it-IT"/>
        </w:rPr>
        <w:t xml:space="preserve">Oppure ancora a </w:t>
      </w:r>
      <w:r w:rsidRPr="00D53E12">
        <w:rPr>
          <w:rFonts w:cs="Helvetica"/>
          <w:i/>
          <w:sz w:val="28"/>
          <w:szCs w:val="26"/>
          <w:lang w:bidi="it-IT"/>
        </w:rPr>
        <w:t>Il Gatto, la Donnola e il Coniglio</w:t>
      </w:r>
      <w:r w:rsidRPr="00D53E12">
        <w:rPr>
          <w:rFonts w:cs="Helvetica"/>
          <w:sz w:val="28"/>
          <w:szCs w:val="26"/>
          <w:lang w:bidi="it-IT"/>
        </w:rPr>
        <w:t xml:space="preserve"> (favola n. XVI del 7° libro) il cui il bonario giudice felino non trova di meglio, chiamato a decidere un caso di occupazione di proprietà domestica consumato dalla Donnola ai danni del Coniglio, che papparsi letteralmente entrambi i contendenti…</w:t>
      </w:r>
      <w:r w:rsidRPr="00D53E12">
        <w:rPr>
          <w:rStyle w:val="Rimandonotaapidipagina"/>
          <w:rFonts w:cs="Helvetica"/>
          <w:sz w:val="28"/>
          <w:szCs w:val="26"/>
          <w:lang w:bidi="it-IT"/>
        </w:rPr>
        <w:footnoteReference w:id="28"/>
      </w:r>
    </w:p>
    <w:p w:rsidR="00D34104" w:rsidRPr="00D53E12" w:rsidRDefault="00D34104" w:rsidP="00D34104">
      <w:pPr>
        <w:ind w:left="284" w:right="276" w:firstLine="425"/>
        <w:contextualSpacing/>
        <w:jc w:val="both"/>
        <w:rPr>
          <w:sz w:val="28"/>
        </w:rPr>
      </w:pPr>
      <w:r w:rsidRPr="00D53E12">
        <w:rPr>
          <w:rFonts w:cs="Helvetica"/>
          <w:sz w:val="28"/>
          <w:szCs w:val="26"/>
          <w:lang w:bidi="it-IT"/>
        </w:rPr>
        <w:lastRenderedPageBreak/>
        <w:t>Altra affascinante figura di scrittore di fiabe con interessi giuridici rilevanti e particolari, professionalmente messi in atto nel corso dell’intera sua vita fu quella di Charles Perrault (1628-1703).</w:t>
      </w:r>
      <w:r w:rsidRPr="00D53E12">
        <w:rPr>
          <w:sz w:val="28"/>
        </w:rPr>
        <w:t xml:space="preserve"> </w:t>
      </w:r>
    </w:p>
    <w:p w:rsidR="00D34104" w:rsidRPr="00D53E12" w:rsidRDefault="00D34104" w:rsidP="00D34104">
      <w:pPr>
        <w:ind w:left="284" w:right="276" w:firstLine="425"/>
        <w:contextualSpacing/>
        <w:jc w:val="both"/>
        <w:rPr>
          <w:sz w:val="28"/>
        </w:rPr>
      </w:pPr>
      <w:r w:rsidRPr="00D53E12">
        <w:rPr>
          <w:sz w:val="28"/>
        </w:rPr>
        <w:t>Figlio  di un avvocato dell’alta borghesia parigina, pure Perrault si era addottorato in legge ed era subito entrato, con incarichi di alta responsabilità, tra gli amministratori al servizio della vasta e variegata corte di Luigi XIV.</w:t>
      </w:r>
    </w:p>
    <w:p w:rsidR="00D34104" w:rsidRPr="00D53E12" w:rsidRDefault="00D34104" w:rsidP="00D34104">
      <w:pPr>
        <w:ind w:left="284" w:right="276" w:firstLine="425"/>
        <w:contextualSpacing/>
        <w:jc w:val="both"/>
        <w:rPr>
          <w:sz w:val="28"/>
        </w:rPr>
      </w:pPr>
      <w:r w:rsidRPr="00D53E12">
        <w:rPr>
          <w:sz w:val="28"/>
        </w:rPr>
        <w:t xml:space="preserve">Per la precisione era entrato a far parte della ristretta cerchia di funzionari pubblici alle dipendenze di Jean Baptiste Colbert (1619-1683), il celebrato ministro dell’economia del re Sole, artefice del risanamento delle finanze pubbliche francesi del tempo e fautore convinto di una filosofia politica, economica e giuridica ad un tempo, tutta improntata al </w:t>
      </w:r>
      <w:r w:rsidRPr="00E32E2A">
        <w:rPr>
          <w:i/>
          <w:sz w:val="28"/>
        </w:rPr>
        <w:t>mercantilismo</w:t>
      </w:r>
      <w:r w:rsidRPr="00E32E2A">
        <w:rPr>
          <w:sz w:val="28"/>
        </w:rPr>
        <w:t>,</w:t>
      </w:r>
      <w:r w:rsidRPr="00D53E12">
        <w:rPr>
          <w:sz w:val="28"/>
        </w:rPr>
        <w:t xml:space="preserve"> inteso come strumento di libertà e di crescita commerciale, soprattutto in materia di esportazioni, delle categorie imprenditoriali del paese, spronate a riorganizzarsi per competere sui mercati di tutta Europa e contribuire allo svecchiamento ed al superamento dell’immobilismo del contesto pubblico interno.</w:t>
      </w:r>
    </w:p>
    <w:p w:rsidR="00D34104" w:rsidRPr="00D53E12" w:rsidRDefault="00D34104" w:rsidP="00D34104">
      <w:pPr>
        <w:ind w:left="284" w:right="276" w:firstLine="425"/>
        <w:contextualSpacing/>
        <w:jc w:val="both"/>
        <w:rPr>
          <w:sz w:val="28"/>
        </w:rPr>
      </w:pPr>
      <w:r w:rsidRPr="00D53E12">
        <w:rPr>
          <w:sz w:val="28"/>
        </w:rPr>
        <w:t>Perrault collaborò con Colbert per circa venti anni, diventandone di fatto il braccio destro.</w:t>
      </w:r>
    </w:p>
    <w:p w:rsidR="00D34104" w:rsidRPr="00D53E12" w:rsidRDefault="00D34104" w:rsidP="00D34104">
      <w:pPr>
        <w:ind w:left="284" w:right="276" w:firstLine="425"/>
        <w:contextualSpacing/>
        <w:jc w:val="both"/>
        <w:rPr>
          <w:sz w:val="28"/>
        </w:rPr>
      </w:pPr>
      <w:r w:rsidRPr="00D53E12">
        <w:rPr>
          <w:sz w:val="28"/>
        </w:rPr>
        <w:t>Furono anni di studio e di approfondimento della conoscenza di tutti i gangli – dalle finanze, all’edilizia, alla pubblica amministrazione, alla giustizia – della machina statale di Luigi XIV; fu comunque, di sicuro, un’esperienza tanto indimenticabile quanto impegnativa e logorante, esaurita la quale, del resto, lo scrittore si ritirò nelle proprie tenute, a vita privata.</w:t>
      </w:r>
    </w:p>
    <w:p w:rsidR="00D34104" w:rsidRPr="00D53E12" w:rsidRDefault="00D34104" w:rsidP="00D34104">
      <w:pPr>
        <w:ind w:left="284" w:right="276" w:firstLine="425"/>
        <w:contextualSpacing/>
        <w:jc w:val="both"/>
        <w:rPr>
          <w:sz w:val="28"/>
        </w:rPr>
      </w:pPr>
      <w:r w:rsidRPr="00D53E12">
        <w:rPr>
          <w:sz w:val="28"/>
        </w:rPr>
        <w:t xml:space="preserve">Forse non tutti sanno che al servizio di Colbert e del Borbone, Perrault dovete occuparsi anche, suo malgrado, di istruire, sempre benevolmente, molti giudizi di stregoneria - una delle superstizioni del tempo, ritenuta in quegli anni una pratica malefica assolutamente in auge - e di collaborare, addirittura, alla stesura della famosa ordinanza di Luigi XIV che nel 1682 aveva regolamentato la materia dei </w:t>
      </w:r>
      <w:r w:rsidRPr="00E32E2A">
        <w:rPr>
          <w:i/>
          <w:sz w:val="28"/>
        </w:rPr>
        <w:t>processi a streghe e stregoni</w:t>
      </w:r>
      <w:r w:rsidRPr="00D53E12">
        <w:rPr>
          <w:sz w:val="28"/>
        </w:rPr>
        <w:t>, autentica piaga giudiziaria della Francia di quegli anni, limitando i casi di pena capitale, abolendo i roghi dimostrativi di massa, prevedendo la commutabilità della pena di morte col bando, e largheggiando in materia di valutazione delle prove a discolpa</w:t>
      </w:r>
      <w:r w:rsidRPr="00D53E12">
        <w:rPr>
          <w:rStyle w:val="Rimandonotaapidipagina"/>
          <w:sz w:val="28"/>
        </w:rPr>
        <w:footnoteReference w:id="29"/>
      </w:r>
      <w:r w:rsidRPr="00D53E12">
        <w:rPr>
          <w:sz w:val="28"/>
        </w:rPr>
        <w:t>.</w:t>
      </w:r>
    </w:p>
    <w:p w:rsidR="00D34104" w:rsidRPr="00D53E12" w:rsidRDefault="00D34104" w:rsidP="00D34104">
      <w:pPr>
        <w:ind w:left="284" w:right="276" w:firstLine="425"/>
        <w:contextualSpacing/>
        <w:jc w:val="both"/>
        <w:rPr>
          <w:sz w:val="28"/>
        </w:rPr>
      </w:pPr>
      <w:r w:rsidRPr="00D53E12">
        <w:rPr>
          <w:sz w:val="28"/>
        </w:rPr>
        <w:t xml:space="preserve"> Ritiratosi infine nei propri possedimenti, Perrault nel 1697 aveva pubblicato la prima versione del capolavoro </w:t>
      </w:r>
      <w:r w:rsidRPr="00E32E2A">
        <w:rPr>
          <w:i/>
          <w:sz w:val="28"/>
        </w:rPr>
        <w:t>Les histoires ou contes du temps passé. Contes de ma Mère l’Oye</w:t>
      </w:r>
      <w:r w:rsidRPr="00D53E12">
        <w:rPr>
          <w:sz w:val="28"/>
        </w:rPr>
        <w:t xml:space="preserve">, noto, in italiano, da sempre, semplicemente come </w:t>
      </w:r>
      <w:r w:rsidRPr="00E32E2A">
        <w:rPr>
          <w:i/>
          <w:sz w:val="28"/>
        </w:rPr>
        <w:t>I racconti di mamma l’Oca</w:t>
      </w:r>
      <w:r w:rsidRPr="00D53E12">
        <w:rPr>
          <w:sz w:val="28"/>
        </w:rPr>
        <w:t xml:space="preserve">.  </w:t>
      </w:r>
    </w:p>
    <w:p w:rsidR="00D34104" w:rsidRPr="00D53E12" w:rsidRDefault="00D34104" w:rsidP="00D34104">
      <w:pPr>
        <w:ind w:left="284" w:right="276" w:firstLine="425"/>
        <w:contextualSpacing/>
        <w:jc w:val="both"/>
        <w:rPr>
          <w:sz w:val="28"/>
        </w:rPr>
      </w:pPr>
      <w:r w:rsidRPr="00D53E12">
        <w:rPr>
          <w:sz w:val="28"/>
        </w:rPr>
        <w:t xml:space="preserve">Uomo di Palazzo, smaliziato osservatore degli incantesimi del potere di cui egli stesso era stato artefice e strumento, Perrault ha lasciato intravedere qua e là, nella trascrizione delle fiabe popolari da lui raccolte - originariamente sembra per leggerle ai figli piccoli concepiti in tarda età - i simboli di un’intera vita professionale trascorsa all’ombra dell’autorità debordante della macchina statale di Luigi XIV, </w:t>
      </w:r>
      <w:r w:rsidRPr="00E32E2A">
        <w:rPr>
          <w:i/>
          <w:sz w:val="28"/>
        </w:rPr>
        <w:t>sovranocentrica</w:t>
      </w:r>
      <w:r w:rsidRPr="00D53E12">
        <w:rPr>
          <w:sz w:val="28"/>
        </w:rPr>
        <w:t xml:space="preserve">, assolutista, </w:t>
      </w:r>
      <w:r w:rsidRPr="00E32E2A">
        <w:rPr>
          <w:i/>
          <w:sz w:val="28"/>
        </w:rPr>
        <w:t>onniregolatrice</w:t>
      </w:r>
      <w:r w:rsidRPr="00D53E12">
        <w:rPr>
          <w:sz w:val="28"/>
        </w:rPr>
        <w:t>.</w:t>
      </w:r>
    </w:p>
    <w:p w:rsidR="00D34104" w:rsidRPr="00E32E2A" w:rsidRDefault="00D34104" w:rsidP="00D34104">
      <w:pPr>
        <w:ind w:left="284" w:right="276" w:firstLine="425"/>
        <w:contextualSpacing/>
        <w:jc w:val="both"/>
        <w:rPr>
          <w:sz w:val="28"/>
        </w:rPr>
      </w:pPr>
      <w:r w:rsidRPr="00D53E12">
        <w:rPr>
          <w:sz w:val="28"/>
        </w:rPr>
        <w:lastRenderedPageBreak/>
        <w:t xml:space="preserve">Con </w:t>
      </w:r>
      <w:r w:rsidRPr="00E32E2A">
        <w:rPr>
          <w:i/>
          <w:sz w:val="28"/>
        </w:rPr>
        <w:t>I racconti di mamma l’Oca</w:t>
      </w:r>
      <w:r w:rsidRPr="00E32E2A">
        <w:rPr>
          <w:sz w:val="28"/>
        </w:rPr>
        <w:t>, prodotto precipuo, tra i tantissimi altri, dell’età aurea e controversa del re Sole, prendeva avvio la vera storia moderna della fiaba, nobilitata dal genio letterario dell’autore francese al rango di genere autonomo che, destinato non solo o non tanto al pubblico dei più piccoli, poteva catalizzare l’attenzione di nobili, cortigiani e borghesi alfabetizzati solo a condizione di universalizzare, con asciuttezza, le esperienze di secoli e secoli di vita culturale - fatte di mito, religione e ragione - in una sorta di valvola di sfogo degli equilibri, non sempre agevoli, delle varie forze sociali in campo.</w:t>
      </w:r>
    </w:p>
    <w:p w:rsidR="00D34104" w:rsidRPr="00E32E2A" w:rsidRDefault="00D34104" w:rsidP="00D34104">
      <w:pPr>
        <w:ind w:left="284" w:right="276" w:firstLine="425"/>
        <w:contextualSpacing/>
        <w:jc w:val="both"/>
        <w:rPr>
          <w:sz w:val="28"/>
        </w:rPr>
      </w:pPr>
      <w:r w:rsidRPr="00E32E2A">
        <w:rPr>
          <w:sz w:val="28"/>
        </w:rPr>
        <w:t>Tutto ciò, e per Perrault era del tutto naturale, sotto l’egida sempiterna, ora discreta ora più intrusiva, dell’Autorità bruta fine a se stessa (</w:t>
      </w:r>
      <w:r w:rsidRPr="00F9435B">
        <w:rPr>
          <w:i/>
          <w:sz w:val="28"/>
        </w:rPr>
        <w:t>Barbablù</w:t>
      </w:r>
      <w:r w:rsidRPr="00E32E2A">
        <w:rPr>
          <w:sz w:val="28"/>
        </w:rPr>
        <w:t>) e dell’ossequio forzoso alla stessa (</w:t>
      </w:r>
      <w:r w:rsidRPr="00F9435B">
        <w:rPr>
          <w:i/>
          <w:sz w:val="28"/>
        </w:rPr>
        <w:t>La bella addormentata nel bosco</w:t>
      </w:r>
      <w:r w:rsidRPr="00E32E2A">
        <w:rPr>
          <w:sz w:val="28"/>
        </w:rPr>
        <w:t>).</w:t>
      </w:r>
    </w:p>
    <w:p w:rsidR="00D34104" w:rsidRPr="00E32E2A" w:rsidRDefault="00D34104" w:rsidP="00D34104">
      <w:pPr>
        <w:ind w:left="284" w:right="276" w:firstLine="425"/>
        <w:contextualSpacing/>
        <w:jc w:val="both"/>
        <w:rPr>
          <w:sz w:val="28"/>
        </w:rPr>
      </w:pPr>
      <w:r w:rsidRPr="00E32E2A">
        <w:rPr>
          <w:sz w:val="28"/>
        </w:rPr>
        <w:t>C’è un passaggio, in quest’ultima fiaba, in assoluto una delle più note ed amate dell’universo occidentale, anche per la celeberrima versione a cartoni animati fattane da Walt Disney (</w:t>
      </w:r>
      <w:r w:rsidRPr="0006695F">
        <w:rPr>
          <w:i/>
          <w:sz w:val="28"/>
        </w:rPr>
        <w:t>Sleeping Beauty</w:t>
      </w:r>
      <w:r w:rsidRPr="00E32E2A">
        <w:rPr>
          <w:sz w:val="28"/>
        </w:rPr>
        <w:t xml:space="preserve">, il 16° dei grandi classici di animazione della </w:t>
      </w:r>
      <w:r w:rsidRPr="00315C5C">
        <w:rPr>
          <w:i/>
          <w:sz w:val="28"/>
        </w:rPr>
        <w:t>major hollywoodiana</w:t>
      </w:r>
      <w:r w:rsidRPr="00E32E2A">
        <w:rPr>
          <w:sz w:val="28"/>
        </w:rPr>
        <w:t>, del 1959), che è veramente emblematico.</w:t>
      </w:r>
    </w:p>
    <w:p w:rsidR="00D34104" w:rsidRPr="00E32E2A" w:rsidRDefault="00D34104" w:rsidP="00D34104">
      <w:pPr>
        <w:ind w:left="284" w:right="276" w:firstLine="425"/>
        <w:contextualSpacing/>
        <w:jc w:val="both"/>
        <w:rPr>
          <w:sz w:val="28"/>
        </w:rPr>
      </w:pPr>
      <w:r w:rsidRPr="00E32E2A">
        <w:rPr>
          <w:sz w:val="28"/>
        </w:rPr>
        <w:t xml:space="preserve"> Come si sa, solo per intercessione di una fata amorevole la condanna a morte per la puntura di un fuso, profetizzata dalla strega cattiva ai danni della piccola principessa, era stata tramutata in quella a cent’anni ininterrotti di sonno, fino al risveglio per l’innamoramento e per il bacio di un principe estasiato.</w:t>
      </w:r>
    </w:p>
    <w:p w:rsidR="00D34104" w:rsidRPr="00E32E2A" w:rsidRDefault="00D34104" w:rsidP="00D34104">
      <w:pPr>
        <w:ind w:left="284" w:right="276" w:firstLine="425"/>
        <w:contextualSpacing/>
        <w:jc w:val="both"/>
        <w:rPr>
          <w:sz w:val="28"/>
        </w:rPr>
      </w:pPr>
      <w:r w:rsidRPr="00E32E2A">
        <w:rPr>
          <w:sz w:val="28"/>
        </w:rPr>
        <w:t>Ebbene sempre la fata buona, nel predisporre ogni cosa per la lunghissima indotta letargia, non aveva esitato un istante, quando il momento era arrivato – quasi ella stessa fosse una fedele interprete dei rapporti di forza e di obbedienza di quella società parafeudale – a sacrificare le esistenze di tutto il personale del regal castello, addormentando con la propria bacchetta magica gentiluomini, dame di compagnia, servitori, valletti, scudieri, cuochi e camerieri, palafrenieri ed inservienti, tutti strappati alle loro vite del momento, al solo fine di far sentire la principessina meno sola al momento del suo futuribile ma scontato risveglio.</w:t>
      </w:r>
    </w:p>
    <w:p w:rsidR="00D34104" w:rsidRPr="00E32E2A" w:rsidRDefault="00D34104" w:rsidP="00D34104">
      <w:pPr>
        <w:ind w:left="284" w:right="276" w:firstLine="425"/>
        <w:contextualSpacing/>
        <w:jc w:val="both"/>
        <w:rPr>
          <w:sz w:val="28"/>
        </w:rPr>
      </w:pPr>
      <w:r w:rsidRPr="00E32E2A">
        <w:rPr>
          <w:sz w:val="28"/>
        </w:rPr>
        <w:t>In questo la fiaba di Perrault, più che espressiva di valori popolari e comunitari di cifra identitaria, come sarebbe stato di lì a un secolo dopo per i fratelli Grimm, pare piuttosto essere uno dei prodotti completamente emblematici della cultura dell’</w:t>
      </w:r>
      <w:r w:rsidRPr="005A0A99">
        <w:rPr>
          <w:i/>
          <w:sz w:val="28"/>
        </w:rPr>
        <w:t>Ancien Régime</w:t>
      </w:r>
      <w:r w:rsidRPr="00E32E2A">
        <w:rPr>
          <w:sz w:val="28"/>
        </w:rPr>
        <w:t xml:space="preserve"> in cui il diritto vigente era sempre e comunque, gerarchicamente strutturato come il diritto nobiliare ed assoluto del più potente e autorevole.</w:t>
      </w:r>
    </w:p>
    <w:p w:rsidR="00D34104" w:rsidRPr="00E32E2A" w:rsidRDefault="00D34104" w:rsidP="00D34104">
      <w:pPr>
        <w:ind w:left="284" w:right="276" w:firstLine="425"/>
        <w:contextualSpacing/>
        <w:jc w:val="both"/>
        <w:rPr>
          <w:sz w:val="28"/>
        </w:rPr>
      </w:pPr>
      <w:r w:rsidRPr="00E32E2A">
        <w:rPr>
          <w:sz w:val="28"/>
        </w:rPr>
        <w:t>I meno fortunati, i sudditi, potevano solo sperare, magari con l’artificiosità di un’astuzia barocca e contorta, di raggirare questo sistema che non li comprendeva affatto come omologhi.</w:t>
      </w:r>
    </w:p>
    <w:p w:rsidR="00D34104" w:rsidRPr="00F9435B" w:rsidRDefault="00D34104" w:rsidP="00D34104">
      <w:pPr>
        <w:ind w:left="284" w:right="276" w:firstLine="425"/>
        <w:contextualSpacing/>
        <w:jc w:val="both"/>
        <w:rPr>
          <w:sz w:val="28"/>
        </w:rPr>
      </w:pPr>
      <w:r w:rsidRPr="00E32E2A">
        <w:rPr>
          <w:sz w:val="28"/>
        </w:rPr>
        <w:t xml:space="preserve">Un’altra famosissima fiaba del maestro francese, </w:t>
      </w:r>
      <w:r w:rsidRPr="00F9435B">
        <w:rPr>
          <w:i/>
          <w:sz w:val="28"/>
        </w:rPr>
        <w:t>Il Gatto con gli stivali</w:t>
      </w:r>
      <w:r w:rsidRPr="00F9435B">
        <w:rPr>
          <w:sz w:val="28"/>
        </w:rPr>
        <w:t>, si presta come modello funzionale capace di dare sintetico conto di queste suggestioni e anticipa, nello stesso tempo, l’importanza che andavano assumendo, in quei tempi di mutamento, determinate professionalità borghesi.</w:t>
      </w:r>
    </w:p>
    <w:p w:rsidR="00D34104" w:rsidRPr="00F9435B" w:rsidRDefault="00D34104" w:rsidP="00D34104">
      <w:pPr>
        <w:ind w:left="284" w:right="276" w:firstLine="425"/>
        <w:contextualSpacing/>
        <w:jc w:val="both"/>
        <w:rPr>
          <w:sz w:val="28"/>
        </w:rPr>
      </w:pPr>
      <w:r w:rsidRPr="00F9435B">
        <w:rPr>
          <w:sz w:val="28"/>
        </w:rPr>
        <w:t xml:space="preserve">Nella storia dell’astuto felino, il povero figlio diseredato in favore dei fratelli dal padre mugnaio - secondo un </w:t>
      </w:r>
      <w:r w:rsidRPr="00315C5C">
        <w:rPr>
          <w:i/>
          <w:sz w:val="28"/>
        </w:rPr>
        <w:t>topos</w:t>
      </w:r>
      <w:r w:rsidRPr="00F9435B">
        <w:rPr>
          <w:sz w:val="28"/>
        </w:rPr>
        <w:t xml:space="preserve"> caratteristico di tutta la nostrana tradizione fiabesca - riesce non solo ad affrancarsi dalla propria condizione di </w:t>
      </w:r>
      <w:r w:rsidRPr="00F9435B">
        <w:rPr>
          <w:sz w:val="28"/>
        </w:rPr>
        <w:lastRenderedPageBreak/>
        <w:t xml:space="preserve">nullatenente, ma addirittura ad entrare nelle grazie del sovrano, arrivando a sposarne la figlia grazie ai marchingegni dello scaltro gatto che non esita a brigare in ogni modo per far sì che il proprio umile padroncino - falsamente presentato come nobile di gran nome: </w:t>
      </w:r>
      <w:r w:rsidRPr="00315C5C">
        <w:rPr>
          <w:i/>
          <w:sz w:val="28"/>
        </w:rPr>
        <w:t xml:space="preserve">il marchese di Carabas </w:t>
      </w:r>
      <w:r w:rsidRPr="00F9435B">
        <w:rPr>
          <w:sz w:val="28"/>
        </w:rPr>
        <w:t>– abbia infine gloria, ricchezze ed onori.</w:t>
      </w:r>
    </w:p>
    <w:p w:rsidR="00D34104" w:rsidRPr="00F9435B" w:rsidRDefault="00D34104" w:rsidP="00D34104">
      <w:pPr>
        <w:ind w:left="284" w:right="276" w:firstLine="425"/>
        <w:contextualSpacing/>
        <w:jc w:val="both"/>
        <w:rPr>
          <w:sz w:val="28"/>
        </w:rPr>
      </w:pPr>
      <w:r w:rsidRPr="00F9435B">
        <w:rPr>
          <w:sz w:val="28"/>
        </w:rPr>
        <w:t xml:space="preserve">Può essere molto interessante ricordare come alcuni anni or sono Stefano Bolla, giurista e letterato ticinese, proprio partendo da queste testuali suggestioni della fiaba di Perrault, abbia offerto al pubblico degli studiosi una nuova sorprendente interpretazione de </w:t>
      </w:r>
      <w:r w:rsidRPr="00315C5C">
        <w:rPr>
          <w:i/>
          <w:sz w:val="28"/>
        </w:rPr>
        <w:t>Il Gatto con gli stivali</w:t>
      </w:r>
      <w:r w:rsidRPr="00315C5C">
        <w:rPr>
          <w:rStyle w:val="Rimandonotaapidipagina"/>
          <w:sz w:val="28"/>
        </w:rPr>
        <w:footnoteReference w:id="30"/>
      </w:r>
      <w:r w:rsidRPr="00F9435B">
        <w:rPr>
          <w:sz w:val="28"/>
        </w:rPr>
        <w:t>.</w:t>
      </w:r>
    </w:p>
    <w:p w:rsidR="00D34104" w:rsidRPr="00F9435B" w:rsidRDefault="00D34104" w:rsidP="00D34104">
      <w:pPr>
        <w:ind w:left="284" w:right="276" w:firstLine="425"/>
        <w:contextualSpacing/>
        <w:jc w:val="both"/>
        <w:rPr>
          <w:sz w:val="28"/>
        </w:rPr>
      </w:pPr>
      <w:r w:rsidRPr="00F9435B">
        <w:rPr>
          <w:sz w:val="28"/>
        </w:rPr>
        <w:t xml:space="preserve">Lo studioso ha ritenuto di rinvenire, disseminati nell’ordito della famosa narrazione </w:t>
      </w:r>
      <w:r w:rsidRPr="00501471">
        <w:rPr>
          <w:i/>
          <w:sz w:val="28"/>
        </w:rPr>
        <w:t>perraultiana</w:t>
      </w:r>
      <w:r w:rsidRPr="00F9435B">
        <w:rPr>
          <w:sz w:val="28"/>
        </w:rPr>
        <w:t>, molti riferimenti metaforici e simbolici all’esercizio dell’avvocatura.</w:t>
      </w:r>
    </w:p>
    <w:p w:rsidR="00D34104" w:rsidRPr="00F9435B" w:rsidRDefault="00D34104" w:rsidP="00D34104">
      <w:pPr>
        <w:ind w:left="284" w:right="276" w:firstLine="425"/>
        <w:contextualSpacing/>
        <w:jc w:val="both"/>
        <w:rPr>
          <w:sz w:val="28"/>
        </w:rPr>
      </w:pPr>
      <w:r w:rsidRPr="00F9435B">
        <w:rPr>
          <w:sz w:val="28"/>
        </w:rPr>
        <w:t xml:space="preserve">Lo stesso protagonista della fiaba, il gatto con gli stivali appunto, del patrono di diritto, sempre abile nello stratagemma, capace di inganni piccoli o grandi finalizzati all’interesse interessi dell’assistito ed a quello proprio, almeno secondo la vulgata popolare universalmente nota e dura a morire, avrebbe quanto meno la </w:t>
      </w:r>
      <w:r w:rsidRPr="00501471">
        <w:rPr>
          <w:i/>
          <w:sz w:val="28"/>
        </w:rPr>
        <w:t>forma mentis</w:t>
      </w:r>
      <w:r w:rsidRPr="00F9435B">
        <w:rPr>
          <w:sz w:val="28"/>
        </w:rPr>
        <w:t>.</w:t>
      </w:r>
    </w:p>
    <w:p w:rsidR="00D34104" w:rsidRPr="00F9435B" w:rsidRDefault="00D34104" w:rsidP="00D34104">
      <w:pPr>
        <w:ind w:left="284" w:right="276" w:firstLine="425"/>
        <w:contextualSpacing/>
        <w:jc w:val="both"/>
        <w:rPr>
          <w:sz w:val="28"/>
        </w:rPr>
      </w:pPr>
      <w:r w:rsidRPr="00F9435B">
        <w:rPr>
          <w:sz w:val="28"/>
        </w:rPr>
        <w:t>D’altra parte l’</w:t>
      </w:r>
      <w:r w:rsidRPr="00501471">
        <w:rPr>
          <w:i/>
          <w:sz w:val="28"/>
        </w:rPr>
        <w:t>incipit</w:t>
      </w:r>
      <w:r w:rsidRPr="00F9435B">
        <w:rPr>
          <w:sz w:val="28"/>
        </w:rPr>
        <w:t xml:space="preserve"> stesso della fiaba, invoglia a ritenere come Perrault avesse voluto chiaramente condire la trama del proprio racconto con elementi di scherno generalizzato verso il mondo, che in larga parte era quello proprio di appartenenza, delle professioni giuridiche e dei loro proverbiali difetti borghesi:</w:t>
      </w:r>
    </w:p>
    <w:p w:rsidR="00D34104" w:rsidRPr="00F9435B" w:rsidRDefault="00D34104" w:rsidP="00D34104">
      <w:pPr>
        <w:ind w:left="284" w:right="276" w:firstLine="425"/>
        <w:contextualSpacing/>
        <w:jc w:val="both"/>
        <w:rPr>
          <w:sz w:val="28"/>
        </w:rPr>
      </w:pPr>
    </w:p>
    <w:p w:rsidR="00D34104" w:rsidRPr="00501471" w:rsidRDefault="00D34104" w:rsidP="00D34104">
      <w:pPr>
        <w:ind w:left="1134" w:right="1694"/>
        <w:contextualSpacing/>
        <w:jc w:val="both"/>
      </w:pPr>
      <w:r w:rsidRPr="00501471">
        <w:t xml:space="preserve">Un mugnaio non aveva lasciato ai suoi tre figli che il mulino, un asino e un gatto. Le parti furono presto fatte senza neanche tirare in ballo il notaio e l’avvocato. Costoro si sarebbero mangiata in un boccone tutta la misera eredità. Il maggiore ebbe il mulino, il secondo l’asino e il più giovane solo il </w:t>
      </w:r>
      <w:r w:rsidRPr="00501471">
        <w:rPr>
          <w:i/>
        </w:rPr>
        <w:t>gatto</w:t>
      </w:r>
      <w:r w:rsidRPr="00501471">
        <w:t>…</w:t>
      </w:r>
      <w:r w:rsidRPr="00501471">
        <w:rPr>
          <w:rStyle w:val="Rimandonotaapidipagina"/>
        </w:rPr>
        <w:footnoteReference w:id="31"/>
      </w:r>
    </w:p>
    <w:p w:rsidR="00D34104" w:rsidRPr="00F9435B" w:rsidRDefault="00D34104" w:rsidP="00D34104">
      <w:pPr>
        <w:ind w:left="284" w:right="276" w:firstLine="425"/>
        <w:contextualSpacing/>
        <w:jc w:val="both"/>
        <w:rPr>
          <w:sz w:val="28"/>
        </w:rPr>
      </w:pPr>
    </w:p>
    <w:p w:rsidR="00D34104" w:rsidRPr="00F9435B" w:rsidRDefault="00D34104" w:rsidP="00D34104">
      <w:pPr>
        <w:ind w:left="284" w:right="276" w:firstLine="425"/>
        <w:contextualSpacing/>
        <w:jc w:val="both"/>
        <w:rPr>
          <w:sz w:val="28"/>
        </w:rPr>
      </w:pPr>
      <w:r w:rsidRPr="00F9435B">
        <w:rPr>
          <w:sz w:val="28"/>
        </w:rPr>
        <w:t xml:space="preserve">L’idea dell’avvocato capace di preoccuparsi solo delle proprie parcelle e di prebende più o meno lecite da lucrare ai danni di clienti e avversari, era largamente diffusa </w:t>
      </w:r>
      <w:r w:rsidRPr="00976DED">
        <w:rPr>
          <w:i/>
          <w:sz w:val="28"/>
        </w:rPr>
        <w:t>anche</w:t>
      </w:r>
      <w:r w:rsidRPr="00F9435B">
        <w:rPr>
          <w:sz w:val="28"/>
        </w:rPr>
        <w:t xml:space="preserve"> a quei tempi e la fiabistica non poteva non darne atto, sia quella letteraria come nel caso di Perrault, che quella di derivazione popolare.</w:t>
      </w:r>
    </w:p>
    <w:p w:rsidR="00D34104" w:rsidRPr="00F9435B" w:rsidRDefault="00D34104" w:rsidP="00D34104">
      <w:pPr>
        <w:ind w:left="284" w:right="276" w:firstLine="425"/>
        <w:contextualSpacing/>
        <w:jc w:val="both"/>
        <w:rPr>
          <w:sz w:val="28"/>
        </w:rPr>
      </w:pPr>
      <w:r w:rsidRPr="00F9435B">
        <w:rPr>
          <w:sz w:val="28"/>
        </w:rPr>
        <w:t xml:space="preserve">Per sfuggire al destino assegnatogli dal proprio padrone: quello di essere scuoiato per finire in casseruola ed esser commutato da ben misero lascito in sostanziosa libagione, il gatto si mette ai servigi del ragazzo e, per prima cosa, </w:t>
      </w:r>
      <w:r w:rsidRPr="00F9435B">
        <w:rPr>
          <w:sz w:val="28"/>
        </w:rPr>
        <w:lastRenderedPageBreak/>
        <w:t xml:space="preserve">chiede al giovane una </w:t>
      </w:r>
      <w:r w:rsidRPr="00501471">
        <w:rPr>
          <w:i/>
          <w:sz w:val="28"/>
        </w:rPr>
        <w:t>sacca</w:t>
      </w:r>
      <w:r w:rsidRPr="00501471">
        <w:rPr>
          <w:sz w:val="28"/>
        </w:rPr>
        <w:t xml:space="preserve"> per catturare e contenere la selvaggina utile ai già progettati inganni</w:t>
      </w:r>
      <w:r w:rsidRPr="00F9435B">
        <w:rPr>
          <w:sz w:val="28"/>
        </w:rPr>
        <w:t xml:space="preserve">. </w:t>
      </w:r>
    </w:p>
    <w:p w:rsidR="00D34104" w:rsidRPr="00F9435B" w:rsidRDefault="00D34104" w:rsidP="00D34104">
      <w:pPr>
        <w:ind w:left="284" w:right="276" w:firstLine="425"/>
        <w:contextualSpacing/>
        <w:jc w:val="both"/>
        <w:rPr>
          <w:sz w:val="28"/>
        </w:rPr>
      </w:pPr>
      <w:r w:rsidRPr="00F9435B">
        <w:rPr>
          <w:sz w:val="28"/>
        </w:rPr>
        <w:t>Fin troppo facile vedervi rappresentata, spiega Bolla, la borsa del legale, sacra custodia di documenti, carte e denari, il succo stesso cioè dell’artificiosità di quella professione.</w:t>
      </w:r>
    </w:p>
    <w:p w:rsidR="00D34104" w:rsidRPr="00F9435B" w:rsidRDefault="00D34104" w:rsidP="00D34104">
      <w:pPr>
        <w:ind w:left="284" w:right="276" w:firstLine="425"/>
        <w:contextualSpacing/>
        <w:jc w:val="both"/>
        <w:rPr>
          <w:sz w:val="28"/>
        </w:rPr>
      </w:pPr>
      <w:r w:rsidRPr="00F9435B">
        <w:rPr>
          <w:sz w:val="28"/>
        </w:rPr>
        <w:t xml:space="preserve">Alla fine della storia il gatto, ormai arricchitosi, satollo di beni e onori, da vero signore va in pensione, </w:t>
      </w:r>
      <w:r w:rsidRPr="00501471">
        <w:rPr>
          <w:i/>
          <w:sz w:val="28"/>
        </w:rPr>
        <w:t>non rincorrendo più i topi, se non per divertimento</w:t>
      </w:r>
      <w:r w:rsidRPr="00F9435B">
        <w:rPr>
          <w:sz w:val="28"/>
        </w:rPr>
        <w:t xml:space="preserve">…, proprio come quegli avvocati che, ormai anziani e sereni per la fortuna accumulata in decenni di professione - nobile professione, resti inteso - non riescono tuttavia a lasciare il foro, che per passione frequentano e praticano, di quando in quando, magari </w:t>
      </w:r>
      <w:r w:rsidRPr="00501471">
        <w:rPr>
          <w:i/>
          <w:sz w:val="28"/>
        </w:rPr>
        <w:t>pro bono</w:t>
      </w:r>
      <w:r w:rsidRPr="00F9435B">
        <w:rPr>
          <w:sz w:val="28"/>
        </w:rPr>
        <w:t>.</w:t>
      </w:r>
    </w:p>
    <w:p w:rsidR="00D34104" w:rsidRPr="00D53E12" w:rsidRDefault="00D34104" w:rsidP="00D34104">
      <w:pPr>
        <w:ind w:left="284" w:right="276" w:firstLine="425"/>
        <w:contextualSpacing/>
        <w:jc w:val="both"/>
        <w:rPr>
          <w:sz w:val="28"/>
        </w:rPr>
      </w:pPr>
      <w:r w:rsidRPr="00D53E12">
        <w:rPr>
          <w:sz w:val="28"/>
        </w:rPr>
        <w:t>Il caso più eclatante di giuristi fiabisti, continuando, è indiscutibilmente quello dei fratelli Jacob (1785-1863) e Wilhelm (1786-1859) Grimm, al rapporto dei quali col diritto, non a caso, in questo stesso libro è dedicata un’apposita unitaria lezione, la prossima, cui senz’altro si rimanda per ogni approfondimento.</w:t>
      </w:r>
    </w:p>
    <w:p w:rsidR="00D34104" w:rsidRPr="00D53E12" w:rsidRDefault="00D34104" w:rsidP="00D34104">
      <w:pPr>
        <w:ind w:left="284" w:right="276" w:firstLine="425"/>
        <w:contextualSpacing/>
        <w:jc w:val="both"/>
        <w:rPr>
          <w:sz w:val="28"/>
        </w:rPr>
      </w:pPr>
      <w:r w:rsidRPr="00D53E12">
        <w:rPr>
          <w:sz w:val="28"/>
        </w:rPr>
        <w:t>Qui non vogliono farsi ripetizioni.</w:t>
      </w:r>
    </w:p>
    <w:p w:rsidR="00D34104" w:rsidRPr="00D53E12" w:rsidRDefault="00D34104" w:rsidP="00D34104">
      <w:pPr>
        <w:ind w:left="284" w:right="276" w:firstLine="425"/>
        <w:contextualSpacing/>
        <w:jc w:val="both"/>
        <w:rPr>
          <w:sz w:val="28"/>
        </w:rPr>
      </w:pPr>
      <w:r w:rsidRPr="00D53E12">
        <w:rPr>
          <w:sz w:val="28"/>
        </w:rPr>
        <w:t>Sarà allora sufficiente qualche cenno.</w:t>
      </w:r>
    </w:p>
    <w:p w:rsidR="00D34104" w:rsidRPr="00D53E12" w:rsidRDefault="00D34104" w:rsidP="00D34104">
      <w:pPr>
        <w:ind w:left="284" w:right="276" w:firstLine="425"/>
        <w:contextualSpacing/>
        <w:jc w:val="both"/>
        <w:rPr>
          <w:rFonts w:cs="Helvetica"/>
          <w:sz w:val="28"/>
          <w:szCs w:val="26"/>
          <w:lang w:bidi="it-IT"/>
        </w:rPr>
      </w:pPr>
      <w:r w:rsidRPr="00D53E12">
        <w:rPr>
          <w:sz w:val="28"/>
        </w:rPr>
        <w:t xml:space="preserve">Entrambi furono, soprattutto Jacob, giuristi teorici a tutti gli effetti, appartenenti alla grande scuola creata da </w:t>
      </w:r>
      <w:r w:rsidRPr="00D53E12">
        <w:rPr>
          <w:rFonts w:cs="Helvetica"/>
          <w:sz w:val="28"/>
          <w:szCs w:val="26"/>
          <w:lang w:bidi="it-IT"/>
        </w:rPr>
        <w:t xml:space="preserve">Friedrich Carl von Savigny (1779-1861), del quale approfondirono le conquiste di metodologia della storiografia giuridica. </w:t>
      </w:r>
    </w:p>
    <w:p w:rsidR="00D34104" w:rsidRPr="00D53E12" w:rsidRDefault="00D34104" w:rsidP="00D34104">
      <w:pPr>
        <w:ind w:left="284" w:right="276" w:firstLine="425"/>
        <w:contextualSpacing/>
        <w:jc w:val="both"/>
        <w:rPr>
          <w:rFonts w:cs="Helvetica"/>
          <w:sz w:val="28"/>
          <w:szCs w:val="26"/>
          <w:lang w:bidi="it-IT"/>
        </w:rPr>
      </w:pPr>
      <w:r w:rsidRPr="00D53E12">
        <w:rPr>
          <w:rFonts w:cs="Helvetica"/>
          <w:sz w:val="28"/>
          <w:szCs w:val="26"/>
          <w:lang w:bidi="it-IT"/>
        </w:rPr>
        <w:t xml:space="preserve">In questo senso è opinione corrente tra gli studiosi che la celebrata raccolta di antiche fiabe tedesche curata per tantissimi anni, a partire dal 1812, dai fratelli Grimm - </w:t>
      </w:r>
      <w:r w:rsidRPr="00D53E12">
        <w:rPr>
          <w:i/>
          <w:sz w:val="28"/>
        </w:rPr>
        <w:t>K</w:t>
      </w:r>
      <w:r w:rsidRPr="00D53E12">
        <w:rPr>
          <w:rFonts w:cs="Helvetica-Oblique"/>
          <w:i/>
          <w:iCs/>
          <w:sz w:val="28"/>
          <w:szCs w:val="26"/>
          <w:lang w:bidi="it-IT"/>
        </w:rPr>
        <w:t>inder und Hausmärchen</w:t>
      </w:r>
      <w:r w:rsidRPr="00D53E12">
        <w:rPr>
          <w:rFonts w:cs="Helvetica-Oblique"/>
          <w:iCs/>
          <w:sz w:val="28"/>
          <w:szCs w:val="26"/>
          <w:lang w:bidi="it-IT"/>
        </w:rPr>
        <w:t xml:space="preserve"> (</w:t>
      </w:r>
      <w:r w:rsidRPr="00D53E12">
        <w:rPr>
          <w:rFonts w:cs="Helvetica-Oblique"/>
          <w:i/>
          <w:iCs/>
          <w:sz w:val="28"/>
          <w:szCs w:val="26"/>
          <w:lang w:bidi="it-IT"/>
        </w:rPr>
        <w:t>Fiabe dei bambini e del focolare</w:t>
      </w:r>
      <w:r w:rsidRPr="00D53E12">
        <w:rPr>
          <w:rFonts w:cs="Helvetica-Oblique"/>
          <w:iCs/>
          <w:sz w:val="28"/>
          <w:szCs w:val="26"/>
          <w:lang w:bidi="it-IT"/>
        </w:rPr>
        <w:t xml:space="preserve">) - </w:t>
      </w:r>
      <w:r w:rsidRPr="00D53E12">
        <w:rPr>
          <w:rFonts w:cs="Helvetica"/>
          <w:sz w:val="28"/>
          <w:szCs w:val="26"/>
          <w:lang w:bidi="it-IT"/>
        </w:rPr>
        <w:t xml:space="preserve"> obbedisse a precisi scopi di ricerca dottrinaria di diritto, prefiggendosi il fine di raccogliere e rielaborare le antiche od antichissime tradizioni giuridiche germaniche celate all’ombra di raccontini popolari, proverbi, fiabe di tradizione orale, saghe di origine contadina e popolare. </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 xml:space="preserve">Ciò al fine di dotare le politicamente disomogenee terre tedesche del tempo di una sensibilità giuridica comune, rinfocolata dalla presa diretta garantita dalla  forma narrativa fiabica, nella speranza, tipicamente romantica, di contribuire con questo alla formazione di uno spirito nazionale saldo, comune e diffuso. </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Per continuare con questa carrellata di scrittori e raccoglitori di fiabe e novelle dotati di professionalità o cultura di diritto, un altro nome almeno si impone.</w:t>
      </w:r>
    </w:p>
    <w:p w:rsidR="00D34104" w:rsidRPr="00501471" w:rsidRDefault="00D34104" w:rsidP="00D34104">
      <w:pPr>
        <w:ind w:left="284" w:right="276" w:firstLine="425"/>
        <w:contextualSpacing/>
        <w:jc w:val="both"/>
        <w:rPr>
          <w:rFonts w:cs="TrebuchetMS-Italic"/>
          <w:iCs/>
          <w:sz w:val="28"/>
          <w:szCs w:val="28"/>
          <w:lang w:bidi="it-IT"/>
        </w:rPr>
      </w:pPr>
      <w:r w:rsidRPr="00501471">
        <w:rPr>
          <w:rFonts w:cs="Helvetica"/>
          <w:sz w:val="28"/>
          <w:szCs w:val="26"/>
          <w:lang w:bidi="it-IT"/>
        </w:rPr>
        <w:t xml:space="preserve">E’ quello del russo </w:t>
      </w:r>
      <w:r w:rsidRPr="00501471">
        <w:rPr>
          <w:rFonts w:cs="TrebuchetMS-Italic"/>
          <w:iCs/>
          <w:sz w:val="28"/>
          <w:szCs w:val="28"/>
          <w:lang w:bidi="it-IT"/>
        </w:rPr>
        <w:t>Alexander Nikolaevich Afanasjev (1826-1871).</w:t>
      </w:r>
    </w:p>
    <w:p w:rsidR="00D34104" w:rsidRPr="00501471" w:rsidRDefault="00D34104" w:rsidP="00D34104">
      <w:pPr>
        <w:ind w:left="284" w:right="276" w:firstLine="425"/>
        <w:jc w:val="both"/>
        <w:rPr>
          <w:rFonts w:cs="TrebuchetMS-Italic"/>
          <w:iCs/>
          <w:sz w:val="28"/>
          <w:szCs w:val="28"/>
          <w:lang w:bidi="it-IT"/>
        </w:rPr>
      </w:pPr>
      <w:r w:rsidRPr="00501471">
        <w:rPr>
          <w:rFonts w:cs="TrebuchetMS-Italic"/>
          <w:iCs/>
          <w:sz w:val="28"/>
          <w:szCs w:val="28"/>
          <w:lang w:bidi="it-IT"/>
        </w:rPr>
        <w:t xml:space="preserve">Costui rappresentò per la grande patria russa ciò che i fratelli Grimm, da lui ammiratissimi, erano stati per la Germania. </w:t>
      </w:r>
    </w:p>
    <w:p w:rsidR="00D34104" w:rsidRPr="00501471" w:rsidRDefault="00D34104" w:rsidP="00D34104">
      <w:pPr>
        <w:ind w:left="284" w:right="276" w:firstLine="425"/>
        <w:contextualSpacing/>
        <w:jc w:val="both"/>
        <w:rPr>
          <w:rFonts w:cs="TrebuchetMS-Italic"/>
          <w:iCs/>
          <w:sz w:val="28"/>
          <w:szCs w:val="28"/>
          <w:lang w:bidi="it-IT"/>
        </w:rPr>
      </w:pPr>
      <w:r w:rsidRPr="00501471">
        <w:rPr>
          <w:rFonts w:cs="TrebuchetMS-Italic"/>
          <w:iCs/>
          <w:sz w:val="28"/>
          <w:szCs w:val="28"/>
          <w:lang w:bidi="it-IT"/>
        </w:rPr>
        <w:t xml:space="preserve">Fu uno dei massimi pionieri mondiali nello studio del folklore e delle tradizioni popolari del suo paese. </w:t>
      </w:r>
    </w:p>
    <w:p w:rsidR="00D34104" w:rsidRPr="00501471" w:rsidRDefault="00D34104" w:rsidP="00D34104">
      <w:pPr>
        <w:ind w:left="284" w:right="276" w:firstLine="425"/>
        <w:contextualSpacing/>
        <w:jc w:val="both"/>
        <w:rPr>
          <w:rFonts w:cs="Helvetica"/>
          <w:sz w:val="28"/>
          <w:szCs w:val="26"/>
          <w:lang w:bidi="it-IT"/>
        </w:rPr>
      </w:pPr>
      <w:r w:rsidRPr="00501471">
        <w:rPr>
          <w:rFonts w:cs="TrebuchetMS-Italic"/>
          <w:iCs/>
          <w:sz w:val="28"/>
          <w:szCs w:val="28"/>
          <w:lang w:bidi="it-IT"/>
        </w:rPr>
        <w:t xml:space="preserve">Il padre, </w:t>
      </w:r>
      <w:r w:rsidRPr="00501471">
        <w:rPr>
          <w:rFonts w:cs="Helvetica"/>
          <w:sz w:val="28"/>
          <w:szCs w:val="26"/>
          <w:lang w:bidi="it-IT"/>
        </w:rPr>
        <w:t xml:space="preserve">un modesto </w:t>
      </w:r>
      <w:r w:rsidRPr="00501471">
        <w:rPr>
          <w:rFonts w:cs="Helvetica"/>
          <w:i/>
          <w:sz w:val="28"/>
          <w:szCs w:val="26"/>
          <w:lang w:bidi="it-IT"/>
        </w:rPr>
        <w:t>travet</w:t>
      </w:r>
      <w:r w:rsidRPr="00501471">
        <w:rPr>
          <w:rFonts w:cs="Helvetica"/>
          <w:sz w:val="28"/>
          <w:szCs w:val="26"/>
          <w:lang w:bidi="it-IT"/>
        </w:rPr>
        <w:t xml:space="preserve"> con la passione per la letteratura spicciola, aveva trascorso tutta la vita lavorando in piccoli insignificanti uffici della sterminata provincia russa. </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lastRenderedPageBreak/>
        <w:t xml:space="preserve">Era tuttavia riuscito a far studiare il figlio, affidandolo, per gli scarsi mezzi che aveva a disposizione, a maestri modesti e rozzi: </w:t>
      </w:r>
      <w:r w:rsidRPr="00501471">
        <w:rPr>
          <w:rFonts w:cs="Helvetica"/>
          <w:i/>
          <w:sz w:val="28"/>
          <w:szCs w:val="26"/>
          <w:lang w:bidi="it-IT"/>
        </w:rPr>
        <w:t>pope</w:t>
      </w:r>
      <w:r w:rsidRPr="00501471">
        <w:rPr>
          <w:rFonts w:cs="Helvetica"/>
          <w:sz w:val="28"/>
          <w:szCs w:val="26"/>
          <w:lang w:bidi="it-IT"/>
        </w:rPr>
        <w:t xml:space="preserve"> di campagna e precettori raccogliticci che avevano trasmesso al ragazzo quanto avevano potuto. Superati gli esami di ammissione, Afanasjev aveva potuto iscriversi alla facoltà di legge della prestigiosa università moscovita, appassionandosi allo studio del diritto visto - esattamente come era stato qualche lustro prima per i fratelli Grimm - come fenomeno storico e letterario più che esclusivamente regolativo.</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In quella attrezzata facoltà giuridica aveva per altro avuto modo di seguire i corsi di due grandissimi studiosi russi del tempo.</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 xml:space="preserve">Uno era </w:t>
      </w:r>
      <w:r w:rsidRPr="00501471">
        <w:rPr>
          <w:rFonts w:cs="Georgia"/>
          <w:sz w:val="28"/>
          <w:szCs w:val="32"/>
          <w:lang w:bidi="it-IT"/>
        </w:rPr>
        <w:t>Konstantin Dmitrievich Kavelin</w:t>
      </w:r>
      <w:r w:rsidRPr="00501471">
        <w:rPr>
          <w:rFonts w:cs="Helvetica"/>
          <w:sz w:val="28"/>
          <w:szCs w:val="26"/>
          <w:lang w:bidi="it-IT"/>
        </w:rPr>
        <w:t xml:space="preserve"> (</w:t>
      </w:r>
      <w:r w:rsidRPr="00501471">
        <w:rPr>
          <w:rFonts w:cs="Georgia"/>
          <w:sz w:val="28"/>
          <w:szCs w:val="32"/>
          <w:lang w:bidi="it-IT"/>
        </w:rPr>
        <w:t>1818-1885), che in quell’ateneo insegnava storia del diritto e diritto privato e teorizzava dettagliatamente la necessità di una riforma agraria associata all’inevitabile riscrittura di tutta la contrattualistica in materia, al fine di creare attraverso la revisione normativa degli assetti dominicali del latifondo, una classe agricola consapevole e accorta, che avrebbe dovuto appoggiare l’auspicato avvento di un’illuminata  monarchia socialista su base rurale.</w:t>
      </w:r>
      <w:r w:rsidRPr="00501471">
        <w:rPr>
          <w:rFonts w:cs="Helvetica"/>
          <w:sz w:val="28"/>
          <w:szCs w:val="26"/>
          <w:lang w:bidi="it-IT"/>
        </w:rPr>
        <w:t xml:space="preserve"> </w:t>
      </w:r>
    </w:p>
    <w:p w:rsidR="00D34104" w:rsidRPr="00866670"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 xml:space="preserve">L’altro era Pietr Georgevich Redkin (1808-1891), filosofo e giurista di tempra hegeliana, autore di un testo molto importante nel panorama del pensiero giuridico russo ottocentesco - </w:t>
      </w:r>
      <w:r w:rsidRPr="00866670">
        <w:rPr>
          <w:rFonts w:cs="Helvetica"/>
          <w:i/>
          <w:sz w:val="28"/>
          <w:szCs w:val="26"/>
          <w:lang w:bidi="it-IT"/>
        </w:rPr>
        <w:t xml:space="preserve">O nesavisimosti justizu </w:t>
      </w:r>
      <w:r w:rsidRPr="00501471">
        <w:rPr>
          <w:rFonts w:cs="Helvetica"/>
          <w:sz w:val="28"/>
          <w:szCs w:val="26"/>
          <w:lang w:bidi="it-IT"/>
        </w:rPr>
        <w:t>(</w:t>
      </w:r>
      <w:r w:rsidRPr="00866670">
        <w:rPr>
          <w:rFonts w:cs="Helvetica"/>
          <w:i/>
          <w:sz w:val="28"/>
          <w:szCs w:val="26"/>
          <w:lang w:bidi="it-IT"/>
        </w:rPr>
        <w:t>Dell’indipendenza della giustizia</w:t>
      </w:r>
      <w:r w:rsidRPr="00501471">
        <w:rPr>
          <w:rFonts w:cs="Helvetica"/>
          <w:sz w:val="28"/>
          <w:szCs w:val="26"/>
          <w:lang w:bidi="it-IT"/>
        </w:rPr>
        <w:t>, del 1860), certamente letto da Afanasjev - in cui l’autonomia del diritto veniva interpretata come libertà interiore di specchiarsi nella giustizia come coscienza del popolo: quest’ultima incarnante il valore giuridico supremo, superiore allo stesso potere dello Stato.</w:t>
      </w:r>
      <w:r w:rsidRPr="00866670">
        <w:rPr>
          <w:rFonts w:cs="Helvetica"/>
          <w:sz w:val="28"/>
          <w:szCs w:val="26"/>
          <w:lang w:bidi="it-IT"/>
        </w:rPr>
        <w:t xml:space="preserve"> </w:t>
      </w:r>
    </w:p>
    <w:p w:rsidR="00D34104" w:rsidRPr="00866670" w:rsidRDefault="00D34104" w:rsidP="00D34104">
      <w:pPr>
        <w:ind w:left="284" w:right="276" w:firstLine="425"/>
        <w:contextualSpacing/>
        <w:jc w:val="both"/>
        <w:rPr>
          <w:rFonts w:cs="Helvetica"/>
          <w:sz w:val="28"/>
          <w:szCs w:val="26"/>
          <w:lang w:bidi="it-IT"/>
        </w:rPr>
      </w:pPr>
      <w:r w:rsidRPr="00866670">
        <w:rPr>
          <w:rFonts w:cs="Helvetica"/>
          <w:sz w:val="28"/>
          <w:szCs w:val="26"/>
          <w:lang w:bidi="it-IT"/>
        </w:rPr>
        <w:t>Il folklorista russo, conseguita la laurea in giurisprudenza, aveva sùbito trovato un tranquillo ideale impiego presso uno degli archivi ministeriali dello Czar a Mosca, cosa che da una parte gli lasciava molto tempo libero, dall’altra lo metteva quotidianamente a contatto con i più antichi documenti della storia del paese, rivelatisi fonte inesauribile di suggestioni e illuminazioni per i propri studi in materia letteraria e mitologica.</w:t>
      </w:r>
    </w:p>
    <w:p w:rsidR="00D34104" w:rsidRPr="00866670" w:rsidRDefault="00D34104" w:rsidP="00D34104">
      <w:pPr>
        <w:ind w:left="284" w:right="276" w:firstLine="425"/>
        <w:contextualSpacing/>
        <w:jc w:val="both"/>
        <w:rPr>
          <w:rFonts w:cs="Helvetica"/>
          <w:sz w:val="28"/>
          <w:szCs w:val="26"/>
          <w:lang w:bidi="it-IT"/>
        </w:rPr>
      </w:pPr>
      <w:r w:rsidRPr="00866670">
        <w:rPr>
          <w:rFonts w:cs="Helvetica"/>
          <w:sz w:val="28"/>
          <w:szCs w:val="26"/>
          <w:lang w:bidi="it-IT"/>
        </w:rPr>
        <w:t>Afanasjev non disconobbe mai, in ogni caso, l’influenza dei suoi due maestri di diritto.</w:t>
      </w:r>
    </w:p>
    <w:p w:rsidR="00D34104" w:rsidRPr="00866670" w:rsidRDefault="00D34104" w:rsidP="00D34104">
      <w:pPr>
        <w:ind w:left="284" w:right="276" w:firstLine="425"/>
        <w:contextualSpacing/>
        <w:jc w:val="both"/>
        <w:rPr>
          <w:rFonts w:cs="Helvetica"/>
          <w:sz w:val="28"/>
          <w:szCs w:val="26"/>
          <w:lang w:bidi="it-IT"/>
        </w:rPr>
      </w:pPr>
      <w:r w:rsidRPr="00866670">
        <w:rPr>
          <w:rFonts w:cs="Helvetica"/>
          <w:sz w:val="28"/>
          <w:szCs w:val="26"/>
          <w:lang w:bidi="it-IT"/>
        </w:rPr>
        <w:t>L’idea di una coscienza popolare giuridica, capace di avere la meglio sulla regola o la legge, e la dimestichezza con le ragioni della proprietà agraria e dei suoi rapporti di tipo feudale, caratteristici della Russia del XIX secolo, traspaiono da non poche tra le fiabe dell’autore russo.</w:t>
      </w:r>
    </w:p>
    <w:p w:rsidR="00D34104" w:rsidRPr="00866670" w:rsidRDefault="00D34104" w:rsidP="00D34104">
      <w:pPr>
        <w:ind w:left="284" w:right="276" w:firstLine="425"/>
        <w:contextualSpacing/>
        <w:jc w:val="both"/>
        <w:rPr>
          <w:rFonts w:cs="Helvetica"/>
          <w:sz w:val="28"/>
          <w:szCs w:val="26"/>
          <w:lang w:bidi="it-IT"/>
        </w:rPr>
      </w:pPr>
      <w:r w:rsidRPr="00866670">
        <w:rPr>
          <w:rFonts w:cs="Helvetica"/>
          <w:sz w:val="28"/>
          <w:szCs w:val="26"/>
          <w:lang w:bidi="it-IT"/>
        </w:rPr>
        <w:t xml:space="preserve"> Quello sconfinato paese era ancora largamente popolato da </w:t>
      </w:r>
      <w:r w:rsidRPr="0073415A">
        <w:rPr>
          <w:rFonts w:cs="Helvetica"/>
          <w:i/>
          <w:sz w:val="28"/>
          <w:szCs w:val="26"/>
          <w:lang w:bidi="it-IT"/>
        </w:rPr>
        <w:t>servi della gleba</w:t>
      </w:r>
      <w:r w:rsidRPr="00866670">
        <w:rPr>
          <w:rStyle w:val="Rimandonotaapidipagina"/>
          <w:rFonts w:cs="Helvetica"/>
          <w:sz w:val="28"/>
          <w:szCs w:val="26"/>
          <w:lang w:bidi="it-IT"/>
        </w:rPr>
        <w:footnoteReference w:id="32"/>
      </w:r>
      <w:r w:rsidRPr="00866670">
        <w:rPr>
          <w:rFonts w:cs="Helvetica"/>
          <w:sz w:val="28"/>
          <w:szCs w:val="26"/>
          <w:lang w:bidi="it-IT"/>
        </w:rPr>
        <w:t xml:space="preserve"> e da immense proprietà usualmente valutate in base al numero - fino a </w:t>
      </w:r>
      <w:r w:rsidRPr="00866670">
        <w:rPr>
          <w:rFonts w:cs="Helvetica"/>
          <w:sz w:val="28"/>
          <w:szCs w:val="26"/>
          <w:lang w:bidi="it-IT"/>
        </w:rPr>
        <w:lastRenderedPageBreak/>
        <w:t xml:space="preserve">svariate decine di migliaia - delle </w:t>
      </w:r>
      <w:r w:rsidRPr="0073415A">
        <w:rPr>
          <w:rFonts w:cs="Helvetica"/>
          <w:i/>
          <w:sz w:val="28"/>
          <w:szCs w:val="26"/>
          <w:lang w:bidi="it-IT"/>
        </w:rPr>
        <w:t>anime</w:t>
      </w:r>
      <w:r w:rsidRPr="00866670">
        <w:rPr>
          <w:rFonts w:cs="Helvetica"/>
          <w:sz w:val="28"/>
          <w:szCs w:val="26"/>
          <w:lang w:bidi="it-IT"/>
        </w:rPr>
        <w:t xml:space="preserve"> che le popolavano, tutte asservite al blasone padronale, che, come fossero cose, poteva venderle, alienarle, lasciarle in successione.</w:t>
      </w:r>
    </w:p>
    <w:p w:rsidR="00D34104" w:rsidRPr="00866670" w:rsidRDefault="00D34104" w:rsidP="00D34104">
      <w:pPr>
        <w:ind w:left="284" w:right="276" w:firstLine="425"/>
        <w:contextualSpacing/>
        <w:jc w:val="both"/>
        <w:rPr>
          <w:rFonts w:cs="Helvetica"/>
          <w:sz w:val="28"/>
          <w:szCs w:val="26"/>
          <w:lang w:bidi="it-IT"/>
        </w:rPr>
      </w:pPr>
      <w:r w:rsidRPr="00866670">
        <w:rPr>
          <w:rFonts w:cs="Helvetica"/>
          <w:sz w:val="28"/>
          <w:szCs w:val="26"/>
          <w:lang w:bidi="it-IT"/>
        </w:rPr>
        <w:t xml:space="preserve"> Inevitabile pertanto, non fosse altro come memoria storica tradizionale, che queste suggestioni, tratte dalla tradizione orale dell’epica russa e slava in genere</w:t>
      </w:r>
      <w:r w:rsidRPr="00866670">
        <w:rPr>
          <w:rStyle w:val="Rimandonotaapidipagina"/>
          <w:rFonts w:cs="Helvetica"/>
          <w:sz w:val="28"/>
          <w:szCs w:val="26"/>
          <w:lang w:bidi="it-IT"/>
        </w:rPr>
        <w:footnoteReference w:id="33"/>
      </w:r>
      <w:r w:rsidRPr="00866670">
        <w:rPr>
          <w:rFonts w:cs="Helvetica"/>
          <w:sz w:val="28"/>
          <w:szCs w:val="26"/>
          <w:lang w:bidi="it-IT"/>
        </w:rPr>
        <w:t xml:space="preserve">, fossero abbondantemente presenti nelle circa seicento fiabe popolari </w:t>
      </w:r>
      <w:r w:rsidRPr="00866670">
        <w:rPr>
          <w:rFonts w:cs="Helvetica"/>
          <w:sz w:val="28"/>
          <w:szCs w:val="26"/>
          <w:lang w:bidi="it-IT"/>
        </w:rPr>
        <w:lastRenderedPageBreak/>
        <w:t xml:space="preserve">raccolte dallo scrittore nelle sue sillogi: </w:t>
      </w:r>
      <w:r w:rsidRPr="00866670">
        <w:rPr>
          <w:rFonts w:cs="Helvetica"/>
          <w:i/>
          <w:sz w:val="28"/>
          <w:szCs w:val="26"/>
          <w:lang w:bidi="it-IT"/>
        </w:rPr>
        <w:t>Fiabe popolari russe</w:t>
      </w:r>
      <w:r w:rsidRPr="00866670">
        <w:rPr>
          <w:rFonts w:cs="Helvetica"/>
          <w:sz w:val="28"/>
          <w:szCs w:val="26"/>
          <w:lang w:bidi="it-IT"/>
        </w:rPr>
        <w:t xml:space="preserve">, </w:t>
      </w:r>
      <w:r w:rsidRPr="00866670">
        <w:rPr>
          <w:rFonts w:cs="Helvetica"/>
          <w:i/>
          <w:sz w:val="28"/>
          <w:szCs w:val="26"/>
          <w:lang w:bidi="it-IT"/>
        </w:rPr>
        <w:t>Leggende popolari russe</w:t>
      </w:r>
      <w:r w:rsidRPr="00866670">
        <w:rPr>
          <w:rFonts w:cs="Helvetica"/>
          <w:sz w:val="28"/>
          <w:szCs w:val="26"/>
          <w:lang w:bidi="it-IT"/>
        </w:rPr>
        <w:t xml:space="preserve">, </w:t>
      </w:r>
      <w:r w:rsidRPr="00866670">
        <w:rPr>
          <w:rFonts w:cs="Helvetica"/>
          <w:i/>
          <w:sz w:val="28"/>
          <w:szCs w:val="26"/>
          <w:lang w:bidi="it-IT"/>
        </w:rPr>
        <w:t>Fiabe russe per bambini</w:t>
      </w:r>
      <w:r w:rsidRPr="00866670">
        <w:rPr>
          <w:rFonts w:cs="Helvetica"/>
          <w:sz w:val="28"/>
          <w:szCs w:val="26"/>
          <w:lang w:bidi="it-IT"/>
        </w:rPr>
        <w:t>, tutte pubblicate tra il 1855 e il 1870.</w:t>
      </w:r>
    </w:p>
    <w:p w:rsidR="00D34104" w:rsidRPr="00866670" w:rsidRDefault="00D34104" w:rsidP="00D34104">
      <w:pPr>
        <w:ind w:left="284" w:right="276" w:firstLine="425"/>
        <w:contextualSpacing/>
        <w:jc w:val="both"/>
        <w:rPr>
          <w:rFonts w:cs="Helvetica"/>
          <w:sz w:val="28"/>
          <w:szCs w:val="26"/>
          <w:lang w:bidi="it-IT"/>
        </w:rPr>
      </w:pPr>
      <w:r w:rsidRPr="00866670">
        <w:rPr>
          <w:rFonts w:cs="Helvetica"/>
          <w:sz w:val="28"/>
          <w:szCs w:val="26"/>
          <w:lang w:bidi="it-IT"/>
        </w:rPr>
        <w:t>Si tratta di espressioni compiute e dunque di documenti oggi inestimabili a tutti i livelli, di un mondo certamente realistico, ricco di padroni severi e servi scaltri, di mercanti approfittatori e di lavoratori sfruttati, di proprietari ricchi ed arroganti e contadini vessati ma capaci di affrancarsi dal giogo servile, magari con l’inganno.</w:t>
      </w:r>
    </w:p>
    <w:p w:rsidR="00D34104" w:rsidRPr="00282D97" w:rsidRDefault="00D34104" w:rsidP="00D34104">
      <w:pPr>
        <w:ind w:left="284" w:right="276" w:firstLine="425"/>
        <w:contextualSpacing/>
        <w:jc w:val="both"/>
        <w:rPr>
          <w:rFonts w:cs="TrebuchetMS-Italic"/>
          <w:iCs/>
          <w:sz w:val="28"/>
          <w:szCs w:val="28"/>
          <w:lang w:bidi="it-IT"/>
        </w:rPr>
      </w:pPr>
      <w:r w:rsidRPr="00866670">
        <w:rPr>
          <w:rFonts w:cs="Helvetica"/>
          <w:sz w:val="28"/>
          <w:szCs w:val="26"/>
          <w:lang w:bidi="it-IT"/>
        </w:rPr>
        <w:t xml:space="preserve">Eppure è un mondo incantato, favoloso e duro, fatto come altri mai di </w:t>
      </w:r>
      <w:r w:rsidRPr="00501471">
        <w:rPr>
          <w:rFonts w:cs="TrebuchetMS-Italic"/>
          <w:iCs/>
          <w:sz w:val="28"/>
          <w:szCs w:val="28"/>
          <w:lang w:bidi="it-IT"/>
        </w:rPr>
        <w:t xml:space="preserve">terrore e di mistero, di magia, di spiritualità, di sensibilità e di grande umanità, proprio come l’anima degli </w:t>
      </w:r>
      <w:r w:rsidRPr="00282D97">
        <w:rPr>
          <w:rFonts w:cs="TrebuchetMS-Italic"/>
          <w:iCs/>
          <w:sz w:val="28"/>
          <w:szCs w:val="28"/>
          <w:lang w:bidi="it-IT"/>
        </w:rPr>
        <w:t>abitanti di quella grande e meravigliosa terra</w:t>
      </w:r>
      <w:r w:rsidRPr="00282D97">
        <w:rPr>
          <w:rStyle w:val="Rimandonotaapidipagina"/>
          <w:rFonts w:cs="TrebuchetMS-Italic"/>
          <w:iCs/>
          <w:sz w:val="28"/>
          <w:szCs w:val="28"/>
          <w:lang w:bidi="it-IT"/>
        </w:rPr>
        <w:footnoteReference w:id="34"/>
      </w:r>
      <w:r w:rsidRPr="00282D97">
        <w:rPr>
          <w:rFonts w:cs="TrebuchetMS-Italic"/>
          <w:iCs/>
          <w:sz w:val="28"/>
          <w:szCs w:val="28"/>
          <w:lang w:bidi="it-IT"/>
        </w:rPr>
        <w:t>.</w:t>
      </w:r>
    </w:p>
    <w:p w:rsidR="00D34104" w:rsidRPr="00976DED" w:rsidRDefault="00D34104" w:rsidP="00D34104">
      <w:pPr>
        <w:ind w:left="284" w:right="276" w:firstLine="425"/>
        <w:contextualSpacing/>
        <w:jc w:val="both"/>
        <w:rPr>
          <w:rFonts w:cs="Helvetica"/>
          <w:sz w:val="28"/>
          <w:szCs w:val="26"/>
          <w:lang w:bidi="it-IT"/>
        </w:rPr>
      </w:pPr>
      <w:r w:rsidRPr="00976DED">
        <w:rPr>
          <w:rFonts w:cs="TrebuchetMS-Italic"/>
          <w:iCs/>
          <w:sz w:val="28"/>
          <w:szCs w:val="28"/>
          <w:lang w:bidi="it-IT"/>
        </w:rPr>
        <w:t xml:space="preserve">Conclude doverosamente questa rassegna di giuristi fiabisti la titanica figura, del tutto particolare, di </w:t>
      </w:r>
      <w:r w:rsidRPr="00976DED">
        <w:rPr>
          <w:rFonts w:cs="Helvetica-Bold"/>
          <w:bCs/>
          <w:sz w:val="28"/>
          <w:szCs w:val="26"/>
          <w:lang w:bidi="it-IT"/>
        </w:rPr>
        <w:t>Ernst Theodor Amadeus Hoffmann</w:t>
      </w:r>
      <w:r w:rsidRPr="00976DED">
        <w:rPr>
          <w:rFonts w:cs="Helvetica"/>
          <w:sz w:val="28"/>
          <w:szCs w:val="26"/>
          <w:lang w:bidi="it-IT"/>
        </w:rPr>
        <w:t xml:space="preserve"> (1776-1822), geniale scrittore, caricaturista, musicista e compositore tedesco, esponente primario, a tutto tondo, del Romanticismo germanico.</w:t>
      </w:r>
    </w:p>
    <w:p w:rsidR="00D34104" w:rsidRPr="00976DED" w:rsidRDefault="00D34104" w:rsidP="00D34104">
      <w:pPr>
        <w:ind w:left="284" w:right="276" w:firstLine="425"/>
        <w:contextualSpacing/>
        <w:jc w:val="both"/>
        <w:rPr>
          <w:rFonts w:cs="Georgia"/>
          <w:sz w:val="28"/>
          <w:szCs w:val="30"/>
          <w:lang w:bidi="it-IT"/>
        </w:rPr>
      </w:pPr>
      <w:r w:rsidRPr="00976DED">
        <w:rPr>
          <w:rFonts w:cs="Helvetica"/>
          <w:sz w:val="28"/>
          <w:szCs w:val="26"/>
          <w:lang w:bidi="it-IT"/>
        </w:rPr>
        <w:t>Forse non tutti sanno che questo genio delle lettere e della cultura di lingua teutonica, autore di novelle di successo fortemente caratterizzate in senso gotico e soprannaturale, incantato e surreale, raccolte dall’autore nei</w:t>
      </w:r>
      <w:r w:rsidRPr="00976DED">
        <w:rPr>
          <w:rFonts w:cs="Georgia"/>
          <w:sz w:val="28"/>
          <w:szCs w:val="30"/>
          <w:lang w:bidi="it-IT"/>
        </w:rPr>
        <w:t xml:space="preserve"> </w:t>
      </w:r>
      <w:r w:rsidRPr="00976DED">
        <w:rPr>
          <w:rFonts w:cs="Georgia-Italic"/>
          <w:i/>
          <w:iCs/>
          <w:sz w:val="28"/>
          <w:szCs w:val="30"/>
          <w:lang w:bidi="it-IT"/>
        </w:rPr>
        <w:t>Racconti notturni</w:t>
      </w:r>
      <w:r w:rsidRPr="00976DED">
        <w:rPr>
          <w:rFonts w:cs="Georgia"/>
          <w:sz w:val="28"/>
          <w:szCs w:val="30"/>
          <w:lang w:bidi="it-IT"/>
        </w:rPr>
        <w:t xml:space="preserve"> (1816-17) tra cui il celebre </w:t>
      </w:r>
      <w:r w:rsidRPr="00976DED">
        <w:rPr>
          <w:rFonts w:cs="Georgia-Italic"/>
          <w:i/>
          <w:iCs/>
          <w:sz w:val="28"/>
          <w:szCs w:val="30"/>
          <w:lang w:bidi="it-IT"/>
        </w:rPr>
        <w:t>L’uomo della sabbia</w:t>
      </w:r>
      <w:r w:rsidRPr="00976DED">
        <w:rPr>
          <w:rFonts w:cs="Georgia-Italic"/>
          <w:iCs/>
          <w:sz w:val="28"/>
          <w:szCs w:val="30"/>
          <w:lang w:bidi="it-IT"/>
        </w:rPr>
        <w:t>,</w:t>
      </w:r>
      <w:r w:rsidRPr="00976DED">
        <w:rPr>
          <w:rFonts w:cs="Georgia-Italic"/>
          <w:i/>
          <w:iCs/>
          <w:sz w:val="28"/>
          <w:szCs w:val="30"/>
          <w:lang w:bidi="it-IT"/>
        </w:rPr>
        <w:t xml:space="preserve"> </w:t>
      </w:r>
      <w:r w:rsidRPr="00976DED">
        <w:rPr>
          <w:rFonts w:cs="Georgia"/>
          <w:sz w:val="28"/>
          <w:szCs w:val="30"/>
          <w:lang w:bidi="it-IT"/>
        </w:rPr>
        <w:t xml:space="preserve">oppure di fiabe classiche come </w:t>
      </w:r>
      <w:r w:rsidRPr="00976DED">
        <w:rPr>
          <w:rFonts w:cs="Georgia-Italic"/>
          <w:i/>
          <w:iCs/>
          <w:sz w:val="28"/>
          <w:szCs w:val="30"/>
          <w:lang w:bidi="it-IT"/>
        </w:rPr>
        <w:t>Schiaccianoci e il re dei topi</w:t>
      </w:r>
      <w:r w:rsidRPr="00976DED">
        <w:rPr>
          <w:rFonts w:cs="Georgia"/>
          <w:sz w:val="28"/>
          <w:szCs w:val="30"/>
          <w:lang w:bidi="it-IT"/>
        </w:rPr>
        <w:t xml:space="preserve"> (1816), fu un sopraffino giurista professionale, addottoratosi in materie giuridiche e per lungo tempo consigliere preso la Corte d’Appello di Berlino.</w:t>
      </w:r>
    </w:p>
    <w:p w:rsidR="00D34104" w:rsidRPr="00976DED" w:rsidRDefault="00D34104" w:rsidP="00D34104">
      <w:pPr>
        <w:ind w:left="284" w:right="276" w:firstLine="425"/>
        <w:contextualSpacing/>
        <w:jc w:val="both"/>
        <w:rPr>
          <w:rFonts w:cs="Georgia"/>
          <w:sz w:val="28"/>
          <w:szCs w:val="30"/>
          <w:lang w:bidi="it-IT"/>
        </w:rPr>
      </w:pPr>
      <w:r w:rsidRPr="00976DED">
        <w:rPr>
          <w:rFonts w:cs="Georgia"/>
          <w:sz w:val="28"/>
          <w:szCs w:val="30"/>
          <w:lang w:bidi="it-IT"/>
        </w:rPr>
        <w:t>E’ interessante notare come per Hoffmann, in piena adesione al canone romantico, non sia mai esistita una vera e propria cesura tra le molteplici attività del proprio proteiforme ingegno.</w:t>
      </w:r>
    </w:p>
    <w:p w:rsidR="00D34104" w:rsidRPr="00976DED" w:rsidRDefault="00D34104" w:rsidP="00D34104">
      <w:pPr>
        <w:ind w:left="284" w:right="276" w:firstLine="425"/>
        <w:contextualSpacing/>
        <w:jc w:val="both"/>
        <w:rPr>
          <w:rFonts w:cs="Georgia"/>
          <w:sz w:val="28"/>
          <w:szCs w:val="30"/>
          <w:lang w:bidi="it-IT"/>
        </w:rPr>
      </w:pPr>
      <w:r w:rsidRPr="00976DED">
        <w:rPr>
          <w:rFonts w:cs="Georgia"/>
          <w:sz w:val="28"/>
          <w:szCs w:val="30"/>
          <w:lang w:bidi="it-IT"/>
        </w:rPr>
        <w:t>Che scrivesse una fiaba, abbozzasse un ritrattino o dirigesse un’orchestra, come aveva fatto a lungo con scrupolo e successo, Hoffmann aveva un solo interesse, un unico scopo: penetrare i reconditi meandri psicologici e le perturbanti passioni dell’uomo comune, della persona normale pienamente riconoscibile nel gruppo di famiglia, per cercare di capire e spiegare il terribile mistero della passionalità umana.</w:t>
      </w:r>
    </w:p>
    <w:p w:rsidR="00D34104" w:rsidRPr="00976DED" w:rsidRDefault="00D34104" w:rsidP="00D34104">
      <w:pPr>
        <w:ind w:left="284" w:right="276" w:firstLine="425"/>
        <w:contextualSpacing/>
        <w:jc w:val="both"/>
        <w:rPr>
          <w:rFonts w:cs="Georgia"/>
          <w:sz w:val="28"/>
          <w:szCs w:val="30"/>
          <w:lang w:bidi="it-IT"/>
        </w:rPr>
      </w:pPr>
      <w:r w:rsidRPr="00976DED">
        <w:rPr>
          <w:rFonts w:cs="Georgia"/>
          <w:sz w:val="28"/>
          <w:szCs w:val="30"/>
          <w:lang w:bidi="it-IT"/>
        </w:rPr>
        <w:lastRenderedPageBreak/>
        <w:t>Proprio per questo, da magistrato di carriera, aveva mostrato di preferire certamente il diritto penale ed aveva esercitato i migliori anni della propria vita professionale, prima di morire nel 1822 a soli 46 anni, in questa branca.</w:t>
      </w:r>
    </w:p>
    <w:p w:rsidR="00D34104" w:rsidRPr="00976DED" w:rsidRDefault="00D34104" w:rsidP="00D34104">
      <w:pPr>
        <w:ind w:left="284" w:right="276" w:firstLine="425"/>
        <w:contextualSpacing/>
        <w:jc w:val="both"/>
        <w:rPr>
          <w:rFonts w:cs="Georgia"/>
          <w:sz w:val="28"/>
          <w:szCs w:val="30"/>
          <w:lang w:bidi="it-IT"/>
        </w:rPr>
      </w:pPr>
      <w:r w:rsidRPr="00976DED">
        <w:rPr>
          <w:rFonts w:cs="Georgia"/>
          <w:sz w:val="28"/>
          <w:szCs w:val="30"/>
          <w:lang w:bidi="it-IT"/>
        </w:rPr>
        <w:t>Grazie alle ricerche d’archivio, oggi disponiamo anche di alcuni tra i più importanti scritti giudiziari dell’intellettuale tedesco, composti per ragioni  del proprio ufficio di magistrato.</w:t>
      </w:r>
    </w:p>
    <w:p w:rsidR="00D34104" w:rsidRPr="00976DED" w:rsidRDefault="00D34104" w:rsidP="00D34104">
      <w:pPr>
        <w:ind w:left="284" w:right="276" w:firstLine="425"/>
        <w:contextualSpacing/>
        <w:jc w:val="both"/>
        <w:rPr>
          <w:rFonts w:cs="Georgia"/>
          <w:sz w:val="28"/>
          <w:szCs w:val="30"/>
          <w:lang w:bidi="it-IT"/>
        </w:rPr>
      </w:pPr>
      <w:r w:rsidRPr="00976DED">
        <w:rPr>
          <w:rFonts w:cs="Georgia"/>
          <w:sz w:val="28"/>
          <w:szCs w:val="30"/>
          <w:lang w:bidi="it-IT"/>
        </w:rPr>
        <w:t>Pertanto verificare ciò cui si è fatto cenno non è difficile.</w:t>
      </w:r>
    </w:p>
    <w:p w:rsidR="00D34104" w:rsidRPr="000631AA" w:rsidRDefault="00D34104" w:rsidP="00D34104">
      <w:pPr>
        <w:ind w:left="284" w:right="276" w:firstLine="425"/>
        <w:contextualSpacing/>
        <w:jc w:val="both"/>
        <w:rPr>
          <w:rFonts w:cs="Georgia"/>
          <w:sz w:val="28"/>
          <w:szCs w:val="30"/>
          <w:lang w:bidi="it-IT"/>
        </w:rPr>
      </w:pPr>
      <w:r w:rsidRPr="00976DED">
        <w:rPr>
          <w:rFonts w:cs="Georgia"/>
          <w:sz w:val="28"/>
          <w:szCs w:val="30"/>
          <w:lang w:bidi="it-IT"/>
        </w:rPr>
        <w:t xml:space="preserve">La critica letteraria e gli storici del diritto penale, in particolare, hanno appuntato le rispettive attenzioni sul </w:t>
      </w:r>
      <w:r w:rsidRPr="000631AA">
        <w:rPr>
          <w:rFonts w:cs="Georgia"/>
          <w:i/>
          <w:sz w:val="28"/>
          <w:szCs w:val="30"/>
          <w:lang w:bidi="it-IT"/>
        </w:rPr>
        <w:t>caso Schmolling</w:t>
      </w:r>
      <w:r w:rsidRPr="000631AA">
        <w:rPr>
          <w:rFonts w:cs="Georgia"/>
          <w:sz w:val="28"/>
          <w:szCs w:val="30"/>
          <w:lang w:bidi="it-IT"/>
        </w:rPr>
        <w:t>, un processo per omicidio volontario aggravato dalla premeditazione, celebrato a Berlino tra il 1817 ed il 1818.</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In primo grado Daniel Schmolling - garzone di fornaio reo confesso di avere pugnalato al cuore la propria amante Henriette Lehne quando costei gli aveva confidato di aspettare un figlio da lui - era stato condannato alla pena capitale.</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 xml:space="preserve">La Difesa tuttavia, sulla scorta di una perizia psichiatrica che lo aveva ritenuto afflitto da </w:t>
      </w:r>
      <w:r w:rsidRPr="000631AA">
        <w:rPr>
          <w:rFonts w:cs="Georgia"/>
          <w:i/>
          <w:sz w:val="28"/>
          <w:szCs w:val="30"/>
          <w:lang w:bidi="it-IT"/>
        </w:rPr>
        <w:t>amentia occulta</w:t>
      </w:r>
      <w:r w:rsidRPr="000631AA">
        <w:rPr>
          <w:rFonts w:cs="Georgia"/>
          <w:sz w:val="28"/>
          <w:szCs w:val="30"/>
          <w:lang w:bidi="it-IT"/>
        </w:rPr>
        <w:t xml:space="preserve">, aveva presentato appello e chiesto il proscioglimento del proprio assistito, da giudicarsi infermo di mente con conseguente affidamento, come consentivano le leggi penali prussiane del tempo, alla vigilanza della </w:t>
      </w:r>
      <w:r w:rsidRPr="000631AA">
        <w:rPr>
          <w:rFonts w:cs="Georgia"/>
          <w:i/>
          <w:sz w:val="28"/>
          <w:szCs w:val="30"/>
          <w:lang w:bidi="it-IT"/>
        </w:rPr>
        <w:t>Kriminalpolizei</w:t>
      </w:r>
      <w:r w:rsidRPr="000631AA">
        <w:rPr>
          <w:rFonts w:cs="Georgia"/>
          <w:sz w:val="28"/>
          <w:szCs w:val="30"/>
          <w:lang w:bidi="it-IT"/>
        </w:rPr>
        <w:t>.</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Relatore del giudizio d’impugnazione era stato designato proprio il nostro autore.</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Grazie alle ricerche di Wulf Segebrecht uno dei maggiori studiosi di Hoffmann, negli archivi della Corte berlinese, nel 1967, venne fortunosamente ritrovata una copia scritta, già oggetto di pubblicazione un secolo prima, della relazione introduttiva predisposta da Hoffmann per la trattazione del dibattimento d’appello</w:t>
      </w:r>
      <w:r w:rsidRPr="000631AA">
        <w:rPr>
          <w:rStyle w:val="Rimandonotaapidipagina"/>
          <w:rFonts w:cs="Georgia"/>
          <w:sz w:val="28"/>
          <w:szCs w:val="30"/>
          <w:lang w:bidi="it-IT"/>
        </w:rPr>
        <w:footnoteReference w:id="35"/>
      </w:r>
      <w:r w:rsidRPr="000631AA">
        <w:rPr>
          <w:rFonts w:cs="Georgia"/>
          <w:sz w:val="28"/>
          <w:szCs w:val="30"/>
          <w:lang w:bidi="it-IT"/>
        </w:rPr>
        <w:t>.</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Lo scrittore, nella veste professionale di giudice preparato, puntiglioso e severo, mostra nello scritto tecnico un’impressionante padronanza, effettivamente molto in anticipo con le prassi del tempo, degli strumenti tecnici e delle dottrine della psicopatologia forense e dell’antropologia criminale in genere.</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Del tutto convinto della superficialità delle conclusioni della perizia prodotta dalla parte, il relatore demolendo le conclusioni dello specialista della Difesa, ci lascia un vero e proprio piccolo trattato di psichiatria del profondo capace di analizzare minuziosamente ogni profilo dell’azione di Schmolling e di valutare il tutto alla luce delle più aggiornate acquisizioni della psicologia del suo tempo.</w:t>
      </w:r>
    </w:p>
    <w:p w:rsidR="00D34104" w:rsidRPr="000631AA" w:rsidRDefault="00D34104" w:rsidP="00D34104">
      <w:pPr>
        <w:ind w:left="284" w:right="276" w:firstLine="425"/>
        <w:contextualSpacing/>
        <w:jc w:val="both"/>
        <w:rPr>
          <w:rFonts w:cs="Georgia"/>
          <w:sz w:val="28"/>
          <w:szCs w:val="30"/>
          <w:lang w:bidi="it-IT"/>
        </w:rPr>
      </w:pPr>
      <w:r w:rsidRPr="000631AA">
        <w:rPr>
          <w:rFonts w:cs="Georgia"/>
          <w:sz w:val="28"/>
          <w:szCs w:val="30"/>
          <w:lang w:bidi="it-IT"/>
        </w:rPr>
        <w:t xml:space="preserve">Ne viene fuori una narrazione capace, esattamente come nelle fiabe gotiche che in quegli stessi anni l’autore coltivava e pubblicava, di desacralizzare la </w:t>
      </w:r>
      <w:r w:rsidRPr="000631AA">
        <w:rPr>
          <w:rFonts w:cs="Georgia"/>
          <w:sz w:val="28"/>
          <w:szCs w:val="30"/>
          <w:lang w:bidi="it-IT"/>
        </w:rPr>
        <w:lastRenderedPageBreak/>
        <w:t xml:space="preserve">presunta patologia obnubilante del prevenuto e sublimare invece, nel crescendo del </w:t>
      </w:r>
      <w:r w:rsidRPr="000631AA">
        <w:rPr>
          <w:rFonts w:cs="Georgia"/>
          <w:i/>
          <w:sz w:val="28"/>
          <w:szCs w:val="30"/>
          <w:lang w:bidi="it-IT"/>
        </w:rPr>
        <w:t>pathos</w:t>
      </w:r>
      <w:r w:rsidRPr="000631AA">
        <w:rPr>
          <w:rFonts w:cs="Georgia"/>
          <w:sz w:val="28"/>
          <w:szCs w:val="30"/>
          <w:lang w:bidi="it-IT"/>
        </w:rPr>
        <w:t xml:space="preserve"> narrativo imposto dall’autore - nella relazione giurisdizionale come nella prosa psico-orrorifica che lo avrebbe reso immortale - la passionalità colpevole, ancorché apparentemente immotivata, come aveva scritto il patrono dell’imputato, della condotta dello sciagurato fornaio, non a caso condannato a morte, con piena conferma del </w:t>
      </w:r>
      <w:r w:rsidRPr="000631AA">
        <w:rPr>
          <w:rFonts w:cs="Georgia"/>
          <w:i/>
          <w:sz w:val="28"/>
          <w:szCs w:val="30"/>
          <w:lang w:bidi="it-IT"/>
        </w:rPr>
        <w:t>decisum</w:t>
      </w:r>
      <w:r w:rsidRPr="000631AA">
        <w:rPr>
          <w:rFonts w:cs="Georgia"/>
          <w:sz w:val="28"/>
          <w:szCs w:val="30"/>
          <w:lang w:bidi="it-IT"/>
        </w:rPr>
        <w:t xml:space="preserve"> del primo grado, anche dalla Corte di cui Hoffmann era componente</w:t>
      </w:r>
      <w:r w:rsidRPr="000631AA">
        <w:rPr>
          <w:rStyle w:val="Rimandonotaapidipagina"/>
          <w:rFonts w:cs="Georgia"/>
          <w:sz w:val="28"/>
          <w:szCs w:val="30"/>
          <w:lang w:bidi="it-IT"/>
        </w:rPr>
        <w:footnoteReference w:id="36"/>
      </w:r>
      <w:r w:rsidRPr="000631AA">
        <w:rPr>
          <w:rFonts w:cs="Georgia"/>
          <w:sz w:val="28"/>
          <w:szCs w:val="30"/>
          <w:lang w:bidi="it-IT"/>
        </w:rPr>
        <w:t>.</w:t>
      </w:r>
    </w:p>
    <w:p w:rsidR="00D34104" w:rsidRDefault="00D34104" w:rsidP="00D34104"/>
    <w:p w:rsidR="00D34104" w:rsidRPr="00B47C26" w:rsidRDefault="00D34104" w:rsidP="00D34104">
      <w:pPr>
        <w:ind w:left="284" w:right="276" w:firstLine="425"/>
        <w:jc w:val="right"/>
        <w:rPr>
          <w:sz w:val="28"/>
        </w:rPr>
      </w:pPr>
    </w:p>
    <w:p w:rsidR="00D34104" w:rsidRPr="00B47C26" w:rsidRDefault="00D34104" w:rsidP="00D34104">
      <w:pPr>
        <w:ind w:left="284" w:right="276" w:firstLine="425"/>
        <w:jc w:val="right"/>
        <w:rPr>
          <w:sz w:val="28"/>
        </w:rPr>
      </w:pPr>
    </w:p>
    <w:p w:rsidR="00D34104" w:rsidRPr="006D1191" w:rsidRDefault="00D34104" w:rsidP="00D34104">
      <w:pPr>
        <w:ind w:left="284" w:right="276" w:firstLine="425"/>
        <w:contextualSpacing/>
        <w:jc w:val="both"/>
        <w:rPr>
          <w:sz w:val="28"/>
        </w:rPr>
      </w:pPr>
    </w:p>
    <w:p w:rsidR="00D34104" w:rsidRPr="006D1191" w:rsidRDefault="00D34104" w:rsidP="00D34104">
      <w:pPr>
        <w:ind w:left="284" w:right="276" w:firstLine="425"/>
        <w:contextualSpacing/>
        <w:jc w:val="both"/>
        <w:rPr>
          <w:sz w:val="28"/>
        </w:rPr>
      </w:pPr>
    </w:p>
    <w:p w:rsidR="00D34104" w:rsidRPr="006D1191" w:rsidRDefault="00D34104" w:rsidP="00D34104">
      <w:pPr>
        <w:ind w:left="284" w:right="276" w:firstLine="425"/>
        <w:contextualSpacing/>
        <w:jc w:val="both"/>
        <w:rPr>
          <w:sz w:val="28"/>
        </w:rPr>
      </w:pPr>
    </w:p>
    <w:p w:rsidR="00D34104" w:rsidRPr="006D1191" w:rsidRDefault="00D34104" w:rsidP="00D34104">
      <w:pPr>
        <w:ind w:left="284" w:right="276" w:firstLine="425"/>
        <w:contextualSpacing/>
        <w:jc w:val="both"/>
        <w:rPr>
          <w:sz w:val="28"/>
        </w:rPr>
      </w:pPr>
    </w:p>
    <w:p w:rsidR="00D34104" w:rsidRPr="006D1191" w:rsidRDefault="00D34104" w:rsidP="00D34104">
      <w:pPr>
        <w:ind w:left="284" w:right="276" w:firstLine="425"/>
        <w:contextualSpacing/>
        <w:jc w:val="both"/>
        <w:rPr>
          <w:sz w:val="28"/>
        </w:rPr>
      </w:pPr>
    </w:p>
    <w:p w:rsidR="00D34104" w:rsidRPr="00FE5AFE" w:rsidRDefault="00D34104" w:rsidP="00D34104">
      <w:pPr>
        <w:ind w:left="284" w:right="276" w:firstLine="425"/>
        <w:contextualSpacing/>
        <w:jc w:val="both"/>
        <w:rPr>
          <w:sz w:val="28"/>
        </w:rPr>
      </w:pPr>
    </w:p>
    <w:p w:rsidR="00D34104" w:rsidRDefault="00D34104" w:rsidP="00D34104"/>
    <w:p w:rsidR="00D34104" w:rsidRPr="009A2A48" w:rsidRDefault="00D34104" w:rsidP="00D34104">
      <w:pPr>
        <w:ind w:left="284" w:right="276" w:firstLine="425"/>
        <w:jc w:val="center"/>
        <w:rPr>
          <w:b/>
          <w:sz w:val="28"/>
          <w:u w:val="single"/>
        </w:rPr>
      </w:pPr>
      <w:r w:rsidRPr="009A2A48">
        <w:rPr>
          <w:b/>
          <w:sz w:val="28"/>
          <w:u w:val="single"/>
        </w:rPr>
        <w:t>L’opera dei fratelli Grimm. Germanistica e diritto nel mondo delle fiabe</w:t>
      </w:r>
    </w:p>
    <w:p w:rsidR="00D34104" w:rsidRPr="00B47C26" w:rsidRDefault="00D34104" w:rsidP="00D34104">
      <w:pPr>
        <w:ind w:left="284" w:right="276" w:firstLine="425"/>
        <w:jc w:val="center"/>
        <w:rPr>
          <w:b/>
          <w:sz w:val="28"/>
        </w:rPr>
      </w:pPr>
    </w:p>
    <w:p w:rsidR="00D34104" w:rsidRPr="00B47C26" w:rsidRDefault="00D34104" w:rsidP="00D34104">
      <w:pPr>
        <w:ind w:left="284" w:right="276" w:firstLine="425"/>
        <w:contextualSpacing/>
        <w:jc w:val="both"/>
        <w:rPr>
          <w:sz w:val="28"/>
        </w:rPr>
      </w:pPr>
      <w:r w:rsidRPr="00B47C26">
        <w:rPr>
          <w:sz w:val="28"/>
        </w:rPr>
        <w:t>Jacob (1785-1863) e Wilhelm (1786-1859) Grimm, i famosi fratelli noti al mondo soprattutto per la loro opera di raccolta e rielaborazione delle fiabe più antiche e belle della tradizione germanica, furono molto più che semplici raccoglitori e divulgatori di novelle della cultura autoctona.</w:t>
      </w:r>
    </w:p>
    <w:p w:rsidR="00D34104" w:rsidRPr="00B47C26" w:rsidRDefault="00D34104" w:rsidP="00D34104">
      <w:pPr>
        <w:ind w:left="284" w:right="276" w:firstLine="425"/>
        <w:contextualSpacing/>
        <w:jc w:val="both"/>
        <w:rPr>
          <w:rFonts w:cs="Helvetica"/>
          <w:sz w:val="28"/>
          <w:szCs w:val="26"/>
          <w:lang w:bidi="it-IT"/>
        </w:rPr>
      </w:pPr>
      <w:r w:rsidRPr="00B47C26">
        <w:rPr>
          <w:sz w:val="28"/>
        </w:rPr>
        <w:t xml:space="preserve">Furono soprattutto </w:t>
      </w:r>
      <w:r w:rsidRPr="00B47C26">
        <w:rPr>
          <w:rFonts w:cs="Helvetica"/>
          <w:sz w:val="28"/>
          <w:szCs w:val="26"/>
          <w:lang w:bidi="it-IT"/>
        </w:rPr>
        <w:t xml:space="preserve">due linguisti, due filologi ricordati tra i padri fondatori della </w:t>
      </w:r>
      <w:r w:rsidRPr="00C24EEF">
        <w:rPr>
          <w:rFonts w:cs="Helvetica"/>
          <w:i/>
          <w:sz w:val="28"/>
          <w:szCs w:val="26"/>
          <w:lang w:bidi="it-IT"/>
        </w:rPr>
        <w:t>Germanistica moderna</w:t>
      </w:r>
      <w:r w:rsidRPr="00B47C26">
        <w:rPr>
          <w:rFonts w:cs="Helvetica"/>
          <w:sz w:val="28"/>
          <w:szCs w:val="26"/>
          <w:lang w:bidi="it-IT"/>
        </w:rPr>
        <w:t xml:space="preserve"> (</w:t>
      </w:r>
      <w:r w:rsidRPr="00C24EEF">
        <w:rPr>
          <w:rFonts w:cs="Helvetica"/>
          <w:i/>
          <w:sz w:val="28"/>
          <w:szCs w:val="26"/>
          <w:lang w:bidi="it-IT"/>
        </w:rPr>
        <w:t>Germanistik</w:t>
      </w:r>
      <w:r w:rsidRPr="00B47C26">
        <w:rPr>
          <w:rFonts w:cs="Helvetica"/>
          <w:sz w:val="28"/>
          <w:szCs w:val="26"/>
          <w:lang w:bidi="it-IT"/>
        </w:rPr>
        <w:t>), l’insieme delle discipline – lingua, letteratura, diritto, storia, poesia – che avrebbe contribuito all’omogeneizzazione romantica del frammentario orizzonte spirituale tedesco del tempo, dopo la sconfitta della Prussia ad opera delle armate napoleoniche e la fine anche formale del Sacro Romano Impero della nazione Germanica.</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Nacquero entrambi ad Hanau, nei pressi di </w:t>
      </w:r>
      <w:hyperlink r:id="rId6" w:history="1">
        <w:r w:rsidRPr="00B47C26">
          <w:rPr>
            <w:rFonts w:cs="Helvetica"/>
            <w:sz w:val="28"/>
            <w:szCs w:val="26"/>
            <w:lang w:bidi="it-IT"/>
          </w:rPr>
          <w:t>Francoforte</w:t>
        </w:r>
      </w:hyperlink>
      <w:r w:rsidRPr="00B47C26">
        <w:rPr>
          <w:rFonts w:cs="Helvetica"/>
          <w:sz w:val="28"/>
          <w:szCs w:val="26"/>
          <w:lang w:bidi="it-IT"/>
        </w:rPr>
        <w:t xml:space="preserve">. Frequentarono il  prestigioso </w:t>
      </w:r>
      <w:r w:rsidRPr="00B47C26">
        <w:rPr>
          <w:rFonts w:cs="Helvetica"/>
          <w:i/>
          <w:sz w:val="28"/>
          <w:szCs w:val="26"/>
          <w:lang w:bidi="it-IT"/>
        </w:rPr>
        <w:t>Friedrichs Gymanasium</w:t>
      </w:r>
      <w:r w:rsidRPr="00B47C26">
        <w:rPr>
          <w:rFonts w:cs="Helvetica"/>
          <w:sz w:val="28"/>
          <w:szCs w:val="26"/>
          <w:lang w:bidi="it-IT"/>
        </w:rPr>
        <w:t xml:space="preserve"> di </w:t>
      </w:r>
      <w:hyperlink r:id="rId7" w:history="1">
        <w:r w:rsidRPr="00B47C26">
          <w:rPr>
            <w:rFonts w:cs="Helvetica"/>
            <w:sz w:val="28"/>
            <w:szCs w:val="26"/>
            <w:lang w:bidi="it-IT"/>
          </w:rPr>
          <w:t>Kassel</w:t>
        </w:r>
      </w:hyperlink>
      <w:r w:rsidRPr="00B47C26">
        <w:rPr>
          <w:rFonts w:cs="Helvetica"/>
          <w:sz w:val="28"/>
          <w:szCs w:val="26"/>
          <w:lang w:bidi="it-IT"/>
        </w:rPr>
        <w:t xml:space="preserve"> e poi studiarono legge all'università di Marburgo.</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 Furono allievi ed amici, soprattutto Jacob, del grande giurista tedesco Friedrich Carl von Savigny (1779-1861), del quale rielaborarono il pensiero storico e romantico e gli studi di metodologia della scienza e di storiografia giuridica. </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Oggi riposano nel cimitero di Schöneberg, un tranquillo quartiere di Berlino ricco di parchi e viali alberati che ai due fratelli sarebbe piaciuto molto. </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I Grimm contribuirono con la propria opera a formare un'opinione pubblica democratica in Germania e sono giustamente considerati tra i progenitori del </w:t>
      </w:r>
      <w:r w:rsidRPr="00B47C26">
        <w:rPr>
          <w:rFonts w:cs="Helvetica"/>
          <w:sz w:val="28"/>
          <w:szCs w:val="26"/>
          <w:lang w:bidi="it-IT"/>
        </w:rPr>
        <w:lastRenderedPageBreak/>
        <w:t xml:space="preserve">movimento democratico tedesco, la cui rivolta fu soppressa nel sangue dai reali di </w:t>
      </w:r>
      <w:hyperlink r:id="rId8" w:history="1">
        <w:r w:rsidRPr="00B47C26">
          <w:rPr>
            <w:rFonts w:cs="Helvetica"/>
            <w:sz w:val="28"/>
            <w:szCs w:val="26"/>
            <w:lang w:bidi="it-IT"/>
          </w:rPr>
          <w:t>Prussia</w:t>
        </w:r>
      </w:hyperlink>
      <w:r w:rsidRPr="00B47C26">
        <w:rPr>
          <w:rFonts w:cs="Helvetica"/>
          <w:sz w:val="28"/>
          <w:szCs w:val="26"/>
          <w:lang w:bidi="it-IT"/>
        </w:rPr>
        <w:t xml:space="preserve"> nel </w:t>
      </w:r>
      <w:hyperlink r:id="rId9" w:history="1">
        <w:r w:rsidRPr="00B47C26">
          <w:rPr>
            <w:rFonts w:cs="Helvetica"/>
            <w:sz w:val="28"/>
            <w:szCs w:val="26"/>
            <w:lang w:bidi="it-IT"/>
          </w:rPr>
          <w:t>1848</w:t>
        </w:r>
      </w:hyperlink>
      <w:r w:rsidRPr="00B47C26">
        <w:rPr>
          <w:rFonts w:cs="Helvetica"/>
          <w:sz w:val="28"/>
          <w:szCs w:val="26"/>
          <w:lang w:bidi="it-IT"/>
        </w:rPr>
        <w:t xml:space="preserve">. </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All'inizio del </w:t>
      </w:r>
      <w:hyperlink r:id="rId10" w:history="1">
        <w:r w:rsidRPr="00B47C26">
          <w:rPr>
            <w:rFonts w:cs="Helvetica"/>
            <w:sz w:val="28"/>
            <w:szCs w:val="26"/>
            <w:lang w:bidi="it-IT"/>
          </w:rPr>
          <w:t>XIX secolo</w:t>
        </w:r>
      </w:hyperlink>
      <w:r w:rsidRPr="00B47C26">
        <w:rPr>
          <w:rFonts w:cs="Helvetica"/>
          <w:sz w:val="28"/>
          <w:szCs w:val="26"/>
          <w:lang w:bidi="it-IT"/>
        </w:rPr>
        <w:t xml:space="preserve"> la </w:t>
      </w:r>
      <w:hyperlink r:id="rId11" w:history="1">
        <w:r w:rsidRPr="00B47C26">
          <w:rPr>
            <w:rFonts w:cs="Helvetica"/>
            <w:sz w:val="28"/>
            <w:szCs w:val="26"/>
            <w:lang w:bidi="it-IT"/>
          </w:rPr>
          <w:t>Germania</w:t>
        </w:r>
      </w:hyperlink>
      <w:r w:rsidRPr="00B47C26">
        <w:rPr>
          <w:rFonts w:cs="Helvetica"/>
          <w:sz w:val="28"/>
          <w:szCs w:val="26"/>
          <w:lang w:bidi="it-IT"/>
        </w:rPr>
        <w:t xml:space="preserve"> era divisa in centinaia di principati e piccole entità nazionali, unificati solo dalla lingua comune. </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Una delle motivazioni che spinsero i due fratelli a trascrivere le fiabe, grande retaggio culturale caratteristico dei popoli di origine nordica, fu il desiderio di favorire la nascita di una identità germanica, attraverso la raccolta degli elementi folklorici e poetici che potessero fungere da appropriato collante di amalgama culturale nazionale.</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I due studiosi perseguirono questo scopo anche lavorando alla compilazione di un </w:t>
      </w:r>
      <w:hyperlink r:id="rId12" w:history="1">
        <w:r w:rsidRPr="00B47C26">
          <w:rPr>
            <w:rFonts w:cs="Helvetica"/>
            <w:sz w:val="28"/>
            <w:szCs w:val="26"/>
            <w:lang w:bidi="it-IT"/>
          </w:rPr>
          <w:t>dizionario</w:t>
        </w:r>
      </w:hyperlink>
      <w:r w:rsidRPr="00B47C26">
        <w:rPr>
          <w:rFonts w:cs="Helvetica"/>
          <w:sz w:val="28"/>
          <w:szCs w:val="26"/>
          <w:lang w:bidi="it-IT"/>
        </w:rPr>
        <w:t xml:space="preserve"> di tedesco, il </w:t>
      </w:r>
      <w:r w:rsidRPr="009678D0">
        <w:rPr>
          <w:rFonts w:cs="Arial-BoldMT"/>
          <w:bCs/>
          <w:i/>
          <w:sz w:val="28"/>
          <w:szCs w:val="32"/>
          <w:lang w:bidi="it-IT"/>
        </w:rPr>
        <w:t>Deutsches Wörterbuch</w:t>
      </w:r>
      <w:r w:rsidRPr="00B47C26">
        <w:rPr>
          <w:rFonts w:cs="Helvetica"/>
          <w:sz w:val="28"/>
          <w:szCs w:val="26"/>
          <w:lang w:bidi="it-IT"/>
        </w:rPr>
        <w:t>, che fu un passo essenziale nella definizione della moderna lingua germanica standard.</w:t>
      </w:r>
    </w:p>
    <w:p w:rsidR="00D34104" w:rsidRPr="00B47C26" w:rsidRDefault="00D34104" w:rsidP="00D34104">
      <w:pPr>
        <w:ind w:left="284" w:right="276" w:firstLine="425"/>
        <w:jc w:val="both"/>
        <w:rPr>
          <w:rFonts w:cs="Helvetica"/>
          <w:sz w:val="28"/>
          <w:szCs w:val="26"/>
          <w:lang w:bidi="it-IT"/>
        </w:rPr>
      </w:pPr>
      <w:r w:rsidRPr="00B47C26">
        <w:rPr>
          <w:rFonts w:cs="Helvetica"/>
          <w:sz w:val="28"/>
          <w:szCs w:val="26"/>
          <w:lang w:bidi="it-IT"/>
        </w:rPr>
        <w:t>Si tratta probabilmente della più importante opera etimologica e filologica tedesca dopo la traduzione della Bibbia da parte di Martin Lutero.</w:t>
      </w:r>
    </w:p>
    <w:p w:rsidR="00D34104" w:rsidRPr="00F901C0" w:rsidRDefault="00D34104" w:rsidP="00D34104">
      <w:pPr>
        <w:ind w:left="284" w:right="276" w:firstLine="425"/>
        <w:jc w:val="both"/>
        <w:rPr>
          <w:rFonts w:cs="Helvetica"/>
          <w:sz w:val="28"/>
          <w:szCs w:val="26"/>
          <w:lang w:bidi="it-IT"/>
        </w:rPr>
      </w:pPr>
      <w:r w:rsidRPr="00B47C26">
        <w:rPr>
          <w:rFonts w:cs="Helvetica"/>
          <w:sz w:val="28"/>
          <w:szCs w:val="26"/>
          <w:lang w:bidi="it-IT"/>
        </w:rPr>
        <w:t xml:space="preserve">Il dizionario dei Grimm - lungamente coltivato da entrambi ma maggiormente ascrivibile alla fatica ultradecennale di Jacob - conta ormai sedici volumi divisi in trentadue tomi, ed ancora oggi </w:t>
      </w:r>
      <w:r w:rsidRPr="00F901C0">
        <w:rPr>
          <w:rFonts w:cs="Helvetica"/>
          <w:sz w:val="28"/>
          <w:szCs w:val="26"/>
          <w:lang w:bidi="it-IT"/>
        </w:rPr>
        <w:t>è considerato la fonte più autorevole per l’etimologia e la struttura ermeneutica dei vocaboli di quell’idioma</w:t>
      </w:r>
      <w:r w:rsidRPr="00F901C0">
        <w:rPr>
          <w:rStyle w:val="Rimandonotaapidipagina"/>
          <w:rFonts w:cs="Helvetica"/>
          <w:sz w:val="28"/>
          <w:szCs w:val="26"/>
          <w:lang w:bidi="it-IT"/>
        </w:rPr>
        <w:footnoteReference w:id="37"/>
      </w:r>
      <w:r w:rsidRPr="00F901C0">
        <w:rPr>
          <w:rFonts w:cs="Helvetica"/>
          <w:sz w:val="28"/>
          <w:szCs w:val="26"/>
          <w:lang w:bidi="it-IT"/>
        </w:rPr>
        <w:t>.</w:t>
      </w:r>
    </w:p>
    <w:p w:rsidR="00D34104" w:rsidRPr="00F901C0" w:rsidRDefault="00D34104" w:rsidP="00D34104">
      <w:pPr>
        <w:ind w:left="284" w:right="276" w:firstLine="425"/>
        <w:jc w:val="both"/>
        <w:rPr>
          <w:sz w:val="28"/>
        </w:rPr>
      </w:pPr>
      <w:r w:rsidRPr="00F901C0">
        <w:rPr>
          <w:sz w:val="28"/>
        </w:rPr>
        <w:t xml:space="preserve">E’ abbastanza naturale come, con un </w:t>
      </w:r>
      <w:r w:rsidRPr="00F901C0">
        <w:rPr>
          <w:i/>
          <w:sz w:val="28"/>
        </w:rPr>
        <w:t>background</w:t>
      </w:r>
      <w:r w:rsidRPr="00F901C0">
        <w:rPr>
          <w:sz w:val="28"/>
        </w:rPr>
        <w:t xml:space="preserve"> culturale di questo genere, la raccolta di fiabe dei due fratelli - </w:t>
      </w:r>
      <w:r w:rsidRPr="00F901C0">
        <w:rPr>
          <w:i/>
          <w:sz w:val="28"/>
        </w:rPr>
        <w:t>K</w:t>
      </w:r>
      <w:r w:rsidRPr="00F901C0">
        <w:rPr>
          <w:rFonts w:cs="Helvetica-Oblique"/>
          <w:i/>
          <w:iCs/>
          <w:sz w:val="28"/>
          <w:szCs w:val="26"/>
          <w:lang w:bidi="it-IT"/>
        </w:rPr>
        <w:t>inder und Hausmärchen</w:t>
      </w:r>
      <w:r w:rsidRPr="00F901C0">
        <w:rPr>
          <w:rFonts w:cs="Helvetica-Oblique"/>
          <w:iCs/>
          <w:sz w:val="28"/>
          <w:szCs w:val="26"/>
          <w:lang w:bidi="it-IT"/>
        </w:rPr>
        <w:t xml:space="preserve"> (</w:t>
      </w:r>
      <w:r w:rsidRPr="00F901C0">
        <w:rPr>
          <w:rFonts w:cs="Helvetica-Oblique"/>
          <w:i/>
          <w:iCs/>
          <w:sz w:val="28"/>
          <w:szCs w:val="26"/>
          <w:lang w:bidi="it-IT"/>
        </w:rPr>
        <w:t>Fiabe dei bambini e del focolare</w:t>
      </w:r>
      <w:r w:rsidRPr="00F901C0">
        <w:rPr>
          <w:rFonts w:cs="Helvetica-Oblique"/>
          <w:iCs/>
          <w:sz w:val="28"/>
          <w:szCs w:val="26"/>
          <w:lang w:bidi="it-IT"/>
        </w:rPr>
        <w:t>)</w:t>
      </w:r>
      <w:r w:rsidRPr="00F901C0">
        <w:rPr>
          <w:rFonts w:cs="Helvetica"/>
          <w:sz w:val="28"/>
          <w:szCs w:val="26"/>
          <w:lang w:bidi="it-IT"/>
        </w:rPr>
        <w:t xml:space="preserve">, assemblata tra il 1812 ed il 1822 e poi di continuo limata e perfezionata - sia stata </w:t>
      </w:r>
      <w:r w:rsidRPr="00F901C0">
        <w:rPr>
          <w:sz w:val="28"/>
        </w:rPr>
        <w:t>motivata da un intento ben ulteriore rispetto a quello esclusivamente folklorico.</w:t>
      </w:r>
    </w:p>
    <w:p w:rsidR="00D34104" w:rsidRPr="00F901C0" w:rsidRDefault="00D34104" w:rsidP="00D34104">
      <w:pPr>
        <w:ind w:left="284" w:right="276" w:firstLine="425"/>
        <w:jc w:val="both"/>
        <w:rPr>
          <w:sz w:val="28"/>
        </w:rPr>
      </w:pPr>
      <w:r w:rsidRPr="00F901C0">
        <w:rPr>
          <w:sz w:val="28"/>
        </w:rPr>
        <w:t xml:space="preserve">Lo scopo giuridico, scientifico e nazionalistico della raccolta fu infatti quello preponderante. </w:t>
      </w:r>
    </w:p>
    <w:p w:rsidR="00D34104" w:rsidRPr="00B47C26" w:rsidRDefault="00D34104" w:rsidP="00D34104">
      <w:pPr>
        <w:ind w:left="284" w:right="276" w:firstLine="425"/>
        <w:jc w:val="both"/>
        <w:rPr>
          <w:sz w:val="28"/>
        </w:rPr>
      </w:pPr>
      <w:r w:rsidRPr="00F901C0">
        <w:rPr>
          <w:sz w:val="28"/>
        </w:rPr>
        <w:t>Furono gli amici romantici, i letterati Achim von Arnim (1781-1831) e Clemens Brentano (1778-1842), ad incoraggiare il</w:t>
      </w:r>
      <w:r w:rsidRPr="00B47C26">
        <w:rPr>
          <w:sz w:val="28"/>
        </w:rPr>
        <w:t xml:space="preserve"> lavoro dei Grimm, che originariamente doveva completare un progetto di ricerca sulla poesia popolare, in parte realizzato, da parte di Arnim e Brentano, con la pubblicazione di </w:t>
      </w:r>
      <w:r w:rsidRPr="00F901C0">
        <w:rPr>
          <w:i/>
          <w:sz w:val="28"/>
        </w:rPr>
        <w:t>Des Knaben Wunderhorn</w:t>
      </w:r>
      <w:r w:rsidRPr="00B47C26">
        <w:rPr>
          <w:sz w:val="28"/>
        </w:rPr>
        <w:t xml:space="preserve"> (</w:t>
      </w:r>
      <w:r w:rsidRPr="009678D0">
        <w:rPr>
          <w:i/>
          <w:sz w:val="28"/>
        </w:rPr>
        <w:t>Il corno meraviglioso del fanciullo</w:t>
      </w:r>
      <w:r w:rsidRPr="00B47C26">
        <w:rPr>
          <w:sz w:val="28"/>
        </w:rPr>
        <w:t xml:space="preserve">, 1806-1808), una silloge di canti rurali tedeschi. </w:t>
      </w:r>
    </w:p>
    <w:p w:rsidR="00D34104" w:rsidRPr="00B47C26" w:rsidRDefault="00D34104" w:rsidP="00D34104">
      <w:pPr>
        <w:ind w:left="284" w:right="276" w:firstLine="425"/>
        <w:jc w:val="both"/>
        <w:rPr>
          <w:sz w:val="28"/>
        </w:rPr>
      </w:pPr>
      <w:r w:rsidRPr="00B47C26">
        <w:rPr>
          <w:sz w:val="28"/>
        </w:rPr>
        <w:t xml:space="preserve">Del resto fu tutta la </w:t>
      </w:r>
      <w:r w:rsidRPr="00596D4E">
        <w:rPr>
          <w:i/>
          <w:sz w:val="28"/>
        </w:rPr>
        <w:t>G</w:t>
      </w:r>
      <w:r w:rsidRPr="00F901C0">
        <w:rPr>
          <w:i/>
          <w:sz w:val="28"/>
        </w:rPr>
        <w:t>ermanistica</w:t>
      </w:r>
      <w:r w:rsidRPr="00B47C26">
        <w:rPr>
          <w:sz w:val="28"/>
        </w:rPr>
        <w:t xml:space="preserve">, come oggi noi la intendiamo, ad essere sorta come scienza giuridica ed i primi germanisti in quanto cultori della comune tradizione culturale di quelle terre ancora politicamente disomogenee, furono gli studiosi degli antichi diritti germanici consuetudinari che venivano esaltati in opposizione romantica alla diffusione del diritto romano universale, </w:t>
      </w:r>
      <w:r w:rsidRPr="00B47C26">
        <w:rPr>
          <w:sz w:val="28"/>
        </w:rPr>
        <w:lastRenderedPageBreak/>
        <w:t xml:space="preserve">espressione quest’ultimo di una millenaria tradizione di perfezione tecnica e formale, priva tuttavia dei caratteri popolari – </w:t>
      </w:r>
      <w:r w:rsidRPr="00F901C0">
        <w:rPr>
          <w:i/>
          <w:sz w:val="28"/>
        </w:rPr>
        <w:t>volkich</w:t>
      </w:r>
      <w:r w:rsidRPr="00B47C26">
        <w:rPr>
          <w:sz w:val="28"/>
        </w:rPr>
        <w:t xml:space="preserve"> – della terrenità tedesca</w:t>
      </w:r>
      <w:r w:rsidRPr="00B47C26">
        <w:rPr>
          <w:rStyle w:val="Rimandonotaapidipagina"/>
          <w:sz w:val="28"/>
        </w:rPr>
        <w:footnoteReference w:id="38"/>
      </w:r>
      <w:r w:rsidRPr="00B47C26">
        <w:rPr>
          <w:sz w:val="28"/>
        </w:rPr>
        <w:t>.</w:t>
      </w:r>
    </w:p>
    <w:p w:rsidR="00D34104" w:rsidRPr="00F901C0" w:rsidRDefault="00D34104" w:rsidP="00D34104">
      <w:pPr>
        <w:ind w:left="284" w:right="276" w:firstLine="425"/>
        <w:jc w:val="both"/>
        <w:rPr>
          <w:i/>
          <w:sz w:val="28"/>
        </w:rPr>
      </w:pPr>
      <w:r w:rsidRPr="00B47C26">
        <w:rPr>
          <w:sz w:val="28"/>
        </w:rPr>
        <w:t>Per i circoli di intellettuali ed accademici come i fratelli Grimm, von Arnim, Brentano e per lo stesso von Savigny, l’unificazione politica e nazionalistica della Germania non avrebbe mai potuto adeguatamente realizzarsi se non si fosse reperita prima la radice originaria della comune</w:t>
      </w:r>
      <w:r w:rsidRPr="00F901C0">
        <w:rPr>
          <w:i/>
          <w:sz w:val="28"/>
        </w:rPr>
        <w:t xml:space="preserve"> tedeschità.</w:t>
      </w:r>
    </w:p>
    <w:p w:rsidR="00D34104" w:rsidRPr="0029169F" w:rsidRDefault="00D34104" w:rsidP="00D34104">
      <w:pPr>
        <w:ind w:left="284" w:right="276" w:firstLine="425"/>
        <w:jc w:val="both"/>
        <w:rPr>
          <w:sz w:val="28"/>
        </w:rPr>
      </w:pPr>
      <w:r w:rsidRPr="0029169F">
        <w:rPr>
          <w:sz w:val="28"/>
        </w:rPr>
        <w:t>Romanticamente ciò avrebbe dovuto passare attraverso il recupero di quella coralità popolare di cui il diritto come la poesia od il folklore erano espressione.</w:t>
      </w:r>
    </w:p>
    <w:p w:rsidR="00D34104" w:rsidRPr="00BD45C5" w:rsidRDefault="00D34104" w:rsidP="00D34104">
      <w:pPr>
        <w:ind w:left="284" w:right="276" w:firstLine="425"/>
        <w:jc w:val="both"/>
        <w:rPr>
          <w:sz w:val="28"/>
        </w:rPr>
      </w:pPr>
      <w:r w:rsidRPr="0029169F">
        <w:rPr>
          <w:sz w:val="28"/>
        </w:rPr>
        <w:t xml:space="preserve">I fratelli Grimm, così come il loro riconosciuto maestro di diritto Friedrich Carl von Savigny, che andava infatti privatamente leggendo, mano a mano, i manoscritti con le fiabe raccolte dai suoi allievi per vigilare sulla gestazione dell’opera, si prefiggevano dichiaratamente, tanto da averlo scritto a chiare lettere nell’introduzione al volume introduttivo (1812) della prima edizione dei </w:t>
      </w:r>
      <w:r w:rsidRPr="0029169F">
        <w:rPr>
          <w:i/>
          <w:sz w:val="28"/>
        </w:rPr>
        <w:t>K</w:t>
      </w:r>
      <w:r w:rsidRPr="0029169F">
        <w:rPr>
          <w:rFonts w:cs="Helvetica-Oblique"/>
          <w:i/>
          <w:iCs/>
          <w:sz w:val="28"/>
          <w:szCs w:val="26"/>
          <w:lang w:bidi="it-IT"/>
        </w:rPr>
        <w:t>inder und Hausmärchen</w:t>
      </w:r>
      <w:r w:rsidRPr="0029169F">
        <w:rPr>
          <w:rFonts w:cs="Helvetica-Oblique"/>
          <w:iCs/>
          <w:sz w:val="28"/>
          <w:szCs w:val="26"/>
          <w:lang w:bidi="it-IT"/>
        </w:rPr>
        <w:t xml:space="preserve">, </w:t>
      </w:r>
      <w:r w:rsidRPr="0029169F">
        <w:rPr>
          <w:sz w:val="28"/>
        </w:rPr>
        <w:t xml:space="preserve">di impegnarsi a recepire tutte le fiabe, possibilmente riportate nel modo più puro possibile senza aggiungere, abbellire o mutare alcuna circostanza, che potessero contribuire all’esaltazione dello spirito nazionale – poetico, giuridico, politico, consuetudinario – del popolo tedesco: il </w:t>
      </w:r>
      <w:r w:rsidRPr="0029169F">
        <w:rPr>
          <w:i/>
          <w:sz w:val="28"/>
        </w:rPr>
        <w:t>Volksgeist</w:t>
      </w:r>
      <w:r w:rsidRPr="0029169F">
        <w:rPr>
          <w:sz w:val="28"/>
        </w:rPr>
        <w:t xml:space="preserve">, concetto fondamentale, questo di </w:t>
      </w:r>
      <w:r w:rsidRPr="00BD45C5">
        <w:rPr>
          <w:i/>
          <w:sz w:val="28"/>
        </w:rPr>
        <w:t>spirito popolare</w:t>
      </w:r>
      <w:r w:rsidRPr="00BD45C5">
        <w:rPr>
          <w:sz w:val="28"/>
        </w:rPr>
        <w:t>, che tanto Savigny, almeno nella prima fase della propria vasta speculazione, quanto gli stessi Grimm ponevano a base delle rispettive opere, del tutto convinti che si trattasse del denominatore comune cui ricondurre tutte le manifestazioni culturali di una nazione, dal diritto, al folklore, all’arte, alla poesia</w:t>
      </w:r>
      <w:r w:rsidRPr="00BD45C5">
        <w:rPr>
          <w:rStyle w:val="Rimandonotaapidipagina"/>
          <w:sz w:val="28"/>
        </w:rPr>
        <w:footnoteReference w:id="39"/>
      </w:r>
      <w:r w:rsidRPr="00BD45C5">
        <w:rPr>
          <w:sz w:val="28"/>
        </w:rPr>
        <w:t>.</w:t>
      </w:r>
    </w:p>
    <w:p w:rsidR="00D34104" w:rsidRPr="0029169F" w:rsidRDefault="00D34104" w:rsidP="00D34104">
      <w:pPr>
        <w:ind w:left="284" w:right="276" w:firstLine="425"/>
        <w:jc w:val="both"/>
        <w:rPr>
          <w:rFonts w:cs="LucidaGrande"/>
          <w:sz w:val="28"/>
          <w:szCs w:val="22"/>
          <w:lang w:bidi="it-IT"/>
        </w:rPr>
      </w:pPr>
      <w:r w:rsidRPr="0029169F">
        <w:rPr>
          <w:rFonts w:cs="LucidaGrande"/>
          <w:sz w:val="28"/>
          <w:szCs w:val="22"/>
          <w:lang w:bidi="it-IT"/>
        </w:rPr>
        <w:t>Volendo contestualizzare il discorso anche allo scopo di comprendere meglio il rapporto diretto tra l’impegnativa raccolta delle fiabe germaniche e la temperie giuridica di quegli anni, è bene ricordare come proprio nel 1814, quando cioè soprattutto Jacob Grimm aveva intrapreso una proficua collaborazione accademica con Savigny ormai approdato alla prestigiosa cattedra berlinese, quest’ultimo aveva pubblicato la diffusa traccia del proprio programma di studio.</w:t>
      </w:r>
    </w:p>
    <w:p w:rsidR="00D34104" w:rsidRPr="0029169F" w:rsidRDefault="00D34104" w:rsidP="00D34104">
      <w:pPr>
        <w:ind w:left="284" w:right="276" w:firstLine="425"/>
        <w:jc w:val="both"/>
        <w:rPr>
          <w:rFonts w:cs="LucidaGrande"/>
          <w:sz w:val="28"/>
          <w:szCs w:val="22"/>
          <w:lang w:bidi="it-IT"/>
        </w:rPr>
      </w:pPr>
      <w:r w:rsidRPr="0029169F">
        <w:rPr>
          <w:rFonts w:cs="LucidaGrande"/>
          <w:sz w:val="28"/>
          <w:szCs w:val="22"/>
          <w:lang w:bidi="it-IT"/>
        </w:rPr>
        <w:t xml:space="preserve">Ci si riferisce al celeberrimo scritto metodologico </w:t>
      </w:r>
      <w:r w:rsidRPr="0029169F">
        <w:rPr>
          <w:rFonts w:cs="LucidaGrande"/>
          <w:i/>
          <w:sz w:val="28"/>
          <w:szCs w:val="22"/>
          <w:lang w:bidi="it-IT"/>
        </w:rPr>
        <w:t>Sulla vocazione del nostro tempo per la legislazione e la giurisprudenza</w:t>
      </w:r>
      <w:r w:rsidRPr="0029169F">
        <w:rPr>
          <w:rFonts w:cs="LucidaGrande"/>
          <w:sz w:val="28"/>
          <w:szCs w:val="22"/>
          <w:lang w:bidi="it-IT"/>
        </w:rPr>
        <w:t>.</w:t>
      </w:r>
    </w:p>
    <w:p w:rsidR="00D34104" w:rsidRPr="0029169F" w:rsidRDefault="00D34104" w:rsidP="00D34104">
      <w:pPr>
        <w:ind w:left="284" w:right="276" w:firstLine="425"/>
        <w:jc w:val="both"/>
        <w:rPr>
          <w:rFonts w:cs="LucidaGrande"/>
          <w:sz w:val="28"/>
          <w:szCs w:val="22"/>
          <w:lang w:bidi="it-IT"/>
        </w:rPr>
      </w:pPr>
      <w:r w:rsidRPr="0029169F">
        <w:rPr>
          <w:rFonts w:cs="LucidaGrande"/>
          <w:sz w:val="28"/>
          <w:szCs w:val="22"/>
          <w:lang w:bidi="it-IT"/>
        </w:rPr>
        <w:t xml:space="preserve">I termini espositivi di quel </w:t>
      </w:r>
      <w:r w:rsidRPr="0029169F">
        <w:rPr>
          <w:rFonts w:cs="LucidaGrande"/>
          <w:i/>
          <w:sz w:val="28"/>
          <w:szCs w:val="22"/>
          <w:lang w:bidi="it-IT"/>
        </w:rPr>
        <w:t>manifesto</w:t>
      </w:r>
      <w:r w:rsidRPr="0029169F">
        <w:rPr>
          <w:rFonts w:cs="LucidaGrande"/>
          <w:sz w:val="28"/>
          <w:szCs w:val="22"/>
          <w:lang w:bidi="it-IT"/>
        </w:rPr>
        <w:t xml:space="preserve"> sono chiari e non si può certo dire che Savigny non li abbia espressi, dal suo punto di vista, con lungimiranza e costrutto.</w:t>
      </w:r>
    </w:p>
    <w:p w:rsidR="00D34104" w:rsidRPr="0029169F" w:rsidRDefault="00D34104" w:rsidP="00D34104">
      <w:pPr>
        <w:ind w:left="284" w:right="276" w:firstLine="425"/>
        <w:jc w:val="both"/>
        <w:rPr>
          <w:rFonts w:cs="LucidaGrande"/>
          <w:sz w:val="28"/>
          <w:szCs w:val="22"/>
          <w:lang w:bidi="it-IT"/>
        </w:rPr>
      </w:pPr>
      <w:r w:rsidRPr="0029169F">
        <w:rPr>
          <w:rFonts w:cs="LucidaGrande"/>
          <w:sz w:val="28"/>
          <w:szCs w:val="22"/>
          <w:lang w:bidi="it-IT"/>
        </w:rPr>
        <w:t>Scriveva infatti, tra le altre cose, il giurista di Francoforte:</w:t>
      </w:r>
    </w:p>
    <w:p w:rsidR="00D34104" w:rsidRPr="0029169F" w:rsidRDefault="00D34104" w:rsidP="00D34104">
      <w:pPr>
        <w:ind w:left="1134" w:right="1694"/>
        <w:jc w:val="both"/>
        <w:rPr>
          <w:rFonts w:cs="LucidaGrande"/>
          <w:sz w:val="28"/>
          <w:szCs w:val="22"/>
          <w:lang w:bidi="it-IT"/>
        </w:rPr>
      </w:pPr>
    </w:p>
    <w:p w:rsidR="00D34104" w:rsidRPr="0029169F" w:rsidRDefault="00D34104" w:rsidP="00D34104">
      <w:pPr>
        <w:ind w:left="1134" w:right="1694"/>
        <w:jc w:val="both"/>
        <w:rPr>
          <w:rFonts w:cs="LucidaGrande"/>
          <w:szCs w:val="22"/>
          <w:lang w:bidi="it-IT"/>
        </w:rPr>
      </w:pPr>
      <w:r w:rsidRPr="0029169F">
        <w:rPr>
          <w:rFonts w:cs="LucidaGrande"/>
          <w:sz w:val="28"/>
          <w:szCs w:val="22"/>
          <w:lang w:bidi="it-IT"/>
        </w:rPr>
        <w:lastRenderedPageBreak/>
        <w:t>…</w:t>
      </w:r>
      <w:r w:rsidRPr="0029169F">
        <w:rPr>
          <w:rFonts w:cs="LucidaGrande"/>
          <w:szCs w:val="22"/>
          <w:lang w:bidi="it-IT"/>
        </w:rPr>
        <w:t>Noi chiediamo anzitutto alla storia come si sia veramente sviluppato il diritto presso i popoli di nobile stirpe, senza anticipare in alcun modo il giudizio su ciò che in esso sia buono, forse necessario o magari biasimevole. In ogni luogo, dove si trovi una storia scritta, il diritto civile ha già un carattere determinato, peculiare a quel popolo come la lingua, i suoi costumi, la sua costituzione. Queste manifestazioni non hanno esistenza separata; sono solo singole forze e attività di quel popolo, inscindibilmente collegate in natura, che solo alla nostra osservazione appaiono come qualità separate. Ciò che le congiunge in un insieme è il generale convincimento del popolo, la sensazione uniforme di un’interna necessità che esclude qualunque pensiero di un’origine casuale e arbitraria (…). Il linguaggio in realtà vive nella coscienza di una stirpe. La giovinezza delle razze è povera di concetti, ma gode una chiara coscienza delle sue condizioni e relazioni; le sente e le vive in modo completo e per intero (…). Quella chiara e naturale condizione si esprime a meraviglia anche nel diritto civile: e come per ogni singolo uomo le sue relazioni familiari e il suo possesso fondiario acquistano maggior pregio in quanto egli li apprezza, così è egualmente possibile che le regole del diritto privato appartengano proprio agli oggetti della credenza popolare…</w:t>
      </w:r>
      <w:r w:rsidRPr="0029169F">
        <w:rPr>
          <w:rStyle w:val="Rimandonotaapidipagina"/>
          <w:rFonts w:cs="LucidaGrande"/>
          <w:szCs w:val="22"/>
          <w:lang w:bidi="it-IT"/>
        </w:rPr>
        <w:footnoteReference w:id="40"/>
      </w:r>
    </w:p>
    <w:p w:rsidR="00D34104" w:rsidRPr="0029169F" w:rsidRDefault="00D34104" w:rsidP="00D34104">
      <w:pPr>
        <w:ind w:left="1134" w:right="1694"/>
        <w:jc w:val="both"/>
        <w:rPr>
          <w:rFonts w:cs="LucidaGrande"/>
          <w:szCs w:val="22"/>
          <w:lang w:bidi="it-IT"/>
        </w:rPr>
      </w:pPr>
      <w:r w:rsidRPr="0029169F">
        <w:rPr>
          <w:rFonts w:cs="LucidaGrande"/>
          <w:szCs w:val="22"/>
          <w:lang w:bidi="it-IT"/>
        </w:rPr>
        <w:t xml:space="preserve"> </w:t>
      </w:r>
    </w:p>
    <w:p w:rsidR="00D34104" w:rsidRPr="0029169F" w:rsidRDefault="00D34104" w:rsidP="00D34104">
      <w:pPr>
        <w:ind w:left="284" w:right="276" w:firstLine="425"/>
        <w:jc w:val="both"/>
        <w:rPr>
          <w:rFonts w:cs="LucidaGrande"/>
          <w:sz w:val="28"/>
          <w:szCs w:val="22"/>
          <w:lang w:bidi="it-IT"/>
        </w:rPr>
      </w:pPr>
      <w:r w:rsidRPr="0029169F">
        <w:rPr>
          <w:rFonts w:cs="LucidaGrande"/>
          <w:sz w:val="28"/>
          <w:szCs w:val="22"/>
          <w:lang w:bidi="it-IT"/>
        </w:rPr>
        <w:t xml:space="preserve">I fratelli Grimm avevano letto l’opuscolo </w:t>
      </w:r>
      <w:r w:rsidRPr="0029169F">
        <w:rPr>
          <w:rFonts w:cs="LucidaGrande"/>
          <w:i/>
          <w:sz w:val="28"/>
          <w:szCs w:val="22"/>
          <w:lang w:bidi="it-IT"/>
        </w:rPr>
        <w:t>savigniano</w:t>
      </w:r>
      <w:r w:rsidRPr="0029169F">
        <w:rPr>
          <w:rFonts w:cs="LucidaGrande"/>
          <w:sz w:val="28"/>
          <w:szCs w:val="22"/>
          <w:lang w:bidi="it-IT"/>
        </w:rPr>
        <w:t xml:space="preserve"> e se ne erano dichiarati entusiasti</w:t>
      </w:r>
      <w:r w:rsidRPr="0029169F">
        <w:rPr>
          <w:rStyle w:val="Rimandonotaapidipagina"/>
          <w:rFonts w:cs="LucidaGrande"/>
          <w:sz w:val="28"/>
          <w:szCs w:val="22"/>
          <w:lang w:bidi="it-IT"/>
        </w:rPr>
        <w:footnoteReference w:id="41"/>
      </w:r>
      <w:r w:rsidRPr="0029169F">
        <w:rPr>
          <w:rFonts w:cs="LucidaGrande"/>
          <w:sz w:val="28"/>
          <w:szCs w:val="22"/>
          <w:lang w:bidi="it-IT"/>
        </w:rPr>
        <w:t>.</w:t>
      </w:r>
    </w:p>
    <w:p w:rsidR="00D34104" w:rsidRPr="0029169F" w:rsidRDefault="00D34104" w:rsidP="00D34104">
      <w:pPr>
        <w:tabs>
          <w:tab w:val="left" w:pos="9356"/>
        </w:tabs>
        <w:ind w:left="284" w:right="276" w:firstLine="425"/>
        <w:jc w:val="both"/>
        <w:rPr>
          <w:rFonts w:cs="LucidaGrande"/>
          <w:sz w:val="28"/>
          <w:szCs w:val="22"/>
          <w:lang w:bidi="it-IT"/>
        </w:rPr>
      </w:pPr>
      <w:r w:rsidRPr="0029169F">
        <w:rPr>
          <w:rFonts w:cs="LucidaGrande"/>
          <w:sz w:val="28"/>
          <w:szCs w:val="22"/>
          <w:lang w:bidi="it-IT"/>
        </w:rPr>
        <w:t xml:space="preserve">Più o meno nello stesso torno di tempo, sicuramente nella stessa prospettiva teoretica, nel 1816 Jacob Grimm aveva pubblicato il suo importante lavoro </w:t>
      </w:r>
      <w:r w:rsidRPr="0029169F">
        <w:rPr>
          <w:rFonts w:cs="LucidaGrande"/>
          <w:i/>
          <w:sz w:val="28"/>
          <w:szCs w:val="22"/>
          <w:lang w:bidi="it-IT"/>
        </w:rPr>
        <w:t>Von der Poesie im Recht</w:t>
      </w:r>
      <w:r w:rsidRPr="0029169F">
        <w:rPr>
          <w:rFonts w:cs="LucidaGrande"/>
          <w:sz w:val="28"/>
          <w:szCs w:val="22"/>
          <w:lang w:bidi="it-IT"/>
        </w:rPr>
        <w:t xml:space="preserve"> (</w:t>
      </w:r>
      <w:r w:rsidRPr="0029169F">
        <w:rPr>
          <w:rFonts w:cs="LucidaGrande"/>
          <w:i/>
          <w:sz w:val="28"/>
          <w:szCs w:val="22"/>
          <w:lang w:bidi="it-IT"/>
        </w:rPr>
        <w:t>Della poesia nel diritto</w:t>
      </w:r>
      <w:r w:rsidRPr="0029169F">
        <w:rPr>
          <w:rFonts w:cs="LucidaGrande"/>
          <w:sz w:val="28"/>
          <w:szCs w:val="22"/>
          <w:lang w:bidi="it-IT"/>
        </w:rPr>
        <w:t>) in cui, prendendo a sua volta posizione negativa in ordine alla famosa polemica sull’utilità dei codici scritti per l’unificazione politica della Germania, aveva celebrato dal canto suo il senso del buon vecchio diritto consuetudinario di una volta (</w:t>
      </w:r>
      <w:r w:rsidRPr="0029169F">
        <w:rPr>
          <w:rFonts w:cs="LucidaGrande"/>
          <w:i/>
          <w:sz w:val="28"/>
          <w:szCs w:val="22"/>
          <w:lang w:bidi="it-IT"/>
        </w:rPr>
        <w:t>Das gute alte Recht</w:t>
      </w:r>
      <w:r w:rsidRPr="0029169F">
        <w:rPr>
          <w:rFonts w:cs="LucidaGrande"/>
          <w:sz w:val="28"/>
          <w:szCs w:val="22"/>
          <w:lang w:bidi="it-IT"/>
        </w:rPr>
        <w:t>), visto come la dimensione autentica da cui nasce la poesia con la sua ineliminabile componente linguistica e culturale caratterizzante l’anima stessa di un popolo</w:t>
      </w:r>
      <w:r w:rsidRPr="0029169F">
        <w:rPr>
          <w:rStyle w:val="Rimandonotaapidipagina"/>
          <w:rFonts w:cs="LucidaGrande"/>
          <w:sz w:val="28"/>
          <w:szCs w:val="22"/>
          <w:lang w:bidi="it-IT"/>
        </w:rPr>
        <w:footnoteReference w:id="42"/>
      </w:r>
      <w:r w:rsidRPr="0029169F">
        <w:rPr>
          <w:rFonts w:cs="LucidaGrande"/>
          <w:sz w:val="28"/>
          <w:szCs w:val="22"/>
          <w:lang w:bidi="it-IT"/>
        </w:rPr>
        <w:t>.</w:t>
      </w:r>
    </w:p>
    <w:p w:rsidR="00D34104" w:rsidRPr="0029169F" w:rsidRDefault="00D34104" w:rsidP="00D34104">
      <w:pPr>
        <w:tabs>
          <w:tab w:val="left" w:pos="9356"/>
        </w:tabs>
        <w:ind w:left="284" w:right="276" w:firstLine="425"/>
        <w:jc w:val="both"/>
        <w:rPr>
          <w:rFonts w:cs="LucidaGrande"/>
          <w:sz w:val="28"/>
          <w:szCs w:val="22"/>
          <w:lang w:bidi="it-IT"/>
        </w:rPr>
      </w:pPr>
      <w:r w:rsidRPr="0029169F">
        <w:rPr>
          <w:rFonts w:cs="LucidaGrande"/>
          <w:sz w:val="28"/>
          <w:szCs w:val="22"/>
          <w:lang w:bidi="it-IT"/>
        </w:rPr>
        <w:t>Qualche spiegazione si impone.</w:t>
      </w:r>
    </w:p>
    <w:p w:rsidR="00D34104" w:rsidRPr="0029169F" w:rsidRDefault="00D34104" w:rsidP="00D34104">
      <w:pPr>
        <w:tabs>
          <w:tab w:val="left" w:pos="9356"/>
        </w:tabs>
        <w:ind w:left="284" w:right="276" w:firstLine="425"/>
        <w:jc w:val="both"/>
        <w:rPr>
          <w:rFonts w:cs="Tahoma"/>
          <w:sz w:val="28"/>
          <w:szCs w:val="22"/>
          <w:lang w:bidi="it-IT"/>
        </w:rPr>
      </w:pPr>
      <w:r w:rsidRPr="0029169F">
        <w:rPr>
          <w:rFonts w:cs="Tahoma"/>
          <w:sz w:val="28"/>
          <w:szCs w:val="22"/>
          <w:lang w:bidi="it-IT"/>
        </w:rPr>
        <w:lastRenderedPageBreak/>
        <w:t>I numerosi piccoli stati in cui era diviso il territorio tedesco del tempo seguivano tutti, tranne la Prussia, il diritto giustinianeo modificato qua e là da norme locali.</w:t>
      </w:r>
    </w:p>
    <w:p w:rsidR="00D34104" w:rsidRPr="0029169F" w:rsidRDefault="00D34104" w:rsidP="00D34104">
      <w:pPr>
        <w:tabs>
          <w:tab w:val="left" w:pos="9356"/>
        </w:tabs>
        <w:ind w:left="284" w:right="276" w:firstLine="425"/>
        <w:jc w:val="both"/>
        <w:rPr>
          <w:rFonts w:cs="Tahoma"/>
          <w:sz w:val="28"/>
          <w:szCs w:val="22"/>
          <w:lang w:bidi="it-IT"/>
        </w:rPr>
      </w:pPr>
      <w:r w:rsidRPr="0029169F">
        <w:rPr>
          <w:rFonts w:cs="Tahoma"/>
          <w:sz w:val="28"/>
          <w:szCs w:val="22"/>
          <w:lang w:bidi="it-IT"/>
        </w:rPr>
        <w:t xml:space="preserve">La dottrina giuridica degli atenei e delle corti si atteneva pertanto al cosiddetto </w:t>
      </w:r>
      <w:r w:rsidRPr="0029169F">
        <w:rPr>
          <w:rFonts w:cs="Tahoma"/>
          <w:i/>
          <w:sz w:val="28"/>
          <w:szCs w:val="22"/>
          <w:lang w:bidi="it-IT"/>
        </w:rPr>
        <w:t>Usus modernus Pandectarum</w:t>
      </w:r>
      <w:r w:rsidRPr="0029169F">
        <w:rPr>
          <w:rFonts w:cs="Tahoma"/>
          <w:sz w:val="28"/>
          <w:szCs w:val="22"/>
          <w:lang w:bidi="it-IT"/>
        </w:rPr>
        <w:t xml:space="preserve">, che nel tentativo di ricondurre al diritto romano - </w:t>
      </w:r>
      <w:r w:rsidRPr="0029169F">
        <w:rPr>
          <w:rFonts w:cs="Georgia"/>
          <w:sz w:val="28"/>
          <w:szCs w:val="32"/>
          <w:lang w:bidi="it-IT"/>
        </w:rPr>
        <w:t xml:space="preserve">di cui la </w:t>
      </w:r>
      <w:hyperlink r:id="rId13" w:history="1">
        <w:r w:rsidRPr="0029169F">
          <w:rPr>
            <w:rFonts w:cs="Georgia"/>
            <w:sz w:val="28"/>
            <w:szCs w:val="32"/>
            <w:lang w:bidi="it-IT"/>
          </w:rPr>
          <w:t>Germania</w:t>
        </w:r>
      </w:hyperlink>
      <w:r w:rsidRPr="0029169F">
        <w:rPr>
          <w:rFonts w:cs="Georgia"/>
          <w:sz w:val="28"/>
          <w:szCs w:val="32"/>
          <w:lang w:bidi="it-IT"/>
        </w:rPr>
        <w:t xml:space="preserve"> aveva fatto la recezione ufficiale nel 1495 come diritto comune dell’Impero - </w:t>
      </w:r>
      <w:r w:rsidRPr="0029169F">
        <w:rPr>
          <w:rFonts w:cs="Tahoma"/>
          <w:sz w:val="28"/>
          <w:szCs w:val="22"/>
          <w:lang w:bidi="it-IT"/>
        </w:rPr>
        <w:t xml:space="preserve">i superstiti istituti giuridici nazionali tedeschi, alterava sia il diritto germanico antico e tradizionale che quello romano, creando confusione di concetti e disordine negli studi e nei tribunali. </w:t>
      </w:r>
    </w:p>
    <w:p w:rsidR="00D34104" w:rsidRPr="00862B79" w:rsidRDefault="00D34104" w:rsidP="00D34104">
      <w:pPr>
        <w:tabs>
          <w:tab w:val="left" w:pos="9356"/>
        </w:tabs>
        <w:ind w:left="284" w:right="276" w:firstLine="425"/>
        <w:jc w:val="both"/>
        <w:rPr>
          <w:rFonts w:cs="Tahoma"/>
          <w:sz w:val="28"/>
          <w:szCs w:val="22"/>
          <w:lang w:bidi="it-IT"/>
        </w:rPr>
      </w:pPr>
      <w:r w:rsidRPr="0029169F">
        <w:rPr>
          <w:rFonts w:cs="Tahoma"/>
          <w:sz w:val="28"/>
          <w:szCs w:val="22"/>
          <w:lang w:bidi="it-IT"/>
        </w:rPr>
        <w:t xml:space="preserve">In questa situazione di significativa distonia, erano sorti nei ducati, negli staterelli e nelle </w:t>
      </w:r>
      <w:r w:rsidRPr="00862B79">
        <w:rPr>
          <w:rFonts w:cs="Tahoma"/>
          <w:sz w:val="28"/>
          <w:szCs w:val="22"/>
          <w:lang w:bidi="it-IT"/>
        </w:rPr>
        <w:t>contee teutoniche, molti movimenti favorevoli ad un’unificazione legislativa ispirata al modello codicistico civile napoleonico del 1804.</w:t>
      </w:r>
    </w:p>
    <w:p w:rsidR="00D34104" w:rsidRPr="00862B79" w:rsidRDefault="00D34104" w:rsidP="00D34104">
      <w:pPr>
        <w:tabs>
          <w:tab w:val="left" w:pos="9356"/>
        </w:tabs>
        <w:ind w:left="284" w:right="276" w:firstLine="425"/>
        <w:jc w:val="both"/>
        <w:rPr>
          <w:rFonts w:cs="Tahoma"/>
          <w:sz w:val="28"/>
          <w:szCs w:val="22"/>
          <w:lang w:bidi="it-IT"/>
        </w:rPr>
      </w:pPr>
      <w:r w:rsidRPr="00862B79">
        <w:rPr>
          <w:rFonts w:cs="Tahoma"/>
          <w:sz w:val="28"/>
          <w:szCs w:val="22"/>
          <w:lang w:bidi="it-IT"/>
        </w:rPr>
        <w:t xml:space="preserve">Altre correnti tuttavia si erano opposte all’idea di codificazione, in nome della difesa della purezza dei caratteri nazionali tedeschi. </w:t>
      </w:r>
    </w:p>
    <w:p w:rsidR="00D34104" w:rsidRPr="00862B79" w:rsidRDefault="00D34104" w:rsidP="00D34104">
      <w:pPr>
        <w:tabs>
          <w:tab w:val="left" w:pos="9356"/>
        </w:tabs>
        <w:ind w:left="284" w:right="276" w:firstLine="425"/>
        <w:jc w:val="both"/>
        <w:rPr>
          <w:rFonts w:cs="Tahoma"/>
          <w:sz w:val="28"/>
          <w:szCs w:val="22"/>
          <w:lang w:bidi="it-IT"/>
        </w:rPr>
      </w:pPr>
      <w:r w:rsidRPr="00862B79">
        <w:rPr>
          <w:rFonts w:cs="Tahoma"/>
          <w:sz w:val="28"/>
          <w:szCs w:val="22"/>
          <w:lang w:bidi="it-IT"/>
        </w:rPr>
        <w:t xml:space="preserve">Del movimento propugnatore della codificazione la figura più importante era stata quella di </w:t>
      </w:r>
      <w:r w:rsidRPr="00862B79">
        <w:rPr>
          <w:rFonts w:cs="ArialMT"/>
          <w:sz w:val="28"/>
          <w:szCs w:val="26"/>
          <w:lang w:bidi="it-IT"/>
        </w:rPr>
        <w:t xml:space="preserve">Anton Friedrich Justus </w:t>
      </w:r>
      <w:r w:rsidRPr="00862B79">
        <w:rPr>
          <w:rFonts w:cs="Tahoma"/>
          <w:sz w:val="28"/>
          <w:szCs w:val="22"/>
          <w:lang w:bidi="it-IT"/>
        </w:rPr>
        <w:t xml:space="preserve">Thibaut (1774-1840), il cui indirizzo dottrinale fu detto </w:t>
      </w:r>
      <w:r w:rsidRPr="00862B79">
        <w:rPr>
          <w:rFonts w:cs="Tahoma"/>
          <w:i/>
          <w:sz w:val="28"/>
          <w:szCs w:val="22"/>
          <w:lang w:bidi="it-IT"/>
        </w:rPr>
        <w:t>scuola filosofica</w:t>
      </w:r>
      <w:r w:rsidRPr="00862B79">
        <w:rPr>
          <w:rFonts w:cs="Tahoma"/>
          <w:sz w:val="28"/>
          <w:szCs w:val="22"/>
          <w:lang w:bidi="it-IT"/>
        </w:rPr>
        <w:t xml:space="preserve">, in contrapposizione alla </w:t>
      </w:r>
      <w:r w:rsidRPr="00862B79">
        <w:rPr>
          <w:rFonts w:cs="Tahoma"/>
          <w:i/>
          <w:sz w:val="28"/>
          <w:szCs w:val="22"/>
          <w:lang w:bidi="it-IT"/>
        </w:rPr>
        <w:t>scuola storica</w:t>
      </w:r>
      <w:r w:rsidRPr="00862B79">
        <w:rPr>
          <w:rFonts w:cs="Tahoma"/>
          <w:sz w:val="28"/>
          <w:szCs w:val="22"/>
          <w:lang w:bidi="it-IT"/>
        </w:rPr>
        <w:t xml:space="preserve"> di Savigny, di </w:t>
      </w:r>
      <w:r w:rsidRPr="00862B79">
        <w:rPr>
          <w:sz w:val="28"/>
          <w:szCs w:val="20"/>
        </w:rPr>
        <w:t>Karl Friedrich Eichhorn (1781-1854), di Eduard Gans (1797-1839)</w:t>
      </w:r>
      <w:r w:rsidRPr="00862B79">
        <w:rPr>
          <w:rFonts w:cs="Tahoma"/>
          <w:sz w:val="28"/>
          <w:szCs w:val="22"/>
          <w:lang w:bidi="it-IT"/>
        </w:rPr>
        <w:t xml:space="preserve"> e dei fratelli Grimm, fieri avversari, con sfumature diverse, di ogni forma di codificazione. </w:t>
      </w:r>
    </w:p>
    <w:p w:rsidR="00D34104" w:rsidRPr="0029169F" w:rsidRDefault="00D34104" w:rsidP="00D34104">
      <w:pPr>
        <w:tabs>
          <w:tab w:val="left" w:pos="9356"/>
        </w:tabs>
        <w:ind w:left="284" w:right="276" w:firstLine="425"/>
        <w:jc w:val="both"/>
        <w:rPr>
          <w:rFonts w:cs="Tahoma"/>
          <w:sz w:val="28"/>
          <w:szCs w:val="22"/>
          <w:lang w:bidi="it-IT"/>
        </w:rPr>
      </w:pPr>
      <w:r w:rsidRPr="00862B79">
        <w:rPr>
          <w:rFonts w:cs="Tahoma"/>
          <w:sz w:val="28"/>
          <w:szCs w:val="22"/>
          <w:lang w:bidi="it-IT"/>
        </w:rPr>
        <w:t xml:space="preserve">Nel pensiero di Thibaut si era portata a compimento una tendenza che era già stata del </w:t>
      </w:r>
      <w:r w:rsidRPr="00862B79">
        <w:rPr>
          <w:rFonts w:cs="Tahoma"/>
          <w:i/>
          <w:sz w:val="28"/>
          <w:szCs w:val="22"/>
          <w:lang w:bidi="it-IT"/>
        </w:rPr>
        <w:t>giusnaturalismo prekantiano</w:t>
      </w:r>
      <w:r w:rsidRPr="00862B79">
        <w:rPr>
          <w:rFonts w:cs="Tahoma"/>
          <w:sz w:val="28"/>
          <w:szCs w:val="22"/>
          <w:lang w:bidi="it-IT"/>
        </w:rPr>
        <w:t>, quella cioè di servirsi del diritto naturale per dare una forma sistematica</w:t>
      </w:r>
      <w:r w:rsidRPr="0029169F">
        <w:rPr>
          <w:rFonts w:cs="Tahoma"/>
          <w:sz w:val="28"/>
          <w:szCs w:val="22"/>
          <w:lang w:bidi="it-IT"/>
        </w:rPr>
        <w:t xml:space="preserve"> al diritto positivo secondo un ordine razionale e sistematico, funzionale ad una codificazioni di carattere generale. </w:t>
      </w:r>
    </w:p>
    <w:p w:rsidR="00D34104" w:rsidRPr="0029169F" w:rsidRDefault="00D34104" w:rsidP="00D34104">
      <w:pPr>
        <w:tabs>
          <w:tab w:val="left" w:pos="9356"/>
        </w:tabs>
        <w:ind w:left="284" w:right="276" w:firstLine="425"/>
        <w:jc w:val="both"/>
        <w:rPr>
          <w:rFonts w:cs="Tahoma"/>
          <w:sz w:val="28"/>
          <w:szCs w:val="22"/>
          <w:lang w:bidi="it-IT"/>
        </w:rPr>
      </w:pPr>
      <w:r w:rsidRPr="0029169F">
        <w:rPr>
          <w:rFonts w:cs="Tahoma"/>
          <w:sz w:val="28"/>
          <w:szCs w:val="22"/>
          <w:lang w:bidi="it-IT"/>
        </w:rPr>
        <w:t xml:space="preserve">Il già ricordato scritto di Savigny </w:t>
      </w:r>
      <w:r w:rsidRPr="0029169F">
        <w:rPr>
          <w:rFonts w:cs="Tahoma"/>
          <w:i/>
          <w:sz w:val="28"/>
          <w:szCs w:val="22"/>
          <w:lang w:bidi="it-IT"/>
        </w:rPr>
        <w:t>Sulla vocazione…</w:t>
      </w:r>
      <w:r w:rsidRPr="0029169F">
        <w:rPr>
          <w:rFonts w:cs="Tahoma"/>
          <w:sz w:val="28"/>
          <w:szCs w:val="22"/>
          <w:lang w:bidi="it-IT"/>
        </w:rPr>
        <w:t xml:space="preserve"> era una risposta alle tesi di Thibaut. </w:t>
      </w:r>
    </w:p>
    <w:p w:rsidR="00D34104" w:rsidRPr="0029169F" w:rsidRDefault="00D34104" w:rsidP="00D34104">
      <w:pPr>
        <w:tabs>
          <w:tab w:val="left" w:pos="9356"/>
        </w:tabs>
        <w:ind w:left="284" w:right="276" w:firstLine="425"/>
        <w:jc w:val="both"/>
        <w:rPr>
          <w:sz w:val="28"/>
        </w:rPr>
      </w:pPr>
      <w:r w:rsidRPr="0029169F">
        <w:rPr>
          <w:rFonts w:cs="Tahoma"/>
          <w:sz w:val="28"/>
          <w:szCs w:val="22"/>
          <w:lang w:bidi="it-IT"/>
        </w:rPr>
        <w:t xml:space="preserve">Nel riconoscere apparentemente la validità degli scopi che questi si era prefisso, Savigny tuttavia sosteneva che il mezzo per raggiungerli non era affatto rappresentato da un codice, ma da una scienza del diritto organica e progressiva, basata sui caratteri culturali antichi e caratteristici di tutte le stirpi tedesche omogenee ancorché politicamente frammentate. </w:t>
      </w:r>
    </w:p>
    <w:p w:rsidR="00D34104" w:rsidRPr="0029169F" w:rsidRDefault="00D34104" w:rsidP="00D34104">
      <w:pPr>
        <w:ind w:left="284" w:right="276" w:firstLine="425"/>
        <w:jc w:val="both"/>
        <w:rPr>
          <w:rFonts w:cs="LucidaGrande"/>
          <w:sz w:val="28"/>
          <w:szCs w:val="22"/>
          <w:lang w:bidi="it-IT"/>
        </w:rPr>
      </w:pPr>
      <w:r w:rsidRPr="0029169F">
        <w:rPr>
          <w:rFonts w:cs="LucidaGrande"/>
          <w:sz w:val="28"/>
          <w:szCs w:val="22"/>
          <w:lang w:bidi="it-IT"/>
        </w:rPr>
        <w:t>Questo sommariamente tratteggiato era il clima spirituale della Germanistica dei primi decenni del diciannovesimo secolo.</w:t>
      </w:r>
    </w:p>
    <w:p w:rsidR="00D34104" w:rsidRPr="00862B79" w:rsidRDefault="00D34104" w:rsidP="00D34104">
      <w:pPr>
        <w:ind w:left="284" w:right="276" w:firstLine="425"/>
        <w:jc w:val="both"/>
        <w:rPr>
          <w:rFonts w:cs="LucidaGrande"/>
          <w:sz w:val="28"/>
          <w:szCs w:val="22"/>
          <w:lang w:bidi="it-IT"/>
        </w:rPr>
      </w:pPr>
      <w:r w:rsidRPr="0029169F">
        <w:rPr>
          <w:rFonts w:cs="LucidaGrande"/>
          <w:sz w:val="28"/>
          <w:szCs w:val="22"/>
          <w:lang w:bidi="it-IT"/>
        </w:rPr>
        <w:t xml:space="preserve">In questo ambito era del tutto naturale che i fratelli Grimm – soprattutto Jacob, tra i due il più versato negli studi giuridici – andassero profondamente meditando l’idea secondo la quale in ogni fase dei rapporti sociali fondamentali il diritto rappresenti un elemento di base della sensibilità umana, di modo che lo studio dell’evoluzione </w:t>
      </w:r>
      <w:r w:rsidRPr="00862B79">
        <w:rPr>
          <w:rFonts w:cs="LucidaGrande"/>
          <w:sz w:val="28"/>
          <w:szCs w:val="22"/>
          <w:lang w:bidi="it-IT"/>
        </w:rPr>
        <w:t>storica della coscienza civile di un popolo non possa in alcun mod</w:t>
      </w:r>
      <w:r>
        <w:rPr>
          <w:rFonts w:cs="LucidaGrande"/>
          <w:sz w:val="28"/>
          <w:szCs w:val="22"/>
          <w:lang w:bidi="it-IT"/>
        </w:rPr>
        <w:t>o fare a meno dell’analisi delle</w:t>
      </w:r>
      <w:r w:rsidRPr="00862B79">
        <w:rPr>
          <w:rFonts w:cs="LucidaGrande"/>
          <w:sz w:val="28"/>
          <w:szCs w:val="22"/>
          <w:lang w:bidi="it-IT"/>
        </w:rPr>
        <w:t xml:space="preserve"> sue originarie tradizioni giuridiche.</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Sarebbero state pertanto queste le coordinate culturali oltre che del già citato </w:t>
      </w:r>
      <w:r w:rsidRPr="00862B79">
        <w:rPr>
          <w:rFonts w:cs="LucidaGrande"/>
          <w:i/>
          <w:sz w:val="28"/>
          <w:szCs w:val="22"/>
          <w:lang w:bidi="it-IT"/>
        </w:rPr>
        <w:t xml:space="preserve">Von der Poesie im Recht, </w:t>
      </w:r>
      <w:r w:rsidRPr="00862B79">
        <w:rPr>
          <w:rFonts w:cs="LucidaGrande"/>
          <w:sz w:val="28"/>
          <w:szCs w:val="22"/>
          <w:lang w:bidi="it-IT"/>
        </w:rPr>
        <w:t xml:space="preserve">anche di altre opere </w:t>
      </w:r>
      <w:r w:rsidRPr="00862B79">
        <w:rPr>
          <w:rFonts w:cs="LucidaGrande"/>
          <w:i/>
          <w:sz w:val="28"/>
          <w:szCs w:val="22"/>
          <w:lang w:bidi="it-IT"/>
        </w:rPr>
        <w:t>grimmiane</w:t>
      </w:r>
      <w:r w:rsidRPr="00862B79">
        <w:rPr>
          <w:rFonts w:cs="LucidaGrande"/>
          <w:sz w:val="28"/>
          <w:szCs w:val="22"/>
          <w:lang w:bidi="it-IT"/>
        </w:rPr>
        <w:t xml:space="preserve"> di taglio squisitamente giuridico, come la </w:t>
      </w:r>
      <w:r w:rsidRPr="00862B79">
        <w:rPr>
          <w:rFonts w:cs="Arial-BoldMT"/>
          <w:bCs/>
          <w:i/>
          <w:color w:val="333333"/>
          <w:sz w:val="28"/>
          <w:szCs w:val="46"/>
          <w:lang w:bidi="it-IT"/>
        </w:rPr>
        <w:t>Deutsche Rechtsaltertümer</w:t>
      </w:r>
      <w:r w:rsidRPr="00862B79">
        <w:rPr>
          <w:rFonts w:cs="LucidaGrande"/>
          <w:sz w:val="28"/>
          <w:szCs w:val="22"/>
          <w:lang w:bidi="it-IT"/>
        </w:rPr>
        <w:t xml:space="preserve"> (</w:t>
      </w:r>
      <w:r w:rsidRPr="00862B79">
        <w:rPr>
          <w:rFonts w:cs="LucidaGrande"/>
          <w:i/>
          <w:sz w:val="28"/>
          <w:szCs w:val="22"/>
          <w:lang w:bidi="it-IT"/>
        </w:rPr>
        <w:t>Antichità legali tedesche</w:t>
      </w:r>
      <w:r w:rsidRPr="00862B79">
        <w:rPr>
          <w:rFonts w:cs="LucidaGrande"/>
          <w:sz w:val="28"/>
          <w:szCs w:val="22"/>
          <w:lang w:bidi="it-IT"/>
        </w:rPr>
        <w:t xml:space="preserve">) del 1828, oppure ancora i preziosissimi </w:t>
      </w:r>
      <w:r w:rsidRPr="00862B79">
        <w:rPr>
          <w:rFonts w:cs="LucidaGrande"/>
          <w:i/>
          <w:sz w:val="28"/>
          <w:szCs w:val="22"/>
          <w:lang w:bidi="it-IT"/>
        </w:rPr>
        <w:t>Weistümer</w:t>
      </w:r>
      <w:r w:rsidRPr="00862B79">
        <w:rPr>
          <w:rFonts w:cs="LucidaGrande"/>
          <w:sz w:val="28"/>
          <w:szCs w:val="22"/>
          <w:lang w:bidi="it-IT"/>
        </w:rPr>
        <w:t xml:space="preserve">, la raccolta dei documenti del </w:t>
      </w:r>
      <w:r w:rsidRPr="00862B79">
        <w:rPr>
          <w:rFonts w:cs="LucidaGrande"/>
          <w:sz w:val="28"/>
          <w:szCs w:val="22"/>
          <w:lang w:bidi="it-IT"/>
        </w:rPr>
        <w:lastRenderedPageBreak/>
        <w:t>diritto consuetudinario dei contadini tedeschi, ai cui primi quattro volumi attesero direttamente i Grimm dopo il 1840 fino alla morte di Jacob nel 1863.</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A questo punto è abbastanza chiaro come un’informazione completa sui rapporti tra la formazione storica e di diritto dei due scrittori e la loro coeva opera di raccolta delle fiabe della tradizione tedesca, non possa prescindere dal soffermarsi un momento sui complementari interessi dei due studiosi, dal momento che le commistioni tra i diversi piani di ricerca, solo apparentemente distinti e distanti, sono molte.</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Sia nelle </w:t>
      </w:r>
      <w:r w:rsidRPr="00862B79">
        <w:rPr>
          <w:rFonts w:cs="Arial-BoldMT"/>
          <w:bCs/>
          <w:i/>
          <w:color w:val="333333"/>
          <w:sz w:val="28"/>
          <w:szCs w:val="46"/>
          <w:lang w:bidi="it-IT"/>
        </w:rPr>
        <w:t>Deutsche Rechtsaltertümer</w:t>
      </w:r>
      <w:r w:rsidRPr="00862B79">
        <w:rPr>
          <w:rFonts w:cs="Arial-BoldMT"/>
          <w:bCs/>
          <w:color w:val="333333"/>
          <w:sz w:val="28"/>
          <w:szCs w:val="46"/>
          <w:lang w:bidi="it-IT"/>
        </w:rPr>
        <w:t xml:space="preserve"> infatti, che nei </w:t>
      </w:r>
      <w:r w:rsidRPr="00862B79">
        <w:rPr>
          <w:rFonts w:cs="LucidaGrande"/>
          <w:i/>
          <w:sz w:val="28"/>
          <w:szCs w:val="22"/>
          <w:lang w:bidi="it-IT"/>
        </w:rPr>
        <w:t>Weistümer</w:t>
      </w:r>
      <w:r w:rsidRPr="00862B79">
        <w:rPr>
          <w:rFonts w:cs="LucidaGrande"/>
          <w:sz w:val="28"/>
          <w:szCs w:val="22"/>
          <w:lang w:bidi="it-IT"/>
        </w:rPr>
        <w:t xml:space="preserve"> come pure nelle </w:t>
      </w:r>
      <w:r w:rsidRPr="00862B79">
        <w:rPr>
          <w:rFonts w:cs="Arial-BoldMT"/>
          <w:bCs/>
          <w:i/>
          <w:color w:val="333333"/>
          <w:sz w:val="28"/>
          <w:szCs w:val="46"/>
          <w:lang w:bidi="it-IT"/>
        </w:rPr>
        <w:t>Deutsche Sagen</w:t>
      </w:r>
      <w:r w:rsidRPr="00862B79">
        <w:rPr>
          <w:rFonts w:cs="LucidaGrande"/>
          <w:sz w:val="28"/>
          <w:szCs w:val="22"/>
          <w:lang w:bidi="it-IT"/>
        </w:rPr>
        <w:t xml:space="preserve"> – la raccolta di ben 585 leggende dell’antichità tedesca, pubblicate in tre volumi tra il 1816 ed il 1818 – i fratelli Grimm non avevano fatto altro che raccogliere e documentare tutte le vestigia che testimoniassero la stretta parentela tra gli antichi diritti germanici, le saghe popolari, il linguaggio contadino e campagnolo e le antiche tradizioni di vita che affondavano la propria origine fino alla comune matrice indoeuropea o </w:t>
      </w:r>
      <w:r w:rsidRPr="00AA2591">
        <w:rPr>
          <w:rFonts w:cs="LucidaGrande"/>
          <w:i/>
          <w:sz w:val="28"/>
          <w:szCs w:val="22"/>
          <w:lang w:bidi="it-IT"/>
        </w:rPr>
        <w:t>indo-protogermanica</w:t>
      </w:r>
      <w:r w:rsidRPr="00AA2591">
        <w:rPr>
          <w:rFonts w:cs="LucidaGrande"/>
          <w:sz w:val="28"/>
          <w:szCs w:val="22"/>
          <w:lang w:bidi="it-IT"/>
        </w:rPr>
        <w:t xml:space="preserve"> (</w:t>
      </w:r>
      <w:r w:rsidRPr="00AA2591">
        <w:rPr>
          <w:rFonts w:cs="LucidaGrande"/>
          <w:i/>
          <w:sz w:val="28"/>
          <w:szCs w:val="22"/>
          <w:lang w:bidi="it-IT"/>
        </w:rPr>
        <w:t>indo-urgermanisch</w:t>
      </w:r>
      <w:r w:rsidRPr="00AA2591">
        <w:rPr>
          <w:rFonts w:cs="LucidaGrande"/>
          <w:sz w:val="28"/>
          <w:szCs w:val="22"/>
          <w:lang w:bidi="it-IT"/>
        </w:rPr>
        <w:t>)</w:t>
      </w:r>
      <w:r w:rsidRPr="00862B79">
        <w:rPr>
          <w:rFonts w:cs="LucidaGrande"/>
          <w:sz w:val="28"/>
          <w:szCs w:val="22"/>
          <w:lang w:bidi="it-IT"/>
        </w:rPr>
        <w:t xml:space="preserve"> come i Grimm stessi preferivano dire, con accezione tuttavia non del tutto propria che in un colpo solo faceva fuori, a sottolineare la superiorità tedesca in Europa, ogni altra cultura occidentale discendente dalla comune matrice indo-sanscrita</w:t>
      </w:r>
      <w:r w:rsidRPr="00862B79">
        <w:rPr>
          <w:rStyle w:val="Rimandonotaapidipagina"/>
          <w:rFonts w:cs="LucidaGrande"/>
          <w:sz w:val="28"/>
          <w:szCs w:val="22"/>
          <w:lang w:bidi="it-IT"/>
        </w:rPr>
        <w:footnoteReference w:id="43"/>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Ne era derivata la disponibilità di una mole sconfinata di documenti idonei alla ricostruzione degli usi del popolo, delle consuetudini giuridiche legate alla terra, dei riti antichi connessi alla guerra, al potere, alla vita di relazione come doveva svolgersi nelle lande germaniche prima dell’avvento e della diffusione, tra il XIII ed il XIV secolo, del diritto romano nella sua accezione medievale</w:t>
      </w:r>
      <w:r w:rsidRPr="00862B79">
        <w:rPr>
          <w:rStyle w:val="Rimandonotaapidipagina"/>
          <w:rFonts w:cs="LucidaGrande"/>
          <w:sz w:val="28"/>
          <w:szCs w:val="22"/>
          <w:lang w:bidi="it-IT"/>
        </w:rPr>
        <w:footnoteReference w:id="44"/>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Grazie ai fratelli Grimm ed a Jacob in particolare, con maestria e rigore filologici assoluti, l’epopea germanica, la fondazione cioè delle coordinate spirituali delle genti tedesche, che già Martin Lutero (1483-1546) aveva intravisto da par suo quale moto di insofferenza culturale di un intero popolo avverso il mondo e la cultura di Roma, aveva guadagnato e segnato per sempre basi invalicabili.</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Basi che, tra l’altro, costituivano senz’altro il sostrato ineludibile delle dottrine di quella scuola storica del diritto cui i due fratelli a pieno titolo sentivano di appartenere e che, per bocca di Savigny e dei suoi colleghi e </w:t>
      </w:r>
      <w:r w:rsidRPr="00862B79">
        <w:rPr>
          <w:rFonts w:cs="LucidaGrande"/>
          <w:sz w:val="28"/>
          <w:szCs w:val="22"/>
          <w:lang w:bidi="it-IT"/>
        </w:rPr>
        <w:lastRenderedPageBreak/>
        <w:t>collaboratori, propugnava senz’altro la formazione di una scienza giuridica suscettibile di diventare comune a tutta la nazione attraverso l’approfondimento delle fonti storiche, non per forza di stretto diritto, esistenti.</w:t>
      </w:r>
    </w:p>
    <w:p w:rsidR="00D34104" w:rsidRPr="00AA2591" w:rsidRDefault="00D34104" w:rsidP="00D34104">
      <w:pPr>
        <w:ind w:left="284" w:right="276" w:firstLine="425"/>
        <w:jc w:val="both"/>
        <w:rPr>
          <w:rFonts w:cs="LucidaGrande"/>
          <w:sz w:val="28"/>
          <w:szCs w:val="22"/>
          <w:lang w:bidi="it-IT"/>
        </w:rPr>
      </w:pPr>
      <w:r w:rsidRPr="00862B79">
        <w:rPr>
          <w:rFonts w:cs="LucidaGrande"/>
          <w:sz w:val="28"/>
          <w:szCs w:val="22"/>
          <w:lang w:bidi="it-IT"/>
        </w:rPr>
        <w:t>Dopo gli iniziali entusiasmi comuni legati alla diffusione del ricordato progetto</w:t>
      </w:r>
      <w:r w:rsidRPr="00AA2591">
        <w:rPr>
          <w:rFonts w:cs="LucidaGrande"/>
          <w:i/>
          <w:sz w:val="28"/>
          <w:szCs w:val="22"/>
          <w:lang w:bidi="it-IT"/>
        </w:rPr>
        <w:t xml:space="preserve"> savigniano</w:t>
      </w:r>
      <w:r w:rsidRPr="00AA2591">
        <w:rPr>
          <w:rFonts w:cs="LucidaGrande"/>
          <w:sz w:val="28"/>
          <w:szCs w:val="22"/>
          <w:lang w:bidi="it-IT"/>
        </w:rPr>
        <w:t>, la scuola storica si divise in due rami, quello dei germanisti, i fratelli Grimm tra di loro, e quello dei romanisti con lo stesso Savigny e Georg Friedrich Puchta (1798-1846).</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 xml:space="preserve">Per i così detti </w:t>
      </w:r>
      <w:r w:rsidRPr="0013579B">
        <w:rPr>
          <w:rFonts w:cs="LucidaGrande"/>
          <w:i/>
          <w:sz w:val="28"/>
          <w:szCs w:val="22"/>
          <w:lang w:bidi="it-IT"/>
        </w:rPr>
        <w:t>romanisti</w:t>
      </w:r>
      <w:r w:rsidRPr="0013579B">
        <w:rPr>
          <w:rFonts w:cs="LucidaGrande"/>
          <w:sz w:val="28"/>
          <w:szCs w:val="22"/>
          <w:lang w:bidi="it-IT"/>
        </w:rPr>
        <w:t>,</w:t>
      </w:r>
      <w:r w:rsidRPr="0013579B">
        <w:rPr>
          <w:rFonts w:cs="LucidaGrande"/>
          <w:i/>
          <w:sz w:val="28"/>
          <w:szCs w:val="22"/>
          <w:lang w:bidi="it-IT"/>
        </w:rPr>
        <w:t xml:space="preserve"> </w:t>
      </w:r>
      <w:r w:rsidRPr="00AA2591">
        <w:rPr>
          <w:rFonts w:cs="LucidaGrande"/>
          <w:sz w:val="28"/>
          <w:szCs w:val="22"/>
          <w:lang w:bidi="it-IT"/>
        </w:rPr>
        <w:t xml:space="preserve">le istanze razionalistiche considerate imprescindibili per una seria ricerca, miravano ad un’elaborazione scientifica di alto livello e di adeguato rigore che permeasse di sé la ricostruzione storica delle istituzioni di tutti i disomogenei diritti particolari e locali del frammentato paese, al fine di curarne l’unificazione logica e testuale entro le coordinate formali unificatrici del consolidato canone del diritto romano, recepito in Germania già da molti secoli: era nata, in altre parole, la corrente che di lì a poco avrebbe preso il nome di </w:t>
      </w:r>
      <w:r w:rsidRPr="0013579B">
        <w:rPr>
          <w:rFonts w:cs="LucidaGrande"/>
          <w:i/>
          <w:sz w:val="28"/>
          <w:szCs w:val="22"/>
          <w:lang w:bidi="it-IT"/>
        </w:rPr>
        <w:t>pandettistica</w:t>
      </w:r>
      <w:r w:rsidRPr="00AA2591">
        <w:rPr>
          <w:rFonts w:cs="LucidaGrande"/>
          <w:sz w:val="28"/>
          <w:szCs w:val="22"/>
          <w:lang w:bidi="it-IT"/>
        </w:rPr>
        <w:t>.</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 xml:space="preserve">I </w:t>
      </w:r>
      <w:r w:rsidRPr="0013579B">
        <w:rPr>
          <w:rFonts w:cs="LucidaGrande"/>
          <w:i/>
          <w:sz w:val="28"/>
          <w:szCs w:val="22"/>
          <w:lang w:bidi="it-IT"/>
        </w:rPr>
        <w:t>germanisti</w:t>
      </w:r>
      <w:r w:rsidRPr="00AA2591">
        <w:rPr>
          <w:rFonts w:cs="LucidaGrande"/>
          <w:sz w:val="28"/>
          <w:szCs w:val="22"/>
          <w:lang w:bidi="it-IT"/>
        </w:rPr>
        <w:t xml:space="preserve"> invece, perseguendo l’originaria ambizione all’esaltazione del</w:t>
      </w:r>
      <w:r w:rsidRPr="0013579B">
        <w:rPr>
          <w:rFonts w:cs="LucidaGrande"/>
          <w:i/>
          <w:sz w:val="28"/>
          <w:szCs w:val="22"/>
          <w:lang w:bidi="it-IT"/>
        </w:rPr>
        <w:t xml:space="preserve"> Volksgeist</w:t>
      </w:r>
      <w:r w:rsidRPr="00AA2591">
        <w:rPr>
          <w:rFonts w:cs="LucidaGrande"/>
          <w:sz w:val="28"/>
          <w:szCs w:val="22"/>
          <w:lang w:bidi="it-IT"/>
        </w:rPr>
        <w:t>, intensificavano la ricerca ad ampio spettro delle fonti autoctone del diritto germanico antico, anteponendo talvolta all’acribia metodologica dei pandettisti, l’ideale ferreo ma ogni tanto un po’ scomposto della riappropriazione della comune identità nazionale.</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I tempi erano quanto mai maturi, per questi studiosi, per l’elaborazione di una tradizione giuridica autoctona, atta a superare definitivamente i formali tecnicismi, anche elegantissimi ed assai sofisticati ma non originali e soprattutto non tedeschi, del diritto romano praticato da secoli attraverso l’</w:t>
      </w:r>
      <w:r w:rsidRPr="0029169F">
        <w:rPr>
          <w:rFonts w:cs="Tahoma"/>
          <w:i/>
          <w:sz w:val="28"/>
          <w:szCs w:val="22"/>
          <w:lang w:bidi="it-IT"/>
        </w:rPr>
        <w:t>Usus modernus Pandectarum</w:t>
      </w:r>
      <w:r w:rsidRPr="00AA2591">
        <w:rPr>
          <w:rFonts w:cs="LucidaGrande"/>
          <w:sz w:val="28"/>
          <w:szCs w:val="22"/>
          <w:lang w:bidi="it-IT"/>
        </w:rPr>
        <w:t>, ma ormai sterilmente arroccato, almeno per i Grimm e per i loro seguaci, su procedure e stilemi sterili ed improduttivi</w:t>
      </w:r>
      <w:r w:rsidRPr="00AA2591">
        <w:rPr>
          <w:rStyle w:val="Rimandonotaapidipagina"/>
          <w:rFonts w:cs="LucidaGrande"/>
          <w:sz w:val="28"/>
          <w:szCs w:val="22"/>
          <w:lang w:bidi="it-IT"/>
        </w:rPr>
        <w:footnoteReference w:id="45"/>
      </w:r>
      <w:r w:rsidRPr="00AA2591">
        <w:rPr>
          <w:rFonts w:cs="LucidaGrande"/>
          <w:sz w:val="28"/>
          <w:szCs w:val="22"/>
          <w:lang w:bidi="it-IT"/>
        </w:rPr>
        <w:t>.</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 xml:space="preserve">La raccolta delle </w:t>
      </w:r>
      <w:r w:rsidRPr="00AA2591">
        <w:rPr>
          <w:rFonts w:cs="LucidaGrande"/>
          <w:i/>
          <w:sz w:val="28"/>
          <w:szCs w:val="22"/>
          <w:lang w:bidi="it-IT"/>
        </w:rPr>
        <w:t>fiabe del focolare</w:t>
      </w:r>
      <w:r w:rsidRPr="00AA2591">
        <w:rPr>
          <w:rFonts w:cs="LucidaGrande"/>
          <w:sz w:val="28"/>
          <w:szCs w:val="22"/>
          <w:lang w:bidi="it-IT"/>
        </w:rPr>
        <w:t xml:space="preserve">, sempre arricchita e rielaborata lungo i decenni, per quanto </w:t>
      </w:r>
      <w:r w:rsidRPr="0013579B">
        <w:rPr>
          <w:rFonts w:cs="LucidaGrande"/>
          <w:i/>
          <w:sz w:val="28"/>
          <w:szCs w:val="22"/>
          <w:lang w:bidi="it-IT"/>
        </w:rPr>
        <w:t>prima facie</w:t>
      </w:r>
      <w:r w:rsidRPr="00AA2591">
        <w:rPr>
          <w:rFonts w:cs="LucidaGrande"/>
          <w:sz w:val="28"/>
          <w:szCs w:val="22"/>
          <w:lang w:bidi="it-IT"/>
        </w:rPr>
        <w:t xml:space="preserve"> ciò possa apparire strano, si inseriva perfettamente in questo orizzonte di ricerca.</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 xml:space="preserve">Nel loro lavoro di filologi in biblioteca e di folkloristi sul campo, i due studiosi avevano potuto toccare con mano quale fosse l’anima stessa dell’antico o antichissimo diritto popolare germanico di schietta </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marca consuetudinaria.</w:t>
      </w:r>
    </w:p>
    <w:p w:rsidR="00D34104" w:rsidRPr="00AA2591" w:rsidRDefault="00D34104" w:rsidP="00D34104">
      <w:pPr>
        <w:ind w:left="284" w:right="276" w:firstLine="425"/>
        <w:jc w:val="both"/>
        <w:rPr>
          <w:rFonts w:cs="LucidaGrande"/>
          <w:sz w:val="28"/>
          <w:szCs w:val="22"/>
          <w:lang w:bidi="it-IT"/>
        </w:rPr>
      </w:pPr>
      <w:r w:rsidRPr="00AA2591">
        <w:rPr>
          <w:rFonts w:cs="LucidaGrande"/>
          <w:sz w:val="28"/>
          <w:szCs w:val="22"/>
          <w:lang w:bidi="it-IT"/>
        </w:rPr>
        <w:t>Esso aveva lasciato più che cospicua traccia delle sue prescrizioni e dei suoi riti nelle abitudini, nei proverbi, nelle filastrocche, nei racconti che grazie al continuo perpetuarsi della tradizione orale si erano sedimentati nella storia.</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Si poteva risalire, a ritroso nel tempo, fino alle nebbie del duro medioevo tedesco, se non ancora più indietro, addirittura fino alla comune derivazione indoeuropea o indo-protogermanica, come i Grimm preferivano dire, di molte regole legali.</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lastRenderedPageBreak/>
        <w:t xml:space="preserve">Le più antiche fonti dottrinarie riconosciute del diritto tedesco, d’altra parte, erano solo un po’ diverse da quella che oggi definiremmo pacificamente una </w:t>
      </w:r>
      <w:r w:rsidRPr="00634107">
        <w:rPr>
          <w:rFonts w:cs="LucidaGrande"/>
          <w:i/>
          <w:sz w:val="28"/>
          <w:szCs w:val="22"/>
          <w:lang w:bidi="it-IT"/>
        </w:rPr>
        <w:t>raccolta di fiabe</w:t>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Il riferimento, come non ignorano gli storici del diritto medievale, corre dritto al </w:t>
      </w:r>
      <w:r w:rsidRPr="00634107">
        <w:rPr>
          <w:rFonts w:cs="LucidaGrande"/>
          <w:i/>
          <w:sz w:val="28"/>
          <w:szCs w:val="22"/>
          <w:lang w:bidi="it-IT"/>
        </w:rPr>
        <w:t>Sachsenspiegel</w:t>
      </w:r>
      <w:r w:rsidRPr="00862B79">
        <w:rPr>
          <w:rFonts w:cs="LucidaGrande"/>
          <w:sz w:val="28"/>
          <w:szCs w:val="22"/>
          <w:lang w:bidi="it-IT"/>
        </w:rPr>
        <w:t xml:space="preserve"> (lo </w:t>
      </w:r>
      <w:r w:rsidRPr="00634107">
        <w:rPr>
          <w:rFonts w:cs="LucidaGrande"/>
          <w:i/>
          <w:sz w:val="28"/>
          <w:szCs w:val="22"/>
          <w:lang w:bidi="it-IT"/>
        </w:rPr>
        <w:t>Specchio dei Sassoni</w:t>
      </w:r>
      <w:r w:rsidRPr="00862B79">
        <w:rPr>
          <w:rFonts w:cs="LucidaGrande"/>
          <w:sz w:val="28"/>
          <w:szCs w:val="22"/>
          <w:lang w:bidi="it-IT"/>
        </w:rPr>
        <w:t>), composto tra il 1220 e il 1235 da Eike von Repgow (1180 circa - 1233), letterato e giurista reale alla Corte di Sassonia</w:t>
      </w:r>
      <w:r w:rsidRPr="00862B79">
        <w:rPr>
          <w:rStyle w:val="Rimandonotaapidipagina"/>
          <w:rFonts w:cs="LucidaGrande"/>
          <w:sz w:val="28"/>
          <w:szCs w:val="22"/>
          <w:lang w:bidi="it-IT"/>
        </w:rPr>
        <w:footnoteReference w:id="46"/>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Lo </w:t>
      </w:r>
      <w:r w:rsidRPr="00BF000F">
        <w:rPr>
          <w:rFonts w:cs="LucidaGrande"/>
          <w:i/>
          <w:sz w:val="28"/>
          <w:szCs w:val="22"/>
          <w:lang w:bidi="it-IT"/>
        </w:rPr>
        <w:t>Specchio dei Sassoni</w:t>
      </w:r>
      <w:r w:rsidRPr="00862B79">
        <w:rPr>
          <w:rFonts w:cs="LucidaGrande"/>
          <w:sz w:val="28"/>
          <w:szCs w:val="22"/>
          <w:lang w:bidi="it-IT"/>
        </w:rPr>
        <w:t xml:space="preserve"> raccolto e collazionato da von Repgow - analogamente ai consimili e posteriori </w:t>
      </w:r>
      <w:r w:rsidRPr="00BF000F">
        <w:rPr>
          <w:rFonts w:cs="LucidaGrande"/>
          <w:i/>
          <w:sz w:val="28"/>
          <w:szCs w:val="22"/>
          <w:lang w:bidi="it-IT"/>
        </w:rPr>
        <w:t>Specchio degli Svevi</w:t>
      </w:r>
      <w:r w:rsidRPr="00BF000F">
        <w:rPr>
          <w:rFonts w:cs="LucidaGrande"/>
          <w:sz w:val="28"/>
          <w:szCs w:val="22"/>
          <w:lang w:bidi="it-IT"/>
        </w:rPr>
        <w:t xml:space="preserve"> (</w:t>
      </w:r>
      <w:r w:rsidRPr="00312E94">
        <w:rPr>
          <w:rFonts w:cs="Arial-BoldMT"/>
          <w:bCs/>
          <w:i/>
          <w:color w:val="222222"/>
          <w:sz w:val="28"/>
          <w:szCs w:val="26"/>
          <w:lang w:bidi="it-IT"/>
        </w:rPr>
        <w:t>Schwabenspiegel</w:t>
      </w:r>
      <w:r w:rsidRPr="00312E94">
        <w:rPr>
          <w:rFonts w:cs="Arial-BoldMT"/>
          <w:bCs/>
          <w:color w:val="222222"/>
          <w:sz w:val="28"/>
          <w:szCs w:val="26"/>
          <w:lang w:bidi="it-IT"/>
        </w:rPr>
        <w:t>)</w:t>
      </w:r>
      <w:r w:rsidRPr="00862B79">
        <w:rPr>
          <w:rFonts w:cs="LucidaGrande"/>
          <w:sz w:val="28"/>
          <w:szCs w:val="22"/>
          <w:lang w:bidi="it-IT"/>
        </w:rPr>
        <w:t xml:space="preserve"> e </w:t>
      </w:r>
      <w:r w:rsidRPr="00BF000F">
        <w:rPr>
          <w:rFonts w:cs="LucidaGrande"/>
          <w:i/>
          <w:sz w:val="28"/>
          <w:szCs w:val="22"/>
          <w:lang w:bidi="it-IT"/>
        </w:rPr>
        <w:t>Specchio di Germania</w:t>
      </w:r>
      <w:r w:rsidRPr="00BF000F">
        <w:rPr>
          <w:rFonts w:cs="LucidaGrande"/>
          <w:sz w:val="28"/>
          <w:szCs w:val="22"/>
          <w:lang w:bidi="it-IT"/>
        </w:rPr>
        <w:t xml:space="preserve"> (</w:t>
      </w:r>
      <w:r w:rsidRPr="000A7F3B">
        <w:rPr>
          <w:rFonts w:cs="LucidaGrande"/>
          <w:i/>
          <w:sz w:val="28"/>
          <w:szCs w:val="22"/>
          <w:lang w:bidi="it-IT"/>
        </w:rPr>
        <w:t>Deutschenspiegel</w:t>
      </w:r>
      <w:r w:rsidRPr="00BF000F">
        <w:rPr>
          <w:rFonts w:cs="LucidaGrande"/>
          <w:sz w:val="28"/>
          <w:szCs w:val="22"/>
          <w:lang w:bidi="it-IT"/>
        </w:rPr>
        <w:t>)</w:t>
      </w:r>
      <w:r w:rsidRPr="00862B79">
        <w:rPr>
          <w:rFonts w:cs="LucidaGrande"/>
          <w:sz w:val="28"/>
          <w:szCs w:val="22"/>
          <w:lang w:bidi="it-IT"/>
        </w:rPr>
        <w:t xml:space="preserve"> - era una raccolta dottrinaria illustrativa di cosa si intendeva fosse a quel tempo l’antico diritto, quello tedesco in particolare</w:t>
      </w:r>
      <w:r w:rsidRPr="00862B79">
        <w:rPr>
          <w:rStyle w:val="Rimandonotaapidipagina"/>
          <w:rFonts w:cs="LucidaGrande"/>
          <w:sz w:val="28"/>
          <w:szCs w:val="22"/>
          <w:lang w:bidi="it-IT"/>
        </w:rPr>
        <w:footnoteReference w:id="47"/>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Non si trattava affatto, come potrebbe pensarsi, di una crestomazia di regole e precetti, ma di una trattazione di carattere teologico</w:t>
      </w:r>
      <w:r w:rsidRPr="00862B79">
        <w:rPr>
          <w:rStyle w:val="Rimandonotaapidipagina"/>
          <w:rFonts w:cs="LucidaGrande"/>
          <w:sz w:val="28"/>
          <w:szCs w:val="22"/>
          <w:lang w:bidi="it-IT"/>
        </w:rPr>
        <w:footnoteReference w:id="48"/>
      </w:r>
      <w:r w:rsidRPr="00862B79">
        <w:rPr>
          <w:rFonts w:cs="LucidaGrande"/>
          <w:sz w:val="28"/>
          <w:szCs w:val="22"/>
          <w:lang w:bidi="it-IT"/>
        </w:rPr>
        <w:t>, sociale politico e letterario sui principi che regolavano l’ordine civile e sanzionatorio di una data area geografica (</w:t>
      </w:r>
      <w:r w:rsidRPr="00BF000F">
        <w:rPr>
          <w:rFonts w:cs="LucidaGrande"/>
          <w:i/>
          <w:sz w:val="28"/>
          <w:szCs w:val="22"/>
          <w:lang w:bidi="it-IT"/>
        </w:rPr>
        <w:t>Landrecht</w:t>
      </w:r>
      <w:r w:rsidRPr="00862B79">
        <w:rPr>
          <w:rFonts w:cs="LucidaGrande"/>
          <w:sz w:val="28"/>
          <w:szCs w:val="22"/>
          <w:lang w:bidi="it-IT"/>
        </w:rPr>
        <w:t>: diritto comune del paese).</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L’esposizione delle più arcaiche regole del diritto sostanziale come di quello processuale si intrecciava inscindibilmente con la descrizione di abitudini di vita (</w:t>
      </w:r>
      <w:r w:rsidRPr="000A7F3B">
        <w:rPr>
          <w:rFonts w:cs="LucidaGrande"/>
          <w:i/>
          <w:sz w:val="28"/>
          <w:szCs w:val="22"/>
          <w:lang w:bidi="it-IT"/>
        </w:rPr>
        <w:t>Teidinge</w:t>
      </w:r>
      <w:r w:rsidRPr="00862B79">
        <w:rPr>
          <w:rFonts w:cs="LucidaGrande"/>
          <w:sz w:val="28"/>
          <w:szCs w:val="22"/>
          <w:lang w:bidi="it-IT"/>
        </w:rPr>
        <w:t>), di proverbi esternativi della saggezza popolare, di narrazioni relative a casi già decisi, di brani tratti dalle sacre scritture come dalla più risalente tradizione poetica di lingua proto-germanica, anche di tradizione orale, senza strette indicazioni normative o classificazioni troppo astratte di condotte da seguire.</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Lo stile era semplice, piano e lineare, di una limpidità tale da far felici, molti secoli dopo, gli storiografi romantici del diritto teutonico</w:t>
      </w:r>
      <w:r w:rsidRPr="00862B79">
        <w:rPr>
          <w:rStyle w:val="Rimandonotaapidipagina"/>
          <w:rFonts w:cs="LucidaGrande"/>
          <w:sz w:val="28"/>
          <w:szCs w:val="22"/>
          <w:lang w:bidi="it-IT"/>
        </w:rPr>
        <w:footnoteReference w:id="49"/>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Scopo della raccolta, che si segnala oggi per essere uno tra i primi e più significativi documenti della tradizione linguistica del tedesco medievale, tanto da essere ampiamente studiata da filologi e storici della letteratura, oltre che dai cultori delle antichità giuridiche, era più che altro quello di garantire una guida utile alla composizione delle controversie di diritto privato non tanto grazie alla </w:t>
      </w:r>
      <w:r w:rsidRPr="00862B79">
        <w:rPr>
          <w:rFonts w:cs="LucidaGrande"/>
          <w:sz w:val="28"/>
          <w:szCs w:val="22"/>
          <w:lang w:bidi="it-IT"/>
        </w:rPr>
        <w:lastRenderedPageBreak/>
        <w:t>regola posta, quanto piuttosto mediante la forza cogente di natura psicologica data dall’esempio autorevole, magari tratto dall’infallibile spirito popolare del passato</w:t>
      </w:r>
      <w:r w:rsidRPr="00862B79">
        <w:rPr>
          <w:rStyle w:val="Rimandonotaapidipagina"/>
          <w:rFonts w:cs="LucidaGrande"/>
          <w:sz w:val="28"/>
          <w:szCs w:val="22"/>
          <w:lang w:bidi="it-IT"/>
        </w:rPr>
        <w:footnoteReference w:id="50"/>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Benché originariamente il </w:t>
      </w:r>
      <w:r w:rsidRPr="00BF000F">
        <w:rPr>
          <w:rFonts w:cs="LucidaGrande"/>
          <w:i/>
          <w:sz w:val="28"/>
          <w:szCs w:val="22"/>
          <w:lang w:bidi="it-IT"/>
        </w:rPr>
        <w:t>Sachsenspiegel</w:t>
      </w:r>
      <w:r w:rsidRPr="00862B79">
        <w:rPr>
          <w:rFonts w:cs="LucidaGrande"/>
          <w:sz w:val="28"/>
          <w:szCs w:val="22"/>
          <w:lang w:bidi="it-IT"/>
        </w:rPr>
        <w:t xml:space="preserve"> fosse stato redatto in latino, von Repgow ed i suoi collaboratori decisero quasi subito di versarlo in alto-tedesco, avendo maturato la convinzione di come la cultura giuridica di cui quella compilazione era espressione, avesse ormai raggiunto un alto grado di tecnicismo linguistico.</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Ciò contribuì a farne un notevolissimo modello di riferimento e ne rese facile la divulgazione tanto che, grazie alle migrazioni di coloni che seguivano le naturali contingenze agricole e lavorative, esso si diffuse in vastissime aree dell’intero paese, sconfinando anche in Lituania, Polonia, Russia ed Ungheria</w:t>
      </w:r>
      <w:r w:rsidRPr="00862B79">
        <w:rPr>
          <w:rStyle w:val="Rimandonotaapidipagina"/>
          <w:rFonts w:cs="LucidaGrande"/>
          <w:sz w:val="28"/>
          <w:szCs w:val="22"/>
          <w:lang w:bidi="it-IT"/>
        </w:rPr>
        <w:footnoteReference w:id="51"/>
      </w:r>
      <w:r w:rsidRPr="00862B79">
        <w:rPr>
          <w:rFonts w:cs="LucidaGrande"/>
          <w:sz w:val="28"/>
          <w:szCs w:val="22"/>
          <w:lang w:bidi="it-IT"/>
        </w:rPr>
        <w:t>.</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Gli influssi di diritto romano naturalmente, negli Specchi normativi germanici, erano presenti e rimarchevoli; tuttavia risultavano largamente influenzati dai principi autoctoni, decisamente estranei, se non manifestamente avversi, al patrimonio culturale e giuridico di tipo romanistico, giudeo-cristiano e biblico.</w:t>
      </w:r>
    </w:p>
    <w:p w:rsidR="00D34104" w:rsidRPr="00862B79" w:rsidRDefault="00D34104" w:rsidP="00D34104">
      <w:pPr>
        <w:ind w:left="284" w:right="276" w:firstLine="425"/>
        <w:jc w:val="both"/>
        <w:rPr>
          <w:rFonts w:cs="LucidaGrande"/>
          <w:sz w:val="28"/>
          <w:szCs w:val="22"/>
          <w:lang w:bidi="it-IT"/>
        </w:rPr>
      </w:pPr>
      <w:r w:rsidRPr="00862B79">
        <w:rPr>
          <w:rFonts w:cs="LucidaGrande"/>
          <w:sz w:val="28"/>
          <w:szCs w:val="22"/>
          <w:lang w:bidi="it-IT"/>
        </w:rPr>
        <w:t xml:space="preserve">Piuttosto, alcuni studiosi hanno voluto trovarvi remotissime ascendenze caratteristiche della tradizione </w:t>
      </w:r>
      <w:r w:rsidRPr="00BF000F">
        <w:rPr>
          <w:rFonts w:cs="LucidaGrande"/>
          <w:i/>
          <w:sz w:val="28"/>
          <w:szCs w:val="22"/>
          <w:lang w:bidi="it-IT"/>
        </w:rPr>
        <w:t>hittita</w:t>
      </w:r>
      <w:r w:rsidRPr="00862B79">
        <w:rPr>
          <w:rFonts w:cs="LucidaGrande"/>
          <w:sz w:val="28"/>
          <w:szCs w:val="22"/>
          <w:lang w:bidi="it-IT"/>
        </w:rPr>
        <w:t>, sumera od indoariana in genere, come la marcata divisione in classi sociali assimilabili alle caste</w:t>
      </w:r>
      <w:r w:rsidRPr="00BF000F">
        <w:rPr>
          <w:rFonts w:cs="LucidaGrande"/>
          <w:i/>
          <w:sz w:val="28"/>
          <w:szCs w:val="22"/>
          <w:lang w:bidi="it-IT"/>
        </w:rPr>
        <w:t xml:space="preserve"> hindi</w:t>
      </w:r>
      <w:r w:rsidRPr="00862B79">
        <w:rPr>
          <w:rFonts w:cs="LucidaGrande"/>
          <w:sz w:val="28"/>
          <w:szCs w:val="22"/>
          <w:lang w:bidi="it-IT"/>
        </w:rPr>
        <w:t xml:space="preserve">, il ruolo completamente subordinato della donna, la disciplina della servitù terriera, caratterizzata più che altrove, dal potere assoluto del </w:t>
      </w:r>
      <w:r w:rsidRPr="00BF000F">
        <w:rPr>
          <w:rFonts w:cs="LucidaGrande"/>
          <w:i/>
          <w:sz w:val="28"/>
          <w:szCs w:val="22"/>
          <w:lang w:bidi="it-IT"/>
        </w:rPr>
        <w:t>padrone</w:t>
      </w:r>
      <w:r w:rsidRPr="00862B79">
        <w:rPr>
          <w:rFonts w:cs="LucidaGrande"/>
          <w:sz w:val="28"/>
          <w:szCs w:val="22"/>
          <w:lang w:bidi="it-IT"/>
        </w:rPr>
        <w:t xml:space="preserve"> sui propri  sottoposti di condizione servile</w:t>
      </w:r>
      <w:r w:rsidRPr="00862B79">
        <w:rPr>
          <w:rStyle w:val="Rimandonotaapidipagina"/>
          <w:rFonts w:cs="LucidaGrande"/>
          <w:sz w:val="28"/>
          <w:szCs w:val="22"/>
          <w:lang w:bidi="it-IT"/>
        </w:rPr>
        <w:footnoteReference w:id="52"/>
      </w:r>
      <w:r w:rsidRPr="00862B79">
        <w:rPr>
          <w:rFonts w:cs="LucidaGrande"/>
          <w:sz w:val="28"/>
          <w:szCs w:val="22"/>
          <w:lang w:bidi="it-IT"/>
        </w:rPr>
        <w:t>.</w:t>
      </w:r>
    </w:p>
    <w:p w:rsidR="00D34104" w:rsidRPr="00BF000F" w:rsidRDefault="00D34104" w:rsidP="00D34104">
      <w:pPr>
        <w:ind w:left="284" w:right="276" w:firstLine="425"/>
        <w:jc w:val="both"/>
        <w:rPr>
          <w:rFonts w:cs="Arial-BoldMT"/>
          <w:bCs/>
          <w:color w:val="222222"/>
          <w:sz w:val="28"/>
          <w:szCs w:val="26"/>
          <w:lang w:bidi="it-IT"/>
        </w:rPr>
      </w:pPr>
      <w:r w:rsidRPr="00862B79">
        <w:rPr>
          <w:rFonts w:cs="LucidaGrande"/>
          <w:sz w:val="28"/>
          <w:szCs w:val="22"/>
          <w:lang w:bidi="it-IT"/>
        </w:rPr>
        <w:t>Con tutto ciò, fino all’entrata in vigore del codice civile tedesco del 1900, il giustamente celebrato</w:t>
      </w:r>
      <w:r w:rsidRPr="00BF000F">
        <w:rPr>
          <w:rFonts w:cs="LucidaGrande"/>
          <w:i/>
          <w:sz w:val="28"/>
          <w:szCs w:val="22"/>
          <w:lang w:bidi="it-IT"/>
        </w:rPr>
        <w:t xml:space="preserve"> </w:t>
      </w:r>
      <w:r w:rsidRPr="00BF000F">
        <w:rPr>
          <w:rFonts w:cs="Arial-BoldMT"/>
          <w:bCs/>
          <w:i/>
          <w:color w:val="222222"/>
          <w:sz w:val="28"/>
          <w:szCs w:val="26"/>
          <w:lang w:bidi="it-IT"/>
        </w:rPr>
        <w:t>Bürgerliches Gesetzbuch</w:t>
      </w:r>
      <w:r w:rsidRPr="00BF000F">
        <w:rPr>
          <w:rFonts w:cs="Arial-BoldMT"/>
          <w:bCs/>
          <w:color w:val="222222"/>
          <w:sz w:val="28"/>
          <w:szCs w:val="26"/>
          <w:lang w:bidi="it-IT"/>
        </w:rPr>
        <w:t xml:space="preserve">, il </w:t>
      </w:r>
      <w:r w:rsidRPr="00BF000F">
        <w:rPr>
          <w:rFonts w:cs="Arial-BoldMT"/>
          <w:bCs/>
          <w:i/>
          <w:color w:val="222222"/>
          <w:sz w:val="28"/>
          <w:szCs w:val="26"/>
          <w:lang w:bidi="it-IT"/>
        </w:rPr>
        <w:t>Sachsenspiegel</w:t>
      </w:r>
      <w:r w:rsidRPr="00BF000F">
        <w:rPr>
          <w:rFonts w:cs="Arial-BoldMT"/>
          <w:bCs/>
          <w:color w:val="222222"/>
          <w:sz w:val="28"/>
          <w:szCs w:val="26"/>
          <w:lang w:bidi="it-IT"/>
        </w:rPr>
        <w:t xml:space="preserve"> - come anche lo </w:t>
      </w:r>
      <w:r w:rsidRPr="00312E94">
        <w:rPr>
          <w:rFonts w:cs="Arial-BoldMT"/>
          <w:bCs/>
          <w:i/>
          <w:color w:val="222222"/>
          <w:sz w:val="28"/>
          <w:szCs w:val="26"/>
          <w:lang w:bidi="it-IT"/>
        </w:rPr>
        <w:t>Schwabenspiegel</w:t>
      </w:r>
      <w:r w:rsidRPr="00BF000F">
        <w:rPr>
          <w:rFonts w:cs="Arial-BoldMT"/>
          <w:bCs/>
          <w:color w:val="222222"/>
          <w:sz w:val="28"/>
          <w:szCs w:val="26"/>
          <w:lang w:bidi="it-IT"/>
        </w:rPr>
        <w:t xml:space="preserve"> di pochi decenni posteriore - costituì raccolta di indicazioni normative con vigore di legge in larghissima parte dei territori di Germania, senza dire che esso, per un certo intransigentismo etico di cui finiva con l’essere portatore, venne sempre visto con gran favore dai giuristi di Hitler e comunque correntemente applicato, per le controversie minute di diritto agrario e rurale, dai tribunali nazisti del III Reich.</w:t>
      </w:r>
    </w:p>
    <w:p w:rsidR="00D34104" w:rsidRPr="00BF000F" w:rsidRDefault="00D34104" w:rsidP="00D34104">
      <w:pPr>
        <w:ind w:left="284" w:right="276" w:firstLine="425"/>
        <w:jc w:val="both"/>
        <w:rPr>
          <w:rFonts w:cs="Arial-BoldMT"/>
          <w:bCs/>
          <w:color w:val="222222"/>
          <w:sz w:val="28"/>
          <w:szCs w:val="26"/>
          <w:lang w:bidi="it-IT"/>
        </w:rPr>
      </w:pPr>
      <w:r w:rsidRPr="00BF000F">
        <w:rPr>
          <w:rFonts w:cs="Arial-BoldMT"/>
          <w:bCs/>
          <w:color w:val="222222"/>
          <w:sz w:val="28"/>
          <w:szCs w:val="26"/>
          <w:lang w:bidi="it-IT"/>
        </w:rPr>
        <w:t xml:space="preserve">Difficile stupirsi ancora, dopo tutto questo, del fatto che gli stessi Grimm avessero in buona sostanza considerato la propria opera di raccoglitori di fiabe </w:t>
      </w:r>
      <w:r w:rsidRPr="00BF000F">
        <w:rPr>
          <w:rFonts w:cs="Arial-BoldMT"/>
          <w:bCs/>
          <w:color w:val="222222"/>
          <w:sz w:val="28"/>
          <w:szCs w:val="26"/>
          <w:lang w:bidi="it-IT"/>
        </w:rPr>
        <w:lastRenderedPageBreak/>
        <w:t>antiche come assimilabile ad una vera e propria ricerca di antropologia giuridica sul campo.</w:t>
      </w:r>
    </w:p>
    <w:p w:rsidR="00D34104" w:rsidRPr="00BF000F" w:rsidRDefault="00D34104" w:rsidP="00D34104">
      <w:pPr>
        <w:ind w:left="284" w:right="276" w:firstLine="425"/>
        <w:jc w:val="both"/>
        <w:rPr>
          <w:rFonts w:cs="Arial-BoldMT"/>
          <w:bCs/>
          <w:color w:val="222222"/>
          <w:sz w:val="28"/>
          <w:szCs w:val="26"/>
          <w:lang w:bidi="it-IT"/>
        </w:rPr>
      </w:pPr>
      <w:r w:rsidRPr="00BF000F">
        <w:rPr>
          <w:rFonts w:cs="Arial-BoldMT"/>
          <w:bCs/>
          <w:color w:val="222222"/>
          <w:sz w:val="28"/>
          <w:szCs w:val="26"/>
          <w:lang w:bidi="it-IT"/>
        </w:rPr>
        <w:t>Entrambi d’altra parte erano figli di un piccolo magistrato di contea (</w:t>
      </w:r>
      <w:r w:rsidRPr="005F2366">
        <w:rPr>
          <w:rFonts w:cs="Arial-BoldMT"/>
          <w:bCs/>
          <w:i/>
          <w:color w:val="222222"/>
          <w:sz w:val="28"/>
          <w:szCs w:val="26"/>
          <w:lang w:bidi="it-IT"/>
        </w:rPr>
        <w:t>Landrat</w:t>
      </w:r>
      <w:r w:rsidRPr="00BF000F">
        <w:rPr>
          <w:rFonts w:cs="Arial-BoldMT"/>
          <w:bCs/>
          <w:color w:val="222222"/>
          <w:sz w:val="28"/>
          <w:szCs w:val="26"/>
          <w:lang w:bidi="it-IT"/>
        </w:rPr>
        <w:t xml:space="preserve">) - Philipp Wilhelm Grimm (1751-1796) - un giurista di campagna come egli stesso amava definirsi, conoscitore istituzionale di tutta la tradizione delle consuetudini giuridiche contadine, che applicava quotidianamente per la propria professione ed ai cui valori egli aveva educato i propri ragazzi. </w:t>
      </w:r>
    </w:p>
    <w:p w:rsidR="00D34104" w:rsidRPr="000A7F3B" w:rsidRDefault="00D34104" w:rsidP="00D34104">
      <w:pPr>
        <w:ind w:left="284" w:right="276" w:firstLine="425"/>
        <w:jc w:val="both"/>
        <w:rPr>
          <w:rFonts w:cs="Arial-BoldMT"/>
          <w:bCs/>
          <w:color w:val="222222"/>
          <w:sz w:val="28"/>
          <w:szCs w:val="26"/>
          <w:lang w:bidi="it-IT"/>
        </w:rPr>
      </w:pPr>
      <w:r w:rsidRPr="00BF000F">
        <w:rPr>
          <w:rFonts w:cs="Arial-BoldMT"/>
          <w:bCs/>
          <w:color w:val="222222"/>
          <w:sz w:val="28"/>
          <w:szCs w:val="26"/>
          <w:lang w:bidi="it-IT"/>
        </w:rPr>
        <w:t>Rileggendo oggi entro queste coordinate alcune tra le più note fiabe tram</w:t>
      </w:r>
      <w:r w:rsidRPr="000A7F3B">
        <w:rPr>
          <w:rFonts w:cs="Arial-BoldMT"/>
          <w:bCs/>
          <w:color w:val="222222"/>
          <w:sz w:val="28"/>
          <w:szCs w:val="26"/>
          <w:lang w:bidi="it-IT"/>
        </w:rPr>
        <w:t xml:space="preserve">andate dai due fratelli, le sorprese si presentano copiose ma non inaspettate. Non solo non mancano le tangenze tra il piano folklorico tradizionale e quello di ordine giuridico, ma le stesse si presentano numerose e molto più rilevanti di quanto non si possa pensare. </w:t>
      </w:r>
    </w:p>
    <w:p w:rsidR="00D34104" w:rsidRPr="005C1AFF" w:rsidRDefault="00D34104" w:rsidP="00D34104">
      <w:pPr>
        <w:ind w:left="284" w:right="276" w:firstLine="425"/>
        <w:jc w:val="both"/>
        <w:rPr>
          <w:rFonts w:cs="Helvetica-Oblique"/>
          <w:iCs/>
          <w:sz w:val="28"/>
          <w:szCs w:val="26"/>
          <w:lang w:bidi="it-IT"/>
        </w:rPr>
      </w:pPr>
      <w:r w:rsidRPr="000A7F3B">
        <w:rPr>
          <w:rFonts w:cs="Arial-BoldMT"/>
          <w:bCs/>
          <w:color w:val="222222"/>
          <w:sz w:val="28"/>
          <w:szCs w:val="26"/>
          <w:lang w:bidi="it-IT"/>
        </w:rPr>
        <w:t xml:space="preserve">E’ eclatante il caso di </w:t>
      </w:r>
      <w:r w:rsidRPr="000A7F3B">
        <w:rPr>
          <w:rFonts w:cs="Arial-BoldMT"/>
          <w:bCs/>
          <w:i/>
          <w:color w:val="222222"/>
          <w:sz w:val="28"/>
          <w:szCs w:val="26"/>
          <w:lang w:bidi="it-IT"/>
        </w:rPr>
        <w:t>Biancaneve e i sette nani</w:t>
      </w:r>
      <w:r w:rsidRPr="000A7F3B">
        <w:rPr>
          <w:rFonts w:cs="Arial-BoldMT"/>
          <w:bCs/>
          <w:color w:val="222222"/>
          <w:sz w:val="28"/>
          <w:szCs w:val="26"/>
          <w:lang w:bidi="it-IT"/>
        </w:rPr>
        <w:t xml:space="preserve"> (</w:t>
      </w:r>
      <w:r w:rsidRPr="00194ACF">
        <w:rPr>
          <w:rFonts w:cs="Helvetica-Oblique"/>
          <w:i/>
          <w:iCs/>
          <w:sz w:val="28"/>
          <w:szCs w:val="26"/>
          <w:lang w:bidi="it-IT"/>
        </w:rPr>
        <w:t>Schneewittchen und die Sieben Zwerge</w:t>
      </w:r>
      <w:r w:rsidRPr="00194ACF">
        <w:rPr>
          <w:rFonts w:ascii="Helvetica-Oblique" w:hAnsi="Helvetica-Oblique" w:cs="Helvetica-Oblique"/>
          <w:iCs/>
          <w:sz w:val="26"/>
          <w:szCs w:val="26"/>
          <w:lang w:bidi="it-IT"/>
        </w:rPr>
        <w:t>)</w:t>
      </w:r>
      <w:r w:rsidRPr="000A7F3B">
        <w:rPr>
          <w:rFonts w:cs="Arial-BoldMT"/>
          <w:bCs/>
          <w:color w:val="222222"/>
          <w:sz w:val="28"/>
          <w:szCs w:val="26"/>
          <w:lang w:bidi="it-IT"/>
        </w:rPr>
        <w:t xml:space="preserve">, forse una delle novelle più note della letteratura fiabica di tutti i tempi, raccolta dai Grimm ed inserita nella raccolta </w:t>
      </w:r>
      <w:r w:rsidRPr="000A7F3B">
        <w:rPr>
          <w:i/>
          <w:sz w:val="28"/>
        </w:rPr>
        <w:t>K</w:t>
      </w:r>
      <w:r w:rsidRPr="000A7F3B">
        <w:rPr>
          <w:rFonts w:cs="Helvetica-Oblique"/>
          <w:i/>
          <w:iCs/>
          <w:sz w:val="28"/>
          <w:szCs w:val="26"/>
          <w:lang w:bidi="it-IT"/>
        </w:rPr>
        <w:t xml:space="preserve">inder und Hausmärchen </w:t>
      </w:r>
      <w:r w:rsidRPr="005C1AFF">
        <w:rPr>
          <w:rFonts w:cs="Helvetica-Oblique"/>
          <w:iCs/>
          <w:sz w:val="28"/>
          <w:szCs w:val="26"/>
          <w:lang w:bidi="it-IT"/>
        </w:rPr>
        <w:t>sin dalla prima edizione del 1812.</w:t>
      </w:r>
    </w:p>
    <w:p w:rsidR="00D34104" w:rsidRPr="000A7F3B" w:rsidRDefault="00D34104" w:rsidP="00D34104">
      <w:pPr>
        <w:ind w:left="284" w:right="276" w:firstLine="425"/>
        <w:jc w:val="both"/>
        <w:rPr>
          <w:sz w:val="28"/>
          <w:szCs w:val="20"/>
        </w:rPr>
      </w:pPr>
      <w:r w:rsidRPr="005C1AFF">
        <w:rPr>
          <w:rFonts w:cs="Arial-BoldMT"/>
          <w:bCs/>
          <w:color w:val="222222"/>
          <w:sz w:val="28"/>
          <w:szCs w:val="26"/>
          <w:lang w:bidi="it-IT"/>
        </w:rPr>
        <w:t xml:space="preserve"> </w:t>
      </w:r>
      <w:r w:rsidRPr="000A7F3B">
        <w:rPr>
          <w:sz w:val="28"/>
          <w:szCs w:val="20"/>
        </w:rPr>
        <w:t>Biancaneve (</w:t>
      </w:r>
      <w:r w:rsidRPr="00194ACF">
        <w:rPr>
          <w:i/>
          <w:sz w:val="28"/>
          <w:szCs w:val="20"/>
        </w:rPr>
        <w:t>Schneewittchen</w:t>
      </w:r>
      <w:r w:rsidRPr="000A7F3B">
        <w:rPr>
          <w:sz w:val="28"/>
          <w:szCs w:val="20"/>
        </w:rPr>
        <w:t xml:space="preserve"> in tedesco), figlia di un re, deve sopportare la gelosia della sua matrigna. Perseguitata dall'odio della nuova regina, la giovane principessa dovrà fuggire nella foresta, dove sarà raccolta e protetta, come ognun sa, da sette nani. Dopo le note tribolazioni tutto si risolve per il meglio con la morte della cattiva regina vittima dei propri intrighi</w:t>
      </w:r>
      <w:r w:rsidRPr="000A7F3B">
        <w:rPr>
          <w:rStyle w:val="Rimandonotaapidipagina"/>
          <w:sz w:val="28"/>
          <w:szCs w:val="20"/>
        </w:rPr>
        <w:footnoteReference w:id="53"/>
      </w:r>
      <w:r w:rsidRPr="000A7F3B">
        <w:rPr>
          <w:sz w:val="28"/>
          <w:szCs w:val="20"/>
        </w:rPr>
        <w:t xml:space="preserve">. </w:t>
      </w:r>
    </w:p>
    <w:p w:rsidR="00D34104" w:rsidRPr="000A7F3B" w:rsidRDefault="00D34104" w:rsidP="00D34104">
      <w:pPr>
        <w:ind w:left="284" w:right="276" w:firstLine="425"/>
        <w:jc w:val="both"/>
        <w:rPr>
          <w:sz w:val="28"/>
          <w:szCs w:val="20"/>
        </w:rPr>
      </w:pPr>
      <w:r w:rsidRPr="000A7F3B">
        <w:rPr>
          <w:sz w:val="28"/>
          <w:szCs w:val="20"/>
        </w:rPr>
        <w:lastRenderedPageBreak/>
        <w:t xml:space="preserve">L'episodio chiave del racconto, ciò che della novella costituisce il celebrato </w:t>
      </w:r>
      <w:r w:rsidRPr="00B90966">
        <w:rPr>
          <w:i/>
          <w:sz w:val="28"/>
          <w:szCs w:val="20"/>
        </w:rPr>
        <w:t>leit-motiv</w:t>
      </w:r>
      <w:r w:rsidRPr="00B90966">
        <w:rPr>
          <w:sz w:val="28"/>
          <w:szCs w:val="20"/>
        </w:rPr>
        <w:t>,</w:t>
      </w:r>
      <w:r w:rsidRPr="000A7F3B">
        <w:rPr>
          <w:sz w:val="28"/>
          <w:szCs w:val="20"/>
        </w:rPr>
        <w:t xml:space="preserve"> è sicuramente quello in cui la cattiva regina interroga di continuo il proprio specchio incantato chiedendogli chi sia la donna più bella ed attraente del regno. </w:t>
      </w:r>
    </w:p>
    <w:p w:rsidR="00D34104" w:rsidRPr="000A7F3B" w:rsidRDefault="00D34104" w:rsidP="00D34104">
      <w:pPr>
        <w:ind w:left="284" w:right="276" w:firstLine="425"/>
        <w:jc w:val="both"/>
        <w:rPr>
          <w:sz w:val="28"/>
          <w:szCs w:val="20"/>
        </w:rPr>
      </w:pPr>
      <w:r w:rsidRPr="000A7F3B">
        <w:rPr>
          <w:sz w:val="28"/>
          <w:szCs w:val="20"/>
        </w:rPr>
        <w:t>Ad un certo punto lo specchio malauguratamente risponde che questa è senz’altro Biancaneve, innescando il resto della trama della fiaba a tutti nota.</w:t>
      </w:r>
    </w:p>
    <w:p w:rsidR="00D34104" w:rsidRPr="000A7F3B" w:rsidRDefault="00D34104" w:rsidP="00D34104">
      <w:pPr>
        <w:ind w:left="284" w:right="276" w:firstLine="425"/>
        <w:jc w:val="both"/>
        <w:rPr>
          <w:sz w:val="28"/>
          <w:szCs w:val="20"/>
        </w:rPr>
      </w:pPr>
      <w:r w:rsidRPr="000A7F3B">
        <w:rPr>
          <w:sz w:val="28"/>
          <w:szCs w:val="20"/>
        </w:rPr>
        <w:t xml:space="preserve">Storici, filologi e giuristi hanno fornito della storia riportata dai fratelli Grimm una convincente ed assai interessante interpretazione, che si lega direttamente allo </w:t>
      </w:r>
      <w:r w:rsidRPr="00B90966">
        <w:rPr>
          <w:i/>
          <w:sz w:val="28"/>
          <w:szCs w:val="20"/>
        </w:rPr>
        <w:t>specchio</w:t>
      </w:r>
      <w:r w:rsidRPr="000A7F3B">
        <w:rPr>
          <w:sz w:val="28"/>
          <w:szCs w:val="20"/>
        </w:rPr>
        <w:t xml:space="preserve"> della malvagia sovrana, acutamente visto come metafora dello </w:t>
      </w:r>
      <w:r w:rsidRPr="00B90966">
        <w:rPr>
          <w:i/>
          <w:sz w:val="28"/>
          <w:szCs w:val="20"/>
        </w:rPr>
        <w:t>Specchio dei Sassoni</w:t>
      </w:r>
      <w:r w:rsidRPr="000A7F3B">
        <w:rPr>
          <w:sz w:val="28"/>
          <w:szCs w:val="20"/>
        </w:rPr>
        <w:t>.</w:t>
      </w:r>
    </w:p>
    <w:p w:rsidR="00D34104" w:rsidRPr="000A7F3B" w:rsidRDefault="00D34104" w:rsidP="00D34104">
      <w:pPr>
        <w:ind w:left="284" w:right="276" w:firstLine="425"/>
        <w:jc w:val="both"/>
        <w:rPr>
          <w:sz w:val="28"/>
          <w:szCs w:val="20"/>
        </w:rPr>
      </w:pPr>
      <w:r w:rsidRPr="000A7F3B">
        <w:rPr>
          <w:sz w:val="28"/>
          <w:szCs w:val="20"/>
        </w:rPr>
        <w:t xml:space="preserve">Quest’ultimo, nella propria introduzione, raccomandava infatti ai lettori di utilizzare la silloge </w:t>
      </w:r>
      <w:r w:rsidRPr="00B90966">
        <w:rPr>
          <w:i/>
          <w:sz w:val="28"/>
          <w:szCs w:val="20"/>
        </w:rPr>
        <w:t>nello stesso modo in cui le donne contemplano il proprio bel viso allo specchio</w:t>
      </w:r>
      <w:r w:rsidRPr="000A7F3B">
        <w:rPr>
          <w:sz w:val="28"/>
          <w:szCs w:val="20"/>
        </w:rPr>
        <w:t xml:space="preserve">. </w:t>
      </w:r>
    </w:p>
    <w:p w:rsidR="00D34104" w:rsidRPr="000A7F3B" w:rsidRDefault="00D34104" w:rsidP="00D34104">
      <w:pPr>
        <w:ind w:left="284" w:right="276" w:firstLine="425"/>
        <w:jc w:val="both"/>
        <w:rPr>
          <w:sz w:val="28"/>
          <w:szCs w:val="20"/>
        </w:rPr>
      </w:pPr>
      <w:r w:rsidRPr="000A7F3B">
        <w:rPr>
          <w:sz w:val="28"/>
          <w:szCs w:val="20"/>
        </w:rPr>
        <w:t>Gli antichi specchi normativi dei germani, questo almeno era l’auspicio dei loro compilatori, avrebbero dovuto riflettere a chi vi si specchiasse dentro, la rettitudine dei costumi morali e giuridici più appropriati.</w:t>
      </w:r>
    </w:p>
    <w:p w:rsidR="00D34104" w:rsidRPr="000A7F3B" w:rsidRDefault="00D34104" w:rsidP="00D34104">
      <w:pPr>
        <w:ind w:left="284" w:right="276" w:firstLine="425"/>
        <w:jc w:val="both"/>
        <w:rPr>
          <w:sz w:val="28"/>
          <w:szCs w:val="20"/>
        </w:rPr>
      </w:pPr>
      <w:r w:rsidRPr="000A7F3B">
        <w:rPr>
          <w:sz w:val="28"/>
          <w:szCs w:val="20"/>
        </w:rPr>
        <w:t xml:space="preserve">La spiegazione della fiaba, entro quest’orizzonte, è chiara. Lo specchio magico della regina negromante simboleggiava senz’altro un libro di diritto. </w:t>
      </w:r>
    </w:p>
    <w:p w:rsidR="00D34104" w:rsidRPr="000A7F3B" w:rsidRDefault="00D34104" w:rsidP="00D34104">
      <w:pPr>
        <w:ind w:left="284" w:right="276" w:firstLine="425"/>
        <w:jc w:val="both"/>
        <w:rPr>
          <w:sz w:val="28"/>
          <w:szCs w:val="20"/>
        </w:rPr>
      </w:pPr>
      <w:r w:rsidRPr="000A7F3B">
        <w:rPr>
          <w:sz w:val="28"/>
          <w:szCs w:val="20"/>
        </w:rPr>
        <w:t xml:space="preserve">Si trattava tuttavia di un diritto molto antico, sicuramente più risalente nel tempo di quello espresso e rappresentato dalla cattiva matrigna di Biancaneve, che era soltanto la </w:t>
      </w:r>
      <w:r w:rsidRPr="00B90966">
        <w:rPr>
          <w:i/>
          <w:sz w:val="28"/>
          <w:szCs w:val="20"/>
        </w:rPr>
        <w:t>seconda</w:t>
      </w:r>
      <w:r w:rsidRPr="000A7F3B">
        <w:rPr>
          <w:sz w:val="28"/>
          <w:szCs w:val="20"/>
        </w:rPr>
        <w:t xml:space="preserve"> moglie del re.</w:t>
      </w:r>
    </w:p>
    <w:p w:rsidR="00D34104" w:rsidRPr="000A7F3B" w:rsidRDefault="00D34104" w:rsidP="00D34104">
      <w:pPr>
        <w:ind w:left="284" w:right="276" w:firstLine="425"/>
        <w:jc w:val="both"/>
        <w:rPr>
          <w:sz w:val="28"/>
          <w:szCs w:val="20"/>
        </w:rPr>
      </w:pPr>
      <w:r w:rsidRPr="000A7F3B">
        <w:rPr>
          <w:sz w:val="28"/>
          <w:szCs w:val="20"/>
        </w:rPr>
        <w:t xml:space="preserve">Il diritto della tradizione di quelle terre, quello sentito, ossequiato e tramandato come originale e vitale, era rappresentato dalla giovane principessina Biancaneve, erede legittima della regina morta nel darla alla luce; ciò in adesione alle più antiche tradizioni indogermaniche che, sovente, avevano impostazione matriarcale e amavano raffigurare - come sappiamo anche grazie agli studi di Johann J. Bachofen (1815-1887) giurista romanista eretico ma </w:t>
      </w:r>
      <w:r w:rsidRPr="000A7F3B">
        <w:rPr>
          <w:sz w:val="28"/>
          <w:szCs w:val="20"/>
        </w:rPr>
        <w:lastRenderedPageBreak/>
        <w:t xml:space="preserve">originalissimo - il diritto e la giustizia incarnati sotto tratti femminili, cosa dimostrata dall’intero </w:t>
      </w:r>
      <w:r w:rsidRPr="006E36E7">
        <w:rPr>
          <w:i/>
          <w:sz w:val="28"/>
          <w:szCs w:val="20"/>
        </w:rPr>
        <w:t>corpus</w:t>
      </w:r>
      <w:r w:rsidRPr="000A7F3B">
        <w:rPr>
          <w:sz w:val="28"/>
          <w:szCs w:val="20"/>
        </w:rPr>
        <w:t xml:space="preserve"> delle saghe nordiche tanto care ai fratelli Grimm</w:t>
      </w:r>
      <w:r w:rsidRPr="000A7F3B">
        <w:rPr>
          <w:rStyle w:val="Rimandonotaapidipagina"/>
          <w:sz w:val="28"/>
          <w:szCs w:val="20"/>
        </w:rPr>
        <w:footnoteReference w:id="54"/>
      </w:r>
      <w:r w:rsidRPr="000A7F3B">
        <w:rPr>
          <w:sz w:val="28"/>
          <w:szCs w:val="20"/>
        </w:rPr>
        <w:t>.</w:t>
      </w:r>
    </w:p>
    <w:p w:rsidR="00D34104" w:rsidRPr="000A7F3B" w:rsidRDefault="00D34104" w:rsidP="00D34104">
      <w:pPr>
        <w:ind w:left="284" w:right="276" w:firstLine="425"/>
        <w:jc w:val="both"/>
        <w:rPr>
          <w:sz w:val="28"/>
          <w:szCs w:val="20"/>
        </w:rPr>
      </w:pPr>
      <w:r w:rsidRPr="000A7F3B">
        <w:rPr>
          <w:sz w:val="28"/>
          <w:szCs w:val="20"/>
        </w:rPr>
        <w:t>La nuova regina pertanto metteva in scena, attraverso il proprio matrimonio col re ormai vedovo ed infiacchito dal lutto, l'arrivo traumatico di un nuovo ordine giuridico.</w:t>
      </w:r>
    </w:p>
    <w:p w:rsidR="00D34104" w:rsidRPr="000A7F3B" w:rsidRDefault="00D34104" w:rsidP="00D34104">
      <w:pPr>
        <w:ind w:left="284" w:right="276" w:firstLine="425"/>
        <w:jc w:val="both"/>
        <w:rPr>
          <w:sz w:val="28"/>
          <w:szCs w:val="20"/>
        </w:rPr>
      </w:pPr>
      <w:r w:rsidRPr="000A7F3B">
        <w:rPr>
          <w:sz w:val="28"/>
          <w:szCs w:val="20"/>
        </w:rPr>
        <w:t>Un nuovo potere, quello del diritto romano, si stava impadronendo di quelle lande nordiche, sostituendosi al diritto germanico avìto.</w:t>
      </w:r>
    </w:p>
    <w:p w:rsidR="00D34104" w:rsidRPr="000A7F3B" w:rsidRDefault="00D34104" w:rsidP="00D34104">
      <w:pPr>
        <w:ind w:left="284" w:right="276" w:firstLine="425"/>
        <w:jc w:val="both"/>
        <w:rPr>
          <w:sz w:val="28"/>
          <w:szCs w:val="20"/>
        </w:rPr>
      </w:pPr>
      <w:r w:rsidRPr="000A7F3B">
        <w:rPr>
          <w:sz w:val="28"/>
          <w:szCs w:val="20"/>
        </w:rPr>
        <w:t xml:space="preserve">All'origine di questa sostituzione gli storici delle istituzioni medievali sono soliti mettere i </w:t>
      </w:r>
      <w:r w:rsidRPr="00B90966">
        <w:rPr>
          <w:i/>
          <w:sz w:val="28"/>
          <w:szCs w:val="20"/>
        </w:rPr>
        <w:t>capitolari carolingi</w:t>
      </w:r>
      <w:r w:rsidRPr="000A7F3B">
        <w:rPr>
          <w:sz w:val="28"/>
          <w:szCs w:val="20"/>
        </w:rPr>
        <w:t>, cioè le raccolte di leggi di Carlo Magno, mosso alla conquista ed alla colonizzazione, sotto le insegne di Roma e della sua Croce, delle terre tedesche</w:t>
      </w:r>
      <w:r w:rsidRPr="000A7F3B">
        <w:rPr>
          <w:rStyle w:val="Rimandonotaapidipagina"/>
          <w:sz w:val="28"/>
          <w:szCs w:val="20"/>
        </w:rPr>
        <w:footnoteReference w:id="55"/>
      </w:r>
      <w:r w:rsidRPr="000A7F3B">
        <w:rPr>
          <w:sz w:val="28"/>
          <w:szCs w:val="20"/>
        </w:rPr>
        <w:t>.</w:t>
      </w:r>
    </w:p>
    <w:p w:rsidR="00D34104" w:rsidRPr="000A7F3B" w:rsidRDefault="00D34104" w:rsidP="00D34104">
      <w:pPr>
        <w:ind w:left="284" w:right="276" w:firstLine="425"/>
        <w:jc w:val="both"/>
        <w:rPr>
          <w:sz w:val="28"/>
          <w:szCs w:val="20"/>
        </w:rPr>
      </w:pPr>
      <w:r w:rsidRPr="000A7F3B">
        <w:rPr>
          <w:sz w:val="28"/>
          <w:szCs w:val="20"/>
        </w:rPr>
        <w:t>L’insediamento del cristianesimo carolingio e del nuovo diritto tardo romano che ne era l’espressione non era stato affatto indolore ed aveva provocato inevitabilmente violente reazioni, sedate nel sangue, tra le colonie soprattutto sassoni, che temevano per la perdita della libertà e delle tradizioni autoctone anche di carattere giuridico.</w:t>
      </w:r>
    </w:p>
    <w:p w:rsidR="00D34104" w:rsidRPr="000A7F3B" w:rsidRDefault="00D34104" w:rsidP="00D34104">
      <w:pPr>
        <w:ind w:left="284" w:right="276" w:firstLine="425"/>
        <w:jc w:val="both"/>
        <w:rPr>
          <w:sz w:val="28"/>
          <w:szCs w:val="20"/>
        </w:rPr>
      </w:pPr>
      <w:r w:rsidRPr="000A7F3B">
        <w:rPr>
          <w:sz w:val="28"/>
          <w:szCs w:val="20"/>
        </w:rPr>
        <w:t>In quest’ottica il racconto di Biancaneve non sarebbe altro che la rappresentazione allegorica dell’opposizione tra l’antico paganesimo ed i suoi riti ed il cristianesimo di Carlo Magno, ovvero tra il diritto antico ed il nuovo diritto romano, nuovo almeno in quei contesti geografici.</w:t>
      </w:r>
    </w:p>
    <w:p w:rsidR="00D34104" w:rsidRPr="000A7F3B" w:rsidRDefault="00D34104" w:rsidP="00D34104">
      <w:pPr>
        <w:ind w:left="284" w:right="276" w:firstLine="425"/>
        <w:jc w:val="both"/>
        <w:rPr>
          <w:sz w:val="28"/>
          <w:szCs w:val="20"/>
        </w:rPr>
      </w:pPr>
      <w:r w:rsidRPr="000A7F3B">
        <w:rPr>
          <w:sz w:val="28"/>
          <w:szCs w:val="20"/>
        </w:rPr>
        <w:t xml:space="preserve">La morte della buona madre, genitrice naturale e legittima dell’eroina della fiaba simboleggiava dunque la scomparsa dell'antico diritto di cui lo </w:t>
      </w:r>
      <w:r w:rsidRPr="00B90966">
        <w:rPr>
          <w:i/>
          <w:sz w:val="28"/>
          <w:szCs w:val="20"/>
        </w:rPr>
        <w:t>specchio magico</w:t>
      </w:r>
      <w:r w:rsidRPr="000A7F3B">
        <w:rPr>
          <w:sz w:val="28"/>
          <w:szCs w:val="20"/>
        </w:rPr>
        <w:t xml:space="preserve"> era quotidiano testimone, rammentando molto spesso alla malvagia regina la legittimità della bellezza di Biancaneve, erede dell’antica stirpe regale, delle sue tradizioni e del suo ancestrale diritto.</w:t>
      </w:r>
    </w:p>
    <w:p w:rsidR="00D34104" w:rsidRPr="000A7F3B" w:rsidRDefault="00D34104" w:rsidP="00D34104">
      <w:pPr>
        <w:ind w:left="284" w:right="276" w:firstLine="425"/>
        <w:jc w:val="both"/>
        <w:rPr>
          <w:sz w:val="28"/>
          <w:szCs w:val="20"/>
        </w:rPr>
      </w:pPr>
      <w:r w:rsidRPr="000A7F3B">
        <w:rPr>
          <w:sz w:val="28"/>
          <w:szCs w:val="20"/>
        </w:rPr>
        <w:t xml:space="preserve">Per affermarsi definitivamente la nuova regina, espressione del nuovo ordine romano-canonico e carolingio, sopraffattore delle tradizioni sassoni, deve </w:t>
      </w:r>
      <w:r w:rsidRPr="000A7F3B">
        <w:rPr>
          <w:sz w:val="28"/>
          <w:szCs w:val="20"/>
        </w:rPr>
        <w:lastRenderedPageBreak/>
        <w:t>annichilire la giovane meravigliosa principessa, estirpando in questo modo le ultime radici del mondo antico e l'animo popolare che gli è rimasto fedele.</w:t>
      </w:r>
    </w:p>
    <w:p w:rsidR="00D34104" w:rsidRPr="000A7F3B" w:rsidRDefault="00D34104" w:rsidP="00D34104">
      <w:pPr>
        <w:ind w:left="284" w:right="276" w:firstLine="425"/>
        <w:jc w:val="both"/>
        <w:rPr>
          <w:sz w:val="28"/>
          <w:szCs w:val="20"/>
        </w:rPr>
      </w:pPr>
      <w:r w:rsidRPr="000A7F3B">
        <w:rPr>
          <w:sz w:val="28"/>
          <w:szCs w:val="20"/>
        </w:rPr>
        <w:t>Il diritto arcaico è legato alla terra ed ai suoi ritmi, alla natura ed alle sue manifestazioni, proprio per questo Biancaneve, abbandonata ancora viva dal pietoso cacciatore, trova rifugio nella foresta abitata dai nani.</w:t>
      </w:r>
    </w:p>
    <w:p w:rsidR="00D34104" w:rsidRPr="000A7F3B" w:rsidRDefault="00D34104" w:rsidP="00D34104">
      <w:pPr>
        <w:ind w:left="284" w:right="276" w:firstLine="425"/>
        <w:jc w:val="both"/>
        <w:rPr>
          <w:sz w:val="28"/>
          <w:szCs w:val="20"/>
        </w:rPr>
      </w:pPr>
      <w:r w:rsidRPr="000A7F3B">
        <w:rPr>
          <w:sz w:val="28"/>
          <w:szCs w:val="20"/>
        </w:rPr>
        <w:t xml:space="preserve">Il bosco, gli alberi, le piante erano privilegiati oggetti degli antichissimi culti germanici; tra i sassoni in particolare, prima che Carlo Magno ne sradicasse il culto, era venerato </w:t>
      </w:r>
      <w:r w:rsidRPr="004C4E57">
        <w:rPr>
          <w:i/>
          <w:sz w:val="28"/>
          <w:szCs w:val="20"/>
        </w:rPr>
        <w:t>Irminsul</w:t>
      </w:r>
      <w:r w:rsidRPr="000A7F3B">
        <w:rPr>
          <w:sz w:val="28"/>
          <w:szCs w:val="20"/>
        </w:rPr>
        <w:t xml:space="preserve"> il </w:t>
      </w:r>
      <w:r w:rsidRPr="004C4E57">
        <w:rPr>
          <w:i/>
          <w:sz w:val="28"/>
          <w:szCs w:val="20"/>
        </w:rPr>
        <w:t>Dio quercia</w:t>
      </w:r>
      <w:r w:rsidRPr="000A7F3B">
        <w:rPr>
          <w:sz w:val="28"/>
          <w:szCs w:val="20"/>
        </w:rPr>
        <w:t>, protettore delle foreste e canale comunicativo tra la terra ed il regno degli dei</w:t>
      </w:r>
      <w:r w:rsidRPr="000A7F3B">
        <w:rPr>
          <w:rStyle w:val="Rimandonotaapidipagina"/>
          <w:sz w:val="28"/>
          <w:szCs w:val="20"/>
        </w:rPr>
        <w:footnoteReference w:id="56"/>
      </w:r>
      <w:r w:rsidRPr="000A7F3B">
        <w:rPr>
          <w:sz w:val="28"/>
          <w:szCs w:val="20"/>
        </w:rPr>
        <w:t>.</w:t>
      </w:r>
    </w:p>
    <w:p w:rsidR="00D34104" w:rsidRPr="004C4E57" w:rsidRDefault="00D34104" w:rsidP="00D34104">
      <w:pPr>
        <w:ind w:left="284" w:right="276" w:firstLine="425"/>
        <w:jc w:val="both"/>
        <w:rPr>
          <w:sz w:val="28"/>
          <w:szCs w:val="20"/>
        </w:rPr>
      </w:pPr>
      <w:r w:rsidRPr="000A7F3B">
        <w:rPr>
          <w:sz w:val="28"/>
          <w:szCs w:val="20"/>
        </w:rPr>
        <w:t xml:space="preserve">Nella selva intricata </w:t>
      </w:r>
      <w:r w:rsidRPr="004C4E57">
        <w:rPr>
          <w:sz w:val="28"/>
          <w:szCs w:val="20"/>
        </w:rPr>
        <w:t>Biancaneve trova ospitalità, solidarietà e aiuto in casa dei nani.</w:t>
      </w:r>
    </w:p>
    <w:p w:rsidR="00D34104" w:rsidRPr="004C4E57" w:rsidRDefault="00D34104" w:rsidP="00D34104">
      <w:pPr>
        <w:ind w:left="284" w:right="276" w:firstLine="425"/>
        <w:jc w:val="both"/>
        <w:rPr>
          <w:sz w:val="28"/>
          <w:szCs w:val="20"/>
        </w:rPr>
      </w:pPr>
      <w:r w:rsidRPr="004C4E57">
        <w:rPr>
          <w:sz w:val="28"/>
          <w:szCs w:val="20"/>
        </w:rPr>
        <w:t xml:space="preserve">Qui la tangenza tra lo sviluppo della fiaba e la sua interpretazione giuridica è strettissima. Dagli studi di storia del diritto medievale sappiamo come nell'antica Germania praticamente in una sola regione, la </w:t>
      </w:r>
      <w:r w:rsidRPr="00E06186">
        <w:rPr>
          <w:i/>
          <w:sz w:val="28"/>
          <w:szCs w:val="20"/>
        </w:rPr>
        <w:t>Frisia</w:t>
      </w:r>
      <w:r w:rsidRPr="004C4E57">
        <w:rPr>
          <w:sz w:val="28"/>
          <w:szCs w:val="20"/>
        </w:rPr>
        <w:t xml:space="preserve"> (Germania nord-occidentale, al confine con i Paesi Bassi), gli antichi ritualismi e la vigenza dell’ancestrale diritto originario, non furono eliminati del tutto.</w:t>
      </w:r>
    </w:p>
    <w:p w:rsidR="00D34104" w:rsidRPr="004C4E57" w:rsidRDefault="00D34104" w:rsidP="00D34104">
      <w:pPr>
        <w:ind w:left="284" w:right="276" w:firstLine="425"/>
        <w:jc w:val="both"/>
        <w:rPr>
          <w:sz w:val="28"/>
          <w:szCs w:val="20"/>
        </w:rPr>
      </w:pPr>
      <w:r w:rsidRPr="004C4E57">
        <w:rPr>
          <w:sz w:val="28"/>
          <w:szCs w:val="20"/>
        </w:rPr>
        <w:t xml:space="preserve">Ci viene in aiuto con la sua autorevolezza indiscutibile l’opera di Karl Friedrich Eichhorn (1781-1854), giurista romanista amico di Jacob Grimm, docente universitario di gran nome e autore di una monumentale </w:t>
      </w:r>
      <w:r w:rsidRPr="004C4E57">
        <w:rPr>
          <w:i/>
          <w:sz w:val="28"/>
          <w:szCs w:val="20"/>
        </w:rPr>
        <w:t>Storia giuridica degli stati tedeschi e del loro diritto</w:t>
      </w:r>
      <w:r w:rsidRPr="004C4E57">
        <w:rPr>
          <w:sz w:val="28"/>
          <w:szCs w:val="20"/>
        </w:rPr>
        <w:t xml:space="preserve"> - </w:t>
      </w:r>
      <w:r w:rsidRPr="004C4E57">
        <w:rPr>
          <w:rFonts w:cs="Helvetica-Oblique"/>
          <w:i/>
          <w:iCs/>
          <w:sz w:val="28"/>
          <w:szCs w:val="26"/>
          <w:lang w:bidi="it-IT"/>
        </w:rPr>
        <w:t>Deutsche Staats und Rechtsgeschichte</w:t>
      </w:r>
      <w:r w:rsidRPr="004C4E57">
        <w:rPr>
          <w:rFonts w:cs="Helvetica"/>
          <w:sz w:val="28"/>
          <w:szCs w:val="26"/>
          <w:lang w:bidi="it-IT"/>
        </w:rPr>
        <w:t xml:space="preserve"> (Göttingen 1808-1823, 5^ ed. 1843-1844) - che a tal proposito osservava</w:t>
      </w:r>
      <w:r w:rsidRPr="004C4E57">
        <w:rPr>
          <w:sz w:val="28"/>
          <w:szCs w:val="20"/>
        </w:rPr>
        <w:t xml:space="preserve">: “…in Frisia si può constatare l'esistenza di basi giuridiche </w:t>
      </w:r>
      <w:r w:rsidRPr="004C4E57">
        <w:rPr>
          <w:sz w:val="28"/>
          <w:szCs w:val="20"/>
        </w:rPr>
        <w:lastRenderedPageBreak/>
        <w:t>essenzialmente differenti da quelle in vigore nel resto della Germania. I principi di sovranità romana non sono penetrati ovunque.</w:t>
      </w:r>
    </w:p>
    <w:p w:rsidR="00D34104" w:rsidRPr="004C4E57" w:rsidRDefault="00D34104" w:rsidP="00D34104">
      <w:pPr>
        <w:ind w:left="284" w:right="276" w:firstLine="425"/>
        <w:jc w:val="both"/>
        <w:rPr>
          <w:sz w:val="28"/>
          <w:szCs w:val="20"/>
        </w:rPr>
      </w:pPr>
      <w:r w:rsidRPr="004C4E57">
        <w:rPr>
          <w:sz w:val="28"/>
          <w:szCs w:val="20"/>
        </w:rPr>
        <w:t>Tra i frisoni sfuggiti a questa sovranità, l’antica costituzione fondata sulle comunità popolari, rimase in vigore per tutto il periodo che va dall'888 al 1272.</w:t>
      </w:r>
    </w:p>
    <w:p w:rsidR="00D34104" w:rsidRPr="004C4E57" w:rsidRDefault="00D34104" w:rsidP="00D34104">
      <w:pPr>
        <w:ind w:left="284" w:right="276" w:firstLine="425"/>
        <w:jc w:val="both"/>
        <w:rPr>
          <w:sz w:val="28"/>
          <w:szCs w:val="20"/>
        </w:rPr>
      </w:pPr>
      <w:r w:rsidRPr="004C4E57">
        <w:rPr>
          <w:sz w:val="28"/>
          <w:szCs w:val="20"/>
        </w:rPr>
        <w:t xml:space="preserve">Queste comunità popolari formavano </w:t>
      </w:r>
      <w:r w:rsidRPr="004C4E57">
        <w:rPr>
          <w:i/>
          <w:sz w:val="28"/>
          <w:szCs w:val="20"/>
        </w:rPr>
        <w:t>sette province</w:t>
      </w:r>
      <w:r w:rsidRPr="004C4E57">
        <w:rPr>
          <w:sz w:val="28"/>
          <w:szCs w:val="20"/>
        </w:rPr>
        <w:t xml:space="preserve"> o </w:t>
      </w:r>
      <w:r w:rsidRPr="004C4E57">
        <w:rPr>
          <w:i/>
          <w:sz w:val="28"/>
          <w:szCs w:val="20"/>
        </w:rPr>
        <w:t>distretti</w:t>
      </w:r>
      <w:r w:rsidRPr="004C4E57">
        <w:rPr>
          <w:sz w:val="28"/>
          <w:szCs w:val="20"/>
        </w:rPr>
        <w:t>...che subirono dei danni considerevoli e numerosi attacchi per aver voluto salvaguardare la loro libertà…”.</w:t>
      </w:r>
    </w:p>
    <w:p w:rsidR="00D34104" w:rsidRPr="004C4E57" w:rsidRDefault="00D34104" w:rsidP="00D34104">
      <w:pPr>
        <w:ind w:left="284" w:right="276" w:firstLine="425"/>
        <w:jc w:val="both"/>
        <w:rPr>
          <w:sz w:val="28"/>
        </w:rPr>
      </w:pPr>
      <w:r w:rsidRPr="004C4E57">
        <w:rPr>
          <w:sz w:val="28"/>
        </w:rPr>
        <w:t xml:space="preserve">I sette nani di Biancaneve simboleggerebbero dunque proprio i sette distretti della Frisia in cui vigevano ancora, nonostante Carlo Magno, gli antichi testi delle leggi degli avi. </w:t>
      </w:r>
    </w:p>
    <w:p w:rsidR="00D34104" w:rsidRPr="004C4E57" w:rsidRDefault="00D34104" w:rsidP="00D34104">
      <w:pPr>
        <w:ind w:left="284" w:right="276" w:firstLine="425"/>
        <w:jc w:val="both"/>
        <w:rPr>
          <w:sz w:val="28"/>
        </w:rPr>
      </w:pPr>
      <w:r w:rsidRPr="004C4E57">
        <w:rPr>
          <w:sz w:val="28"/>
        </w:rPr>
        <w:t>E’ naturale che la piccola principessa cercasse rifugio presso di loro per sfuggire alle persecuzioni della nuova regina che rappresentava allo stesso tempo sia il Cristianesimo che il diritto romano e canonico, che tanto stavano vessando, almeno da un punto di vista etno-antropologico, quelle fiere popolazioni indigene.</w:t>
      </w:r>
    </w:p>
    <w:p w:rsidR="00D34104" w:rsidRPr="004C4E57" w:rsidRDefault="00D34104" w:rsidP="00D34104">
      <w:pPr>
        <w:ind w:left="284" w:right="276" w:firstLine="425"/>
        <w:jc w:val="both"/>
        <w:rPr>
          <w:sz w:val="28"/>
        </w:rPr>
      </w:pPr>
      <w:r w:rsidRPr="004C4E57">
        <w:rPr>
          <w:sz w:val="28"/>
        </w:rPr>
        <w:t>Oltre l’aspetto narratologico ma forse proprio grazie ad esso, la fiaba di Biancaneve funge da vero e proprio contenitore di messaggi storico-giuridici ben precisi, quasi subliminali ma non per questo meno rimarchevoli.</w:t>
      </w:r>
    </w:p>
    <w:p w:rsidR="00D34104" w:rsidRPr="00093C3F" w:rsidRDefault="00D34104" w:rsidP="00D34104">
      <w:pPr>
        <w:ind w:left="284" w:right="276" w:firstLine="425"/>
        <w:jc w:val="both"/>
        <w:rPr>
          <w:sz w:val="28"/>
        </w:rPr>
      </w:pPr>
      <w:r w:rsidRPr="004C4E57">
        <w:rPr>
          <w:sz w:val="28"/>
        </w:rPr>
        <w:t xml:space="preserve">L’interesse per la storia, che raccontata dalla suadente </w:t>
      </w:r>
      <w:r w:rsidRPr="00093C3F">
        <w:rPr>
          <w:sz w:val="28"/>
        </w:rPr>
        <w:t>voce di mamma o papà ha fatto addormentare milioni di bimbi, cresce di livello e si colloca a pieno diritto in un’area privilegiata di doveroso approfondimento intertestuale.</w:t>
      </w:r>
    </w:p>
    <w:p w:rsidR="00D34104" w:rsidRPr="00093C3F" w:rsidRDefault="00D34104" w:rsidP="00D34104">
      <w:pPr>
        <w:ind w:left="284" w:right="276" w:firstLine="425"/>
        <w:jc w:val="both"/>
        <w:rPr>
          <w:sz w:val="28"/>
        </w:rPr>
      </w:pPr>
      <w:r w:rsidRPr="00093C3F">
        <w:rPr>
          <w:sz w:val="28"/>
        </w:rPr>
        <w:t>Ancora più diretti sono i riferimenti giuridici di un’altra famossissima fiaba tramandata dai fratelli Grimm.</w:t>
      </w:r>
    </w:p>
    <w:p w:rsidR="00D34104" w:rsidRPr="00093C3F" w:rsidRDefault="00D34104" w:rsidP="00D34104">
      <w:pPr>
        <w:ind w:left="284" w:right="276" w:firstLine="425"/>
        <w:jc w:val="both"/>
        <w:rPr>
          <w:sz w:val="28"/>
        </w:rPr>
      </w:pPr>
      <w:r w:rsidRPr="00093C3F">
        <w:rPr>
          <w:sz w:val="28"/>
        </w:rPr>
        <w:t>Anche in questo caso l’interesse dei giuristi di professione non ha tardato ad accorgersene.</w:t>
      </w:r>
    </w:p>
    <w:p w:rsidR="00D34104" w:rsidRPr="00093C3F" w:rsidRDefault="00D34104" w:rsidP="00D34104">
      <w:pPr>
        <w:ind w:left="284" w:right="276" w:firstLine="425"/>
        <w:jc w:val="both"/>
        <w:rPr>
          <w:rFonts w:cs="Arial-BoldMT"/>
          <w:bCs/>
          <w:color w:val="222222"/>
          <w:sz w:val="28"/>
          <w:szCs w:val="26"/>
          <w:lang w:bidi="it-IT"/>
        </w:rPr>
      </w:pPr>
      <w:r w:rsidRPr="00093C3F">
        <w:rPr>
          <w:sz w:val="28"/>
        </w:rPr>
        <w:t xml:space="preserve">Si parla della storia del </w:t>
      </w:r>
      <w:r w:rsidRPr="00093C3F">
        <w:rPr>
          <w:i/>
          <w:sz w:val="28"/>
        </w:rPr>
        <w:t>Pifferaio di Hamelin</w:t>
      </w:r>
      <w:r w:rsidRPr="00093C3F">
        <w:rPr>
          <w:rFonts w:cs="Arial-BoldMT"/>
          <w:bCs/>
          <w:color w:val="222222"/>
          <w:sz w:val="28"/>
          <w:szCs w:val="26"/>
          <w:lang w:bidi="it-IT"/>
        </w:rPr>
        <w:t xml:space="preserve">, nota anche come la fiaba del </w:t>
      </w:r>
      <w:r w:rsidRPr="00093C3F">
        <w:rPr>
          <w:rFonts w:cs="Arial-BoldMT"/>
          <w:bCs/>
          <w:i/>
          <w:color w:val="222222"/>
          <w:sz w:val="28"/>
          <w:szCs w:val="26"/>
          <w:lang w:bidi="it-IT"/>
        </w:rPr>
        <w:t>Pifferaio magico</w:t>
      </w:r>
      <w:r w:rsidRPr="00093C3F">
        <w:rPr>
          <w:rFonts w:cs="Arial-BoldMT"/>
          <w:bCs/>
          <w:color w:val="222222"/>
          <w:sz w:val="28"/>
          <w:szCs w:val="26"/>
          <w:lang w:bidi="it-IT"/>
        </w:rPr>
        <w:t>.</w:t>
      </w:r>
    </w:p>
    <w:p w:rsidR="00D34104" w:rsidRPr="00093C3F" w:rsidRDefault="00D34104" w:rsidP="00D34104">
      <w:pPr>
        <w:ind w:left="284" w:right="276" w:firstLine="425"/>
        <w:jc w:val="both"/>
        <w:rPr>
          <w:rFonts w:eastAsia="AppleGothic"/>
          <w:sz w:val="28"/>
          <w:lang w:eastAsia="ko-KR"/>
        </w:rPr>
      </w:pPr>
      <w:r w:rsidRPr="00093C3F">
        <w:rPr>
          <w:rFonts w:eastAsia="AppleGothic"/>
          <w:sz w:val="28"/>
          <w:lang w:eastAsia="ko-KR"/>
        </w:rPr>
        <w:t xml:space="preserve">Studiata dai due fratelli, essa è stata inserita nella compilazione dedicata a </w:t>
      </w:r>
      <w:r w:rsidRPr="00093C3F">
        <w:rPr>
          <w:rFonts w:eastAsia="AppleGothic"/>
          <w:i/>
          <w:sz w:val="28"/>
          <w:lang w:eastAsia="ko-KR"/>
        </w:rPr>
        <w:t>Le saghe germaniche</w:t>
      </w:r>
      <w:r w:rsidRPr="00093C3F">
        <w:rPr>
          <w:rFonts w:eastAsia="AppleGothic"/>
          <w:sz w:val="28"/>
          <w:lang w:eastAsia="ko-KR"/>
        </w:rPr>
        <w:t xml:space="preserve"> (</w:t>
      </w:r>
      <w:r w:rsidRPr="00093C3F">
        <w:rPr>
          <w:rFonts w:eastAsia="AppleGothic"/>
          <w:i/>
          <w:sz w:val="28"/>
          <w:lang w:eastAsia="ko-KR"/>
        </w:rPr>
        <w:t>Deutsche Sagen</w:t>
      </w:r>
      <w:r w:rsidRPr="00093C3F">
        <w:rPr>
          <w:rFonts w:eastAsia="AppleGothic"/>
          <w:sz w:val="28"/>
          <w:lang w:eastAsia="ko-KR"/>
        </w:rPr>
        <w:t>) del 1816-18.</w:t>
      </w:r>
    </w:p>
    <w:p w:rsidR="00D34104" w:rsidRPr="00A5732C" w:rsidRDefault="00D34104" w:rsidP="00D34104">
      <w:pPr>
        <w:ind w:left="284" w:right="276" w:firstLine="425"/>
        <w:jc w:val="both"/>
        <w:rPr>
          <w:rFonts w:eastAsia="AppleGothic"/>
          <w:sz w:val="28"/>
          <w:lang w:eastAsia="ko-KR"/>
        </w:rPr>
      </w:pPr>
      <w:r w:rsidRPr="00093C3F">
        <w:rPr>
          <w:rFonts w:eastAsia="AppleGothic"/>
          <w:sz w:val="28"/>
          <w:lang w:eastAsia="ko-KR"/>
        </w:rPr>
        <w:t>La trama è conosciuta; ad Hamelin (oggi Hameln), città</w:t>
      </w:r>
      <w:r w:rsidRPr="00A5732C">
        <w:rPr>
          <w:rFonts w:eastAsia="AppleGothic"/>
          <w:sz w:val="28"/>
          <w:lang w:eastAsia="ko-KR"/>
        </w:rPr>
        <w:t xml:space="preserve"> della Bassa Sassonia nella regione di Brunswick, alla fine del XIII secolo, un’invasione di grossi ratti aveva reso agli abitanti la vita impossibile, molestando tutti fin dentro casa e, soprattutto, divorando tutte le provviste alimentari del paese</w:t>
      </w:r>
      <w:r w:rsidRPr="00A5732C">
        <w:rPr>
          <w:rStyle w:val="Rimandonotaapidipagina"/>
          <w:rFonts w:eastAsia="AppleGothic"/>
          <w:sz w:val="28"/>
          <w:lang w:eastAsia="ko-KR"/>
        </w:rPr>
        <w:footnoteReference w:id="57"/>
      </w:r>
      <w:r w:rsidRPr="00A5732C">
        <w:rPr>
          <w:rFonts w:eastAsia="AppleGothic"/>
          <w:sz w:val="28"/>
          <w:lang w:eastAsia="ko-KR"/>
        </w:rPr>
        <w:t xml:space="preserve">. </w:t>
      </w:r>
    </w:p>
    <w:p w:rsidR="00D34104" w:rsidRPr="00A5732C" w:rsidRDefault="00D34104" w:rsidP="00D34104">
      <w:pPr>
        <w:ind w:left="284" w:right="276" w:firstLine="425"/>
        <w:jc w:val="both"/>
        <w:rPr>
          <w:rFonts w:eastAsia="AppleGothic"/>
          <w:sz w:val="28"/>
          <w:lang w:eastAsia="ko-KR"/>
        </w:rPr>
      </w:pPr>
      <w:r w:rsidRPr="00A5732C">
        <w:rPr>
          <w:rFonts w:eastAsia="AppleGothic"/>
          <w:sz w:val="28"/>
          <w:lang w:eastAsia="ko-KR"/>
        </w:rPr>
        <w:t>Il Borgomastro, correndo ai ripari con i suoi fidi consiglieri, aveva stipulato un patto con uno strano figuro a metà tra il mago ed il pagliaccio.</w:t>
      </w:r>
    </w:p>
    <w:p w:rsidR="00D34104" w:rsidRPr="00A5732C" w:rsidRDefault="00D34104" w:rsidP="00D34104">
      <w:pPr>
        <w:ind w:left="284" w:right="276" w:firstLine="425"/>
        <w:jc w:val="both"/>
        <w:rPr>
          <w:rFonts w:eastAsia="AppleGothic"/>
          <w:sz w:val="28"/>
          <w:lang w:eastAsia="ko-KR"/>
        </w:rPr>
      </w:pPr>
      <w:r w:rsidRPr="00A5732C">
        <w:rPr>
          <w:rFonts w:eastAsia="AppleGothic"/>
          <w:sz w:val="28"/>
          <w:lang w:eastAsia="ko-KR"/>
        </w:rPr>
        <w:t xml:space="preserve">Costui, in cambio di un lauto compenso, avrebbe </w:t>
      </w:r>
      <w:r w:rsidRPr="00093C3F">
        <w:rPr>
          <w:rFonts w:eastAsia="AppleGothic"/>
          <w:i/>
          <w:sz w:val="28"/>
          <w:lang w:eastAsia="ko-KR"/>
        </w:rPr>
        <w:t>incantato</w:t>
      </w:r>
      <w:r w:rsidRPr="00A5732C">
        <w:rPr>
          <w:rFonts w:eastAsia="AppleGothic"/>
          <w:sz w:val="28"/>
          <w:lang w:eastAsia="ko-KR"/>
        </w:rPr>
        <w:t xml:space="preserve"> i topi col proprio flauto, facendoli tutti morire nel fiume Weser che scorreva poco fuori città. </w:t>
      </w:r>
    </w:p>
    <w:p w:rsidR="00D34104" w:rsidRPr="00A5732C" w:rsidRDefault="00D34104" w:rsidP="00D34104">
      <w:pPr>
        <w:ind w:left="284" w:right="276" w:firstLine="425"/>
        <w:jc w:val="both"/>
        <w:rPr>
          <w:rFonts w:eastAsia="AppleGothic"/>
          <w:sz w:val="28"/>
          <w:lang w:eastAsia="ko-KR"/>
        </w:rPr>
      </w:pPr>
      <w:r w:rsidRPr="00A5732C">
        <w:rPr>
          <w:rFonts w:eastAsia="AppleGothic"/>
          <w:sz w:val="28"/>
          <w:lang w:eastAsia="ko-KR"/>
        </w:rPr>
        <w:t xml:space="preserve">L’abile pifferaio era stato di parola ed aveva portato a termine l’impegno preso, liberando la città dai dannosi roditori. </w:t>
      </w:r>
    </w:p>
    <w:p w:rsidR="00D34104" w:rsidRPr="00A5732C" w:rsidRDefault="00D34104" w:rsidP="00D34104">
      <w:pPr>
        <w:ind w:left="284" w:right="276" w:firstLine="425"/>
        <w:jc w:val="both"/>
        <w:rPr>
          <w:rFonts w:eastAsia="AppleGothic"/>
          <w:sz w:val="28"/>
          <w:lang w:eastAsia="ko-KR"/>
        </w:rPr>
      </w:pPr>
      <w:r w:rsidRPr="00A5732C">
        <w:rPr>
          <w:rFonts w:eastAsia="AppleGothic"/>
          <w:sz w:val="28"/>
          <w:lang w:eastAsia="ko-KR"/>
        </w:rPr>
        <w:t>Non così le autorità di Hamelin che, scampato il pericolo, ringalluzzite avevano pretestuosamente negato al mago il compenso pattuito.</w:t>
      </w:r>
    </w:p>
    <w:p w:rsidR="00D34104" w:rsidRPr="00A5732C" w:rsidRDefault="00D34104" w:rsidP="00D34104">
      <w:pPr>
        <w:ind w:left="284" w:right="276" w:firstLine="425"/>
        <w:jc w:val="both"/>
        <w:rPr>
          <w:sz w:val="28"/>
        </w:rPr>
      </w:pPr>
      <w:r w:rsidRPr="00A5732C">
        <w:rPr>
          <w:sz w:val="28"/>
        </w:rPr>
        <w:lastRenderedPageBreak/>
        <w:t xml:space="preserve">Questi, per vendetta, aveva ripreso a suonare, approfittando del fatto che tutta la cittadinanza adulta del borgo era in chiesa per ringraziare il Signore. </w:t>
      </w:r>
    </w:p>
    <w:p w:rsidR="00D34104" w:rsidRPr="00A5732C" w:rsidRDefault="00D34104" w:rsidP="00D34104">
      <w:pPr>
        <w:ind w:left="284" w:right="276" w:firstLine="425"/>
        <w:jc w:val="both"/>
        <w:rPr>
          <w:sz w:val="28"/>
        </w:rPr>
      </w:pPr>
      <w:r w:rsidRPr="00A5732C">
        <w:rPr>
          <w:sz w:val="28"/>
        </w:rPr>
        <w:t xml:space="preserve">Questa volta però le suadenti melodie del magico strumento avevano attirato dietro di sé tutti i bambini della città. </w:t>
      </w:r>
    </w:p>
    <w:p w:rsidR="00D34104" w:rsidRPr="00A5732C" w:rsidRDefault="00D34104" w:rsidP="00D34104">
      <w:pPr>
        <w:ind w:left="284" w:right="276" w:firstLine="425"/>
        <w:jc w:val="both"/>
        <w:rPr>
          <w:sz w:val="28"/>
        </w:rPr>
      </w:pPr>
      <w:r w:rsidRPr="00A5732C">
        <w:rPr>
          <w:sz w:val="28"/>
        </w:rPr>
        <w:t xml:space="preserve">Centotrenta piccini di Hamelin, cioè tutti i bambini della zona ad eccezione di un paio di bambini che attardatisi non avevano potuto tenergli dietro, avevano seguito il pifferaio magico in campagna fino al monte Koppelberg e, rinchiusi dal dissennato flautista in una buia caverna, di essi si era persa per sempre ogni traccia. </w:t>
      </w:r>
    </w:p>
    <w:p w:rsidR="00D34104" w:rsidRPr="00A5732C" w:rsidRDefault="00D34104" w:rsidP="00D34104">
      <w:pPr>
        <w:ind w:left="284" w:right="276" w:firstLine="425"/>
        <w:jc w:val="both"/>
        <w:rPr>
          <w:sz w:val="28"/>
        </w:rPr>
      </w:pPr>
      <w:r w:rsidRPr="00A5732C">
        <w:rPr>
          <w:sz w:val="28"/>
        </w:rPr>
        <w:t xml:space="preserve">L’intero contesto della saga del </w:t>
      </w:r>
      <w:r w:rsidRPr="004B274C">
        <w:rPr>
          <w:i/>
          <w:sz w:val="28"/>
        </w:rPr>
        <w:t>Pifferaio magico</w:t>
      </w:r>
      <w:r w:rsidRPr="00A5732C">
        <w:rPr>
          <w:sz w:val="28"/>
        </w:rPr>
        <w:t xml:space="preserve"> è improntato ad una preciso modulo espositivo di carattere giusprivatistico, chiaramente ostentato come filo conduttore della narrazione.</w:t>
      </w:r>
    </w:p>
    <w:p w:rsidR="00D34104" w:rsidRPr="00A5732C" w:rsidRDefault="00D34104" w:rsidP="00D34104">
      <w:pPr>
        <w:ind w:left="284" w:right="276" w:firstLine="425"/>
        <w:jc w:val="both"/>
        <w:rPr>
          <w:sz w:val="28"/>
        </w:rPr>
      </w:pPr>
      <w:r w:rsidRPr="00A5732C">
        <w:rPr>
          <w:sz w:val="28"/>
        </w:rPr>
        <w:t>Quando lo stravagante personaggio si presenta in Municipio per offrire i propri servigi, gli autorevoli membri di quel consesso comunale, intavolano una vera e propria trattativa negoziale e solo dopo aver concordato il prezzo da pagargli in caso di successo, licenziano il mago intimandogli per di più di iniziare al più presto a liberarli dai malefici sorci.</w:t>
      </w:r>
    </w:p>
    <w:p w:rsidR="00D34104" w:rsidRPr="00A5732C" w:rsidRDefault="00D34104" w:rsidP="00D34104">
      <w:pPr>
        <w:ind w:left="284" w:right="276" w:firstLine="425"/>
        <w:jc w:val="both"/>
        <w:rPr>
          <w:sz w:val="28"/>
        </w:rPr>
      </w:pPr>
      <w:r w:rsidRPr="00A5732C">
        <w:rPr>
          <w:sz w:val="28"/>
        </w:rPr>
        <w:t>Quando poi il pifferaio, dopo avere felicemente adempiuta la propria prestazione, si presenta a riscuotere il compenso regolarmente concordato, i consiglieri giuridici del Borgomastro nicchiano ed accampando le argomentazioni più stravaganti.</w:t>
      </w:r>
    </w:p>
    <w:p w:rsidR="00D34104" w:rsidRPr="00A5732C" w:rsidRDefault="00D34104" w:rsidP="00D34104">
      <w:pPr>
        <w:ind w:left="284" w:right="276" w:firstLine="425"/>
        <w:jc w:val="both"/>
        <w:rPr>
          <w:sz w:val="28"/>
        </w:rPr>
      </w:pPr>
    </w:p>
    <w:p w:rsidR="00D34104" w:rsidRPr="004B274C" w:rsidRDefault="00D34104" w:rsidP="00D34104">
      <w:pPr>
        <w:ind w:left="1134" w:right="1694"/>
        <w:jc w:val="both"/>
      </w:pPr>
      <w:r w:rsidRPr="004B274C">
        <w:t>Se pagassimo quello che avete chiesto, le casse pubbliche rimarrebbero quasi vuote - disse uno.</w:t>
      </w:r>
    </w:p>
    <w:p w:rsidR="00D34104" w:rsidRPr="004B274C" w:rsidRDefault="00D34104" w:rsidP="00D34104">
      <w:pPr>
        <w:ind w:left="1134" w:right="1694"/>
        <w:jc w:val="both"/>
      </w:pPr>
      <w:r w:rsidRPr="004B274C">
        <w:t>Sicuro - aggiunse un altro; - non potete pretendere un prezzo così alto per un lavoro che vi ha richiesto così poco tempo, non vi pare?</w:t>
      </w:r>
    </w:p>
    <w:p w:rsidR="00D34104" w:rsidRPr="004B274C" w:rsidRDefault="00D34104" w:rsidP="00D34104">
      <w:pPr>
        <w:ind w:left="1134" w:right="1694"/>
        <w:jc w:val="both"/>
      </w:pPr>
      <w:r w:rsidRPr="004B274C">
        <w:t xml:space="preserve">Se il Weser non fosse stato così vicino e a portata di mano, cosa avreste fatto? - domandò un terzo. - E’ stato il fiume a fare la metà del vostro lavoro. Vi dobbiamo quindi solo la metà del prezzo… </w:t>
      </w:r>
    </w:p>
    <w:p w:rsidR="00D34104" w:rsidRPr="004B274C" w:rsidRDefault="00D34104" w:rsidP="00D34104">
      <w:pPr>
        <w:ind w:left="1134" w:right="1694"/>
        <w:jc w:val="both"/>
      </w:pPr>
      <w:r w:rsidRPr="004B274C">
        <w:t>E continuarono di questo passo fino a fare incollerire del tutto il cacciatore di topi che, esasperato, rifiutò ogni mercede, abbandonando la sala del Borgomastro e mettendo in pratica, di lì a poco la propria terribile vendetta.</w:t>
      </w:r>
    </w:p>
    <w:p w:rsidR="00D34104" w:rsidRPr="00A5732C" w:rsidRDefault="00D34104" w:rsidP="00D34104">
      <w:pPr>
        <w:ind w:right="276"/>
        <w:jc w:val="both"/>
        <w:rPr>
          <w:sz w:val="28"/>
        </w:rPr>
      </w:pPr>
    </w:p>
    <w:p w:rsidR="00D34104" w:rsidRPr="00A5732C" w:rsidRDefault="00D34104" w:rsidP="00D34104">
      <w:pPr>
        <w:ind w:left="284" w:right="276" w:firstLine="425"/>
        <w:jc w:val="both"/>
        <w:rPr>
          <w:sz w:val="28"/>
        </w:rPr>
      </w:pPr>
      <w:r w:rsidRPr="00A5732C">
        <w:rPr>
          <w:sz w:val="28"/>
        </w:rPr>
        <w:t xml:space="preserve">Quale sia il motivo giuridico del racconto è abbastanza evidente. </w:t>
      </w:r>
    </w:p>
    <w:p w:rsidR="00D34104" w:rsidRPr="00FB59D4" w:rsidRDefault="00D34104" w:rsidP="00D34104">
      <w:pPr>
        <w:ind w:left="284" w:right="276" w:firstLine="425"/>
        <w:jc w:val="both"/>
        <w:rPr>
          <w:sz w:val="28"/>
        </w:rPr>
      </w:pPr>
      <w:r w:rsidRPr="00A5732C">
        <w:rPr>
          <w:sz w:val="28"/>
        </w:rPr>
        <w:t>Esso risiede nella necessità assoluta del rispetto degli impegni negoziali presi, cosa molto avvertita nella società mercantile della Sassonia medievale, assai fiorente in quanto basata sui traffici commerciali, il cui decremento per l’eventuale scarso affidamento nelle promesse contrattuali dei propri mercanti, avrebbe</w:t>
      </w:r>
      <w:r w:rsidRPr="00FB59D4">
        <w:rPr>
          <w:sz w:val="28"/>
        </w:rPr>
        <w:t xml:space="preserve"> impoverito irrimediabilmente tutta la regione</w:t>
      </w:r>
      <w:r w:rsidRPr="00FB59D4">
        <w:rPr>
          <w:rStyle w:val="Rimandonotaapidipagina"/>
          <w:sz w:val="28"/>
        </w:rPr>
        <w:footnoteReference w:id="58"/>
      </w:r>
      <w:r w:rsidRPr="00FB59D4">
        <w:rPr>
          <w:sz w:val="28"/>
        </w:rPr>
        <w:t>.</w:t>
      </w:r>
    </w:p>
    <w:p w:rsidR="00D34104" w:rsidRPr="00FB59D4" w:rsidRDefault="00D34104" w:rsidP="00D34104">
      <w:pPr>
        <w:ind w:left="284" w:right="276" w:firstLine="425"/>
        <w:jc w:val="both"/>
        <w:rPr>
          <w:sz w:val="28"/>
        </w:rPr>
      </w:pPr>
      <w:r w:rsidRPr="00FB59D4">
        <w:rPr>
          <w:sz w:val="28"/>
        </w:rPr>
        <w:lastRenderedPageBreak/>
        <w:t xml:space="preserve">Si tratta di un esempio davvero significativo di scambio di codici culturali eterogenei o apparentemente tali, funzionale alla circolazione di un messaggio -  quello del </w:t>
      </w:r>
      <w:r w:rsidRPr="00FB59D4">
        <w:rPr>
          <w:i/>
          <w:sz w:val="28"/>
        </w:rPr>
        <w:t>ristoro</w:t>
      </w:r>
      <w:r w:rsidRPr="00FB59D4">
        <w:rPr>
          <w:sz w:val="28"/>
        </w:rPr>
        <w:t xml:space="preserve"> dei valori sociali, giuridici ed etici - caratteristico dei canoni assiologici tipici della cultura fiabica di tradizione orale.</w:t>
      </w:r>
    </w:p>
    <w:p w:rsidR="00D34104" w:rsidRPr="00FB59D4" w:rsidRDefault="00D34104" w:rsidP="00D34104">
      <w:pPr>
        <w:ind w:left="284" w:right="276" w:firstLine="425"/>
        <w:jc w:val="both"/>
        <w:rPr>
          <w:sz w:val="28"/>
        </w:rPr>
      </w:pPr>
      <w:r w:rsidRPr="00FB59D4">
        <w:rPr>
          <w:sz w:val="28"/>
        </w:rPr>
        <w:t xml:space="preserve">Ancora memore dei codici comportamentali delle antichissime saghe nordiche, l’incantatore raggirato neanche per un momento pensa di praticare l’opzione compensativa che il ricorso alla Giustizia degli uomini potrebbe forse garantirgli sotto forma di risarcimento. </w:t>
      </w:r>
    </w:p>
    <w:p w:rsidR="00D34104" w:rsidRPr="00FB59D4" w:rsidRDefault="00D34104" w:rsidP="00D34104">
      <w:pPr>
        <w:ind w:left="284" w:right="276" w:firstLine="425"/>
        <w:jc w:val="both"/>
        <w:rPr>
          <w:sz w:val="28"/>
        </w:rPr>
      </w:pPr>
      <w:r w:rsidRPr="00FB59D4">
        <w:rPr>
          <w:sz w:val="28"/>
        </w:rPr>
        <w:t xml:space="preserve">Piuttosto, per rientrare del proprio credito, per saldare il conto in sospeso, egli preferisce usufruire dell’antigiustizia antropologica che gli garantisce l’indennizzo per mezzo della </w:t>
      </w:r>
      <w:r w:rsidRPr="00FB59D4">
        <w:rPr>
          <w:i/>
          <w:sz w:val="28"/>
        </w:rPr>
        <w:t>vendetta</w:t>
      </w:r>
      <w:r w:rsidRPr="00FB59D4">
        <w:rPr>
          <w:sz w:val="28"/>
        </w:rPr>
        <w:t>, sotto forma dell’apprensione della vita stessa, in questo caso, di quasi tutti i bimbi della città.</w:t>
      </w:r>
    </w:p>
    <w:p w:rsidR="00D34104" w:rsidRPr="00FB59D4" w:rsidRDefault="00D34104" w:rsidP="00D34104">
      <w:pPr>
        <w:ind w:left="284" w:right="276" w:firstLine="425"/>
        <w:jc w:val="both"/>
        <w:rPr>
          <w:sz w:val="28"/>
        </w:rPr>
      </w:pPr>
      <w:r w:rsidRPr="00FB59D4">
        <w:rPr>
          <w:sz w:val="28"/>
        </w:rPr>
        <w:t>Questa terribile pena, in fondo, è ben dovuta ai signorotti di Hamelin che non hanno saputo calcolare bene il peso ed il valore del torto arrecato al contraente diligente, e hanno deliberatamente calpestato la loro stessa cultura fondativa, quella dello scambio mercantile fisiologico.</w:t>
      </w:r>
    </w:p>
    <w:p w:rsidR="00D34104" w:rsidRPr="00FB59D4" w:rsidRDefault="00D34104" w:rsidP="00D34104">
      <w:pPr>
        <w:ind w:left="284" w:right="276" w:firstLine="425"/>
        <w:jc w:val="both"/>
        <w:rPr>
          <w:sz w:val="28"/>
        </w:rPr>
      </w:pPr>
      <w:r w:rsidRPr="00FB59D4">
        <w:rPr>
          <w:sz w:val="28"/>
        </w:rPr>
        <w:t xml:space="preserve">Nel contempo, nella saga del Pifferaio di Hamelin è molto viva e adeguatamente tratteggiata la cifra spirituale, del tutto denotativa della sensibilità legata ai diritti territoriali antichi del centro Europa, della </w:t>
      </w:r>
      <w:r w:rsidRPr="00FB59D4">
        <w:rPr>
          <w:i/>
          <w:sz w:val="28"/>
        </w:rPr>
        <w:t>Comunità</w:t>
      </w:r>
      <w:r w:rsidRPr="00FB59D4">
        <w:rPr>
          <w:sz w:val="28"/>
        </w:rPr>
        <w:t xml:space="preserve"> (</w:t>
      </w:r>
      <w:r w:rsidRPr="00FB59D4">
        <w:rPr>
          <w:i/>
          <w:sz w:val="28"/>
        </w:rPr>
        <w:t>Gemeinschaft</w:t>
      </w:r>
      <w:r w:rsidRPr="00FB59D4">
        <w:rPr>
          <w:sz w:val="28"/>
        </w:rPr>
        <w:t>) dei simili, del gruppo degli eguali, della massa di chi condivide inevitabilmente lo stesso destino, nel bene e nel male.</w:t>
      </w:r>
    </w:p>
    <w:p w:rsidR="00D34104" w:rsidRPr="00FB59D4" w:rsidRDefault="00D34104" w:rsidP="00D34104">
      <w:pPr>
        <w:ind w:left="284" w:right="276" w:firstLine="425"/>
        <w:jc w:val="both"/>
        <w:rPr>
          <w:sz w:val="28"/>
        </w:rPr>
      </w:pPr>
      <w:r w:rsidRPr="00FB59D4">
        <w:rPr>
          <w:sz w:val="28"/>
        </w:rPr>
        <w:t xml:space="preserve">I ratti hanno invaso </w:t>
      </w:r>
      <w:r w:rsidRPr="00FB59D4">
        <w:rPr>
          <w:i/>
          <w:sz w:val="28"/>
        </w:rPr>
        <w:t>tutta la città</w:t>
      </w:r>
      <w:r w:rsidRPr="00FB59D4">
        <w:rPr>
          <w:sz w:val="28"/>
        </w:rPr>
        <w:t xml:space="preserve"> e tutta la città soffre, </w:t>
      </w:r>
      <w:r w:rsidRPr="00FB59D4">
        <w:rPr>
          <w:i/>
          <w:sz w:val="28"/>
        </w:rPr>
        <w:t>tutti gli adulti</w:t>
      </w:r>
      <w:r w:rsidRPr="00FB59D4">
        <w:rPr>
          <w:sz w:val="28"/>
        </w:rPr>
        <w:t xml:space="preserve"> sono d’accordo nel non pagare il compenso pattuito a cose fatte e </w:t>
      </w:r>
      <w:r w:rsidRPr="00FB59D4">
        <w:rPr>
          <w:i/>
          <w:sz w:val="28"/>
        </w:rPr>
        <w:t>tutti i bambini</w:t>
      </w:r>
      <w:r w:rsidRPr="00FB59D4">
        <w:rPr>
          <w:sz w:val="28"/>
        </w:rPr>
        <w:t xml:space="preserve"> pagano l’alto prezzo di questo inadempimento, che depriva quel borgo medievale di </w:t>
      </w:r>
      <w:r w:rsidRPr="00135CBE">
        <w:rPr>
          <w:i/>
          <w:sz w:val="28"/>
        </w:rPr>
        <w:t>tutte le proprie energie</w:t>
      </w:r>
      <w:r w:rsidRPr="00FB59D4">
        <w:rPr>
          <w:sz w:val="28"/>
        </w:rPr>
        <w:t xml:space="preserve"> futuribili, svuotandolo del senso di appartenenza e di cittadinanza.</w:t>
      </w:r>
    </w:p>
    <w:p w:rsidR="00D34104" w:rsidRPr="00FB59D4" w:rsidRDefault="00D34104" w:rsidP="00D34104">
      <w:pPr>
        <w:ind w:left="284" w:right="276" w:firstLine="425"/>
        <w:jc w:val="both"/>
        <w:rPr>
          <w:sz w:val="28"/>
        </w:rPr>
      </w:pPr>
      <w:r w:rsidRPr="00FB59D4">
        <w:rPr>
          <w:sz w:val="28"/>
        </w:rPr>
        <w:t xml:space="preserve">La </w:t>
      </w:r>
      <w:r w:rsidRPr="00FB59D4">
        <w:rPr>
          <w:i/>
          <w:sz w:val="28"/>
        </w:rPr>
        <w:t>Gemeinschaft</w:t>
      </w:r>
      <w:r w:rsidRPr="00FB59D4">
        <w:rPr>
          <w:sz w:val="28"/>
        </w:rPr>
        <w:t xml:space="preserve"> dei fratelli Grimm, la stessa che qualche decennio più tardi sarebbe stata teorizzata definitivamente da </w:t>
      </w:r>
      <w:r w:rsidRPr="00FB59D4">
        <w:rPr>
          <w:rFonts w:cs="ArialMT"/>
          <w:sz w:val="28"/>
          <w:szCs w:val="26"/>
          <w:lang w:bidi="it-IT"/>
        </w:rPr>
        <w:t xml:space="preserve">Ferdinand </w:t>
      </w:r>
      <w:r w:rsidRPr="00FB59D4">
        <w:rPr>
          <w:rFonts w:cs="Arial-BoldMT"/>
          <w:bCs/>
          <w:sz w:val="28"/>
          <w:szCs w:val="26"/>
          <w:lang w:bidi="it-IT"/>
        </w:rPr>
        <w:t>Tönnies</w:t>
      </w:r>
      <w:r w:rsidRPr="00FB59D4">
        <w:rPr>
          <w:sz w:val="28"/>
        </w:rPr>
        <w:t xml:space="preserve"> (1855-1936) il sociologo studioso delle dinamiche della borghesia germanica, è ancora tutta incentrata sulla famiglia, sulle relazioni improntate agli usi ed ai costumi piuttosto che alle leggi. </w:t>
      </w:r>
    </w:p>
    <w:p w:rsidR="00D34104" w:rsidRPr="00FB59D4" w:rsidRDefault="00D34104" w:rsidP="00D34104">
      <w:pPr>
        <w:ind w:left="284" w:right="276" w:firstLine="425"/>
        <w:jc w:val="both"/>
        <w:rPr>
          <w:sz w:val="28"/>
        </w:rPr>
      </w:pPr>
      <w:r w:rsidRPr="00FB59D4">
        <w:rPr>
          <w:sz w:val="28"/>
        </w:rPr>
        <w:lastRenderedPageBreak/>
        <w:t>Il senso di appartenenza è molto forte, la coscienza del gruppo, nel bene e nel male, altrettanto ed i due fratelli, sempre ligi al rispetto della tradizione autoctona e delle relative etimologie di cui sono accaniti studiosi, ne sono del tutto coscienti.</w:t>
      </w:r>
    </w:p>
    <w:p w:rsidR="00D34104" w:rsidRPr="00FB59D4" w:rsidRDefault="00D34104" w:rsidP="00D34104">
      <w:pPr>
        <w:ind w:left="284" w:right="276" w:firstLine="425"/>
        <w:jc w:val="both"/>
        <w:rPr>
          <w:sz w:val="28"/>
        </w:rPr>
      </w:pPr>
      <w:r w:rsidRPr="00FB59D4">
        <w:rPr>
          <w:sz w:val="28"/>
        </w:rPr>
        <w:t>In fondo la stessa origine della parola “tedesco” – “</w:t>
      </w:r>
      <w:r w:rsidRPr="00FB59D4">
        <w:rPr>
          <w:i/>
          <w:sz w:val="28"/>
        </w:rPr>
        <w:t>Deutsch</w:t>
      </w:r>
      <w:r w:rsidRPr="00FB59D4">
        <w:rPr>
          <w:sz w:val="28"/>
        </w:rPr>
        <w:t>” – non deriva forse dalla voce alto-medievale “</w:t>
      </w:r>
      <w:r w:rsidRPr="00FB59D4">
        <w:rPr>
          <w:i/>
          <w:sz w:val="28"/>
        </w:rPr>
        <w:t>thiodisk</w:t>
      </w:r>
      <w:r w:rsidRPr="00FB59D4">
        <w:rPr>
          <w:sz w:val="28"/>
        </w:rPr>
        <w:t>”, il cui tema di partenza è il lemma gotico “</w:t>
      </w:r>
      <w:r w:rsidRPr="00FB59D4">
        <w:rPr>
          <w:i/>
          <w:sz w:val="28"/>
        </w:rPr>
        <w:t>chiuda</w:t>
      </w:r>
      <w:r w:rsidRPr="00FB59D4">
        <w:rPr>
          <w:sz w:val="28"/>
        </w:rPr>
        <w:t xml:space="preserve">” che vuol dire proprio </w:t>
      </w:r>
      <w:r w:rsidRPr="00FB59D4">
        <w:rPr>
          <w:i/>
          <w:sz w:val="28"/>
        </w:rPr>
        <w:t>comunità</w:t>
      </w:r>
      <w:r w:rsidRPr="00FB59D4">
        <w:rPr>
          <w:sz w:val="28"/>
        </w:rPr>
        <w:t xml:space="preserve"> e </w:t>
      </w:r>
      <w:r w:rsidRPr="00FB59D4">
        <w:rPr>
          <w:i/>
          <w:sz w:val="28"/>
        </w:rPr>
        <w:t>popolo</w:t>
      </w:r>
      <w:r w:rsidRPr="00FB59D4">
        <w:rPr>
          <w:sz w:val="28"/>
        </w:rPr>
        <w:t>?</w:t>
      </w:r>
    </w:p>
    <w:p w:rsidR="00D34104" w:rsidRPr="00FB59D4" w:rsidRDefault="00D34104" w:rsidP="00D34104">
      <w:pPr>
        <w:ind w:left="284" w:right="276" w:firstLine="425"/>
        <w:jc w:val="both"/>
        <w:rPr>
          <w:sz w:val="28"/>
        </w:rPr>
      </w:pPr>
      <w:r w:rsidRPr="00FB59D4">
        <w:rPr>
          <w:sz w:val="28"/>
        </w:rPr>
        <w:t>C’è una curiosa filastrocca raccolta e tramandata dai due studiosi, quasi una litania priva di senso, che rende benissimo questi concetti.</w:t>
      </w:r>
    </w:p>
    <w:p w:rsidR="00D34104" w:rsidRPr="00FB59D4" w:rsidRDefault="00D34104" w:rsidP="00D34104">
      <w:pPr>
        <w:ind w:left="284" w:right="276" w:firstLine="425"/>
        <w:jc w:val="both"/>
        <w:rPr>
          <w:sz w:val="28"/>
        </w:rPr>
      </w:pPr>
      <w:r w:rsidRPr="00FB59D4">
        <w:rPr>
          <w:sz w:val="28"/>
        </w:rPr>
        <w:t xml:space="preserve">Il suo titolo è </w:t>
      </w:r>
      <w:r w:rsidRPr="00FB59D4">
        <w:rPr>
          <w:i/>
          <w:sz w:val="28"/>
        </w:rPr>
        <w:t>Donnette</w:t>
      </w:r>
      <w:r w:rsidRPr="00135CBE">
        <w:rPr>
          <w:rStyle w:val="Rimandonotaapidipagina"/>
          <w:sz w:val="28"/>
        </w:rPr>
        <w:footnoteReference w:id="59"/>
      </w:r>
      <w:r w:rsidRPr="00FB59D4">
        <w:rPr>
          <w:sz w:val="28"/>
        </w:rPr>
        <w:t>.</w:t>
      </w:r>
    </w:p>
    <w:p w:rsidR="00D34104" w:rsidRPr="00FB59D4" w:rsidRDefault="00D34104" w:rsidP="00D34104">
      <w:pPr>
        <w:ind w:left="284" w:right="276" w:firstLine="425"/>
        <w:jc w:val="both"/>
        <w:rPr>
          <w:sz w:val="28"/>
        </w:rPr>
      </w:pPr>
      <w:r w:rsidRPr="00FB59D4">
        <w:rPr>
          <w:sz w:val="28"/>
        </w:rPr>
        <w:t>Recita così.</w:t>
      </w:r>
    </w:p>
    <w:p w:rsidR="00D34104" w:rsidRPr="00FB59D4" w:rsidRDefault="00D34104" w:rsidP="00D34104">
      <w:pPr>
        <w:ind w:left="284" w:right="276" w:firstLine="425"/>
        <w:jc w:val="both"/>
        <w:rPr>
          <w:sz w:val="28"/>
        </w:rPr>
      </w:pPr>
    </w:p>
    <w:p w:rsidR="00D34104" w:rsidRPr="00FB59D4" w:rsidRDefault="00D34104" w:rsidP="00D34104">
      <w:pPr>
        <w:ind w:left="1134" w:right="1694"/>
        <w:jc w:val="both"/>
      </w:pPr>
      <w:r w:rsidRPr="00FB59D4">
        <w:t xml:space="preserve">Dove vai? – Vado a Cogozzo. Io vado a Cogozzo, tu vai a Cogozzo: bene bene, andiamo insieme. Hai anche tu marito? Come si chiama? – Tito. – Mio marito Tito, tuo marito Tito; io vado a Cogozzo, tu vai a Cogozzo: bene, bene, andiamo insieme. </w:t>
      </w:r>
    </w:p>
    <w:p w:rsidR="00D34104" w:rsidRPr="00FB59D4" w:rsidRDefault="00D34104" w:rsidP="00D34104">
      <w:pPr>
        <w:ind w:left="1134" w:right="1694"/>
        <w:jc w:val="both"/>
      </w:pPr>
      <w:r w:rsidRPr="00FB59D4">
        <w:t>- Hai anche tu un bambino? Come si chiama? – Pino. – Il mio bambino Pino, il tuo bambino Pino; mio marito Tito, tuo marito Tito; io vado a Cogozzo, tu vai a Cogozzo: bene, bene, andiamo insieme.</w:t>
      </w:r>
    </w:p>
    <w:p w:rsidR="00D34104" w:rsidRPr="00FB59D4" w:rsidRDefault="00D34104" w:rsidP="00D34104">
      <w:pPr>
        <w:ind w:left="1134" w:right="1694"/>
        <w:jc w:val="both"/>
      </w:pPr>
      <w:r w:rsidRPr="00FB59D4">
        <w:t xml:space="preserve">- E tu ce l’hai la cuna? – Si chiama Sbattiluna. – La mia cuna Sbattiluna, la tua cuna Sbattiluna; il mio bambino Pino, il tuo bambino Pino, mio marito Tito, tuo marito Tito; io vado a Cogozzo, tu vai a Cogozzo; bene, bene, andiamo insieme… </w:t>
      </w:r>
    </w:p>
    <w:p w:rsidR="00D34104" w:rsidRPr="00FB59D4" w:rsidRDefault="00D34104" w:rsidP="00D34104">
      <w:pPr>
        <w:ind w:left="1134" w:right="1694"/>
        <w:jc w:val="both"/>
      </w:pPr>
      <w:r w:rsidRPr="00FB59D4">
        <w:rPr>
          <w:rFonts w:cs="ArialMT"/>
          <w:szCs w:val="26"/>
          <w:lang w:bidi="it-IT"/>
        </w:rPr>
        <w:t>Ce l'hai il servitorello? - Si chiama Vabelbello. - Il mio Vabelbello, il tuo Vabelbello; la mia cuna Sbattiluna, la tua cuna Sbattiluna; il mio bambino Pino, il tuo bambino Pino; mio marito Tito, tuo marito Tito; io vado a Cogozzo, tu vai a Cogozzo: bene, bene, andiamo insieme…</w:t>
      </w:r>
    </w:p>
    <w:p w:rsidR="00D34104" w:rsidRPr="00FB59D4" w:rsidRDefault="00D34104" w:rsidP="00D34104">
      <w:pPr>
        <w:ind w:left="1134" w:right="1694"/>
        <w:jc w:val="both"/>
      </w:pPr>
    </w:p>
    <w:p w:rsidR="00D34104" w:rsidRPr="00FB59D4" w:rsidRDefault="00D34104" w:rsidP="00D34104">
      <w:pPr>
        <w:ind w:left="284" w:right="276" w:firstLine="425"/>
        <w:jc w:val="both"/>
        <w:rPr>
          <w:sz w:val="28"/>
        </w:rPr>
      </w:pPr>
      <w:r w:rsidRPr="00FB59D4">
        <w:rPr>
          <w:sz w:val="28"/>
        </w:rPr>
        <w:t xml:space="preserve">Si tratta di poco più che un </w:t>
      </w:r>
      <w:r w:rsidRPr="00FB59D4">
        <w:rPr>
          <w:i/>
          <w:sz w:val="28"/>
        </w:rPr>
        <w:t>nonsense</w:t>
      </w:r>
      <w:r w:rsidRPr="00FB59D4">
        <w:rPr>
          <w:sz w:val="28"/>
        </w:rPr>
        <w:t>.</w:t>
      </w:r>
    </w:p>
    <w:p w:rsidR="00D34104" w:rsidRPr="00FB59D4" w:rsidRDefault="00D34104" w:rsidP="00D34104">
      <w:pPr>
        <w:ind w:left="284" w:right="276" w:firstLine="425"/>
        <w:jc w:val="both"/>
        <w:rPr>
          <w:sz w:val="28"/>
        </w:rPr>
      </w:pPr>
      <w:r w:rsidRPr="00FB59D4">
        <w:rPr>
          <w:sz w:val="28"/>
        </w:rPr>
        <w:t xml:space="preserve">Eppure l’ossessiva ripetitività dei motivi che il raccontino – in effetti </w:t>
      </w:r>
      <w:r w:rsidRPr="00FB59D4">
        <w:rPr>
          <w:i/>
          <w:sz w:val="28"/>
        </w:rPr>
        <w:t>un raccontino che non racconta</w:t>
      </w:r>
      <w:r w:rsidRPr="00FB59D4">
        <w:rPr>
          <w:sz w:val="28"/>
        </w:rPr>
        <w:t xml:space="preserve"> – propone, ha destato l’attenzione di più di un filosofo della politica.</w:t>
      </w:r>
    </w:p>
    <w:p w:rsidR="00D34104" w:rsidRPr="00FB59D4" w:rsidRDefault="00D34104" w:rsidP="00D34104">
      <w:pPr>
        <w:ind w:left="284" w:right="276" w:firstLine="425"/>
        <w:jc w:val="both"/>
        <w:rPr>
          <w:sz w:val="28"/>
        </w:rPr>
      </w:pPr>
      <w:r w:rsidRPr="00FB59D4">
        <w:rPr>
          <w:sz w:val="28"/>
        </w:rPr>
        <w:t>Le donnette che parlando tra di loro scoprono di avere tante cose in comune non sono soltanto un’allegra brigata contadina. Sembrano piuttosto incarnare, dietro l’aberrante assonanza dell’ossessivo insignificante ritornello, una comunità di organismi fisicamente e spiritualmente eguali, lieti di esser tali ed inquietantemente mossi in marcia come automi di una parata militare, una di quelle per intenderci all’insegna di quel pangermanesimo che un secolo dopo la stagione dei fratelli Grimm, avrebbe devastato l’Europa ed il mondo intero</w:t>
      </w:r>
      <w:r w:rsidRPr="00FB59D4">
        <w:rPr>
          <w:rStyle w:val="Rimandonotaapidipagina"/>
          <w:sz w:val="28"/>
        </w:rPr>
        <w:footnoteReference w:id="60"/>
      </w:r>
      <w:r w:rsidRPr="00FB59D4">
        <w:rPr>
          <w:sz w:val="28"/>
        </w:rPr>
        <w:t>.</w:t>
      </w:r>
    </w:p>
    <w:p w:rsidR="00D34104" w:rsidRPr="00FB59D4" w:rsidRDefault="00D34104" w:rsidP="00D34104">
      <w:pPr>
        <w:ind w:left="284" w:right="276" w:firstLine="425"/>
        <w:jc w:val="both"/>
        <w:rPr>
          <w:sz w:val="28"/>
        </w:rPr>
      </w:pPr>
      <w:r w:rsidRPr="00FB59D4">
        <w:rPr>
          <w:sz w:val="28"/>
        </w:rPr>
        <w:lastRenderedPageBreak/>
        <w:t xml:space="preserve">I protagonisti dell’insulso racconto hanno tutti lo stesso nome, tutti la stessa meta, tutti le stesse prerogative; in definitiva tutti lo stesso </w:t>
      </w:r>
      <w:r w:rsidRPr="00FB59D4">
        <w:rPr>
          <w:i/>
          <w:sz w:val="28"/>
        </w:rPr>
        <w:t>spirito</w:t>
      </w:r>
      <w:r w:rsidRPr="00FB59D4">
        <w:rPr>
          <w:sz w:val="28"/>
        </w:rPr>
        <w:t xml:space="preserve"> e lo stesso </w:t>
      </w:r>
      <w:r w:rsidRPr="00FB59D4">
        <w:rPr>
          <w:i/>
          <w:sz w:val="28"/>
        </w:rPr>
        <w:t>sangue</w:t>
      </w:r>
      <w:r w:rsidRPr="00FB59D4">
        <w:rPr>
          <w:sz w:val="28"/>
        </w:rPr>
        <w:t>.</w:t>
      </w:r>
    </w:p>
    <w:p w:rsidR="00D34104" w:rsidRPr="00FB59D4" w:rsidRDefault="00D34104" w:rsidP="00D34104">
      <w:pPr>
        <w:ind w:left="284" w:right="276" w:firstLine="425"/>
        <w:jc w:val="both"/>
        <w:rPr>
          <w:sz w:val="28"/>
        </w:rPr>
      </w:pPr>
      <w:r w:rsidRPr="00FB59D4">
        <w:rPr>
          <w:sz w:val="28"/>
        </w:rPr>
        <w:t>Insomma sono una nazione. Un organismo accomunato dalle stesse aspettative, con inquietanti meccanismi di chiusura verso l’estraneo, verso il non sodale, il non tedesco.</w:t>
      </w:r>
    </w:p>
    <w:p w:rsidR="00D34104" w:rsidRPr="00FB59D4" w:rsidRDefault="00D34104" w:rsidP="00D34104">
      <w:pPr>
        <w:ind w:left="284" w:right="276" w:firstLine="425"/>
        <w:jc w:val="both"/>
        <w:rPr>
          <w:sz w:val="28"/>
        </w:rPr>
      </w:pPr>
      <w:r w:rsidRPr="00FB59D4">
        <w:rPr>
          <w:sz w:val="28"/>
        </w:rPr>
        <w:t xml:space="preserve">L’epopea contadina che è alla base delle fiabe che essi andavano raccogliendo, era tanto più ricca agli occhi dei fratelli Grimm, quanto più valorizzasse gli usi e le consuetudini comuni che facevano delle genti germaniche, ancorché politicamente divise, un </w:t>
      </w:r>
      <w:r w:rsidRPr="00FB59D4">
        <w:rPr>
          <w:i/>
          <w:sz w:val="28"/>
        </w:rPr>
        <w:t>unicum</w:t>
      </w:r>
      <w:r w:rsidRPr="00FB59D4">
        <w:rPr>
          <w:sz w:val="28"/>
        </w:rPr>
        <w:t xml:space="preserve">, connotato dal comune spirito popolare – il </w:t>
      </w:r>
      <w:r w:rsidRPr="00FB59D4">
        <w:rPr>
          <w:i/>
          <w:sz w:val="28"/>
        </w:rPr>
        <w:t>Volksgeist</w:t>
      </w:r>
      <w:r w:rsidRPr="00FB59D4">
        <w:rPr>
          <w:sz w:val="28"/>
        </w:rPr>
        <w:t xml:space="preserve"> – che tanto andava caratterizzando di sé il germanesimo allora dominante.</w:t>
      </w:r>
    </w:p>
    <w:p w:rsidR="00D34104" w:rsidRPr="00FB59D4" w:rsidRDefault="00D34104" w:rsidP="00D34104">
      <w:pPr>
        <w:ind w:left="284" w:right="276" w:firstLine="425"/>
        <w:jc w:val="both"/>
        <w:rPr>
          <w:sz w:val="28"/>
        </w:rPr>
      </w:pPr>
      <w:r w:rsidRPr="00FB59D4">
        <w:rPr>
          <w:sz w:val="28"/>
        </w:rPr>
        <w:t>Tutto questo pagava un alto prezzo culturale, spesso rappresentato dai tratti di quell’integralismo paleocristiano che facilmente ridondava in antiromanesimo e antigiudaismo, esattamente come era stato nell’esperienza fondativa ed incancellabile di Martin Lutero (1483-1546)</w:t>
      </w:r>
      <w:r w:rsidRPr="00FB59D4">
        <w:rPr>
          <w:rStyle w:val="Rimandonotaapidipagina"/>
          <w:sz w:val="28"/>
        </w:rPr>
        <w:footnoteReference w:id="61"/>
      </w:r>
      <w:r w:rsidRPr="00FB59D4">
        <w:rPr>
          <w:sz w:val="28"/>
        </w:rPr>
        <w:t>.</w:t>
      </w:r>
    </w:p>
    <w:p w:rsidR="00D34104" w:rsidRPr="00FB59D4" w:rsidRDefault="00D34104" w:rsidP="00D34104">
      <w:pPr>
        <w:ind w:left="284" w:right="276" w:firstLine="425"/>
        <w:jc w:val="both"/>
        <w:rPr>
          <w:sz w:val="28"/>
        </w:rPr>
      </w:pPr>
      <w:r w:rsidRPr="00FB59D4">
        <w:rPr>
          <w:sz w:val="28"/>
        </w:rPr>
        <w:t>Non sono isolate d’altronde le fiabe dei Grimm ricche dei motivi del più crudo antisemitismo.</w:t>
      </w:r>
    </w:p>
    <w:p w:rsidR="00D34104" w:rsidRPr="00FB59D4" w:rsidRDefault="00D34104" w:rsidP="00D34104">
      <w:pPr>
        <w:ind w:left="284" w:right="276" w:firstLine="425"/>
        <w:jc w:val="both"/>
        <w:rPr>
          <w:sz w:val="28"/>
        </w:rPr>
      </w:pPr>
      <w:r w:rsidRPr="00FB59D4">
        <w:rPr>
          <w:sz w:val="28"/>
        </w:rPr>
        <w:t xml:space="preserve">C’è ne è una in particolare – </w:t>
      </w:r>
      <w:r w:rsidRPr="00FB59D4">
        <w:rPr>
          <w:i/>
          <w:sz w:val="28"/>
        </w:rPr>
        <w:t>L’ebreo nel roveto</w:t>
      </w:r>
      <w:r w:rsidRPr="00FB59D4">
        <w:rPr>
          <w:sz w:val="28"/>
        </w:rPr>
        <w:t xml:space="preserve"> – che si segnala in quanto caratterizzata di tutti gli stereotipi antigiudaici ottocenteschi fornendo del personaggio ebreo un’immagine caricaturale e imponendogli torti e vessazioni sostanzialmente non meritati, fino ad un’ingiusta condanna a morte pronunciata </w:t>
      </w:r>
      <w:r w:rsidRPr="00FB59D4">
        <w:rPr>
          <w:sz w:val="28"/>
        </w:rPr>
        <w:lastRenderedPageBreak/>
        <w:t xml:space="preserve">in un contesto giudiziario popolare che definire infingardo e subdolo è un eufemismo. </w:t>
      </w:r>
    </w:p>
    <w:p w:rsidR="00D34104" w:rsidRPr="00FB59D4" w:rsidRDefault="00D34104" w:rsidP="00D34104">
      <w:pPr>
        <w:ind w:left="284" w:right="276" w:firstLine="425"/>
        <w:jc w:val="both"/>
        <w:rPr>
          <w:sz w:val="28"/>
        </w:rPr>
      </w:pPr>
    </w:p>
    <w:p w:rsidR="00D34104" w:rsidRPr="00FB59D4" w:rsidRDefault="00D34104" w:rsidP="00D34104">
      <w:pPr>
        <w:widowControl w:val="0"/>
        <w:autoSpaceDE w:val="0"/>
        <w:autoSpaceDN w:val="0"/>
        <w:adjustRightInd w:val="0"/>
        <w:spacing w:after="160"/>
        <w:ind w:left="1134" w:right="1694"/>
        <w:jc w:val="both"/>
        <w:rPr>
          <w:rFonts w:cs="TrebuchetMS"/>
          <w:szCs w:val="28"/>
          <w:lang w:bidi="it-IT"/>
        </w:rPr>
      </w:pPr>
      <w:r w:rsidRPr="00FB59D4">
        <w:rPr>
          <w:rFonts w:cs="TrebuchetMS"/>
          <w:szCs w:val="28"/>
          <w:lang w:bidi="it-IT"/>
        </w:rPr>
        <w:t xml:space="preserve">C'era una volta un contadino ricco che aveva un servo onesto e diligente che al mattino era sempre il primo ad alzarsi e la sera l'ultimo a coricarsi. Quando c'era un lavoro duro a cui nessuno voleva dedicarsi, lui lo eseguiva e non si lamentava mai, era contento di tutto, sempre felice e allegro. Quando il suo periodo di lavoro fu terminato il padrone non gli diede il suo compenso e pensò: “È la cosa più saggia, mi risparmio un po’ di denaro e lui non se ne va, ma se ne sta tranquillamente al mio servizio”. Il servo non disse nulla, fece il suo lavoro come aveva fatto il primo anno e, alla fine del secondo, non ricevette nulla, se ne stette zitto e rimase ancora. Passò anche il terzo anno, il padrone esitava, poi si mise una mano in tasca ma non tirò fuori un bel niente. Finalmente il servo pensò che non intendeva lavorare per niente, andò dal padrone e disse: "Vi ho servito per tutto questo tempo con solerzia e lealtà, perciò confido in voi perché mi diate ciò che mi spetta di diritto". Ma il contadino era un avaraccio, e sapeva che il servo era d'animo semplice; così prese tre centesimi e gliene diede uno per anno; questa era la sua paga. Il servo credeva di avere in mano un grosso capitale e pensò: "Perché vorresti ancora crucciarti; adesso puoi avere cura di te e andare in giro per il mondo a passartela bene". Così mise il suo bel capitale in uno zaino e se ne andò allegramente per monti e valli. Una volta giunse in un campo saltando e cantando e gli apparve un ometto che gli domandò la causa della sua gioia. "Perché mai dovrei essere triste? Ho salute, denaro in abbondanza, non ho certo bisogno di preoccuparmi. Ho con me tutto ciò che ho guadagnato e risparmiato prestando servizio per tre anni". "A quanto ammonta il tuo tesoro?", chiese l'omino. "Tre bei centesimi", rispose il servo. "Regalami i tuoi tre centesimi: sono un pover’uomo". Il servo aveva buon cuore e provò compassione per l'omino, così gli diede i soldi. L'omino disse: "Dato che il tuo cuore è buono, ti concedo tre desideri, uno per centesimo: esprimili, avrai quello che desideri". Il servo ne fu soddisfatto e pensò che preferiva della buona roba al denaro; dunque rispose: "per prima cosa desidero un archibugio che colpisca tutto quello che prendo di mira; in secondo luogo un violino, e quando suono tutti quelli che ascoltano devono ballare; e in terzo luogo, se domando qualcosa, che nessuno possa rifiutarla". L'omino disse: "Avrai tutte queste cose!". Gli diede violino e archibugio, e poi se ne andò per la sua strada. Il servo, che già si riteneva fortunato prima, pensava ora di esserlo dieci volte di più. Poco dopo incontrò </w:t>
      </w:r>
      <w:r w:rsidRPr="00FB59D4">
        <w:rPr>
          <w:rFonts w:cs="TrebuchetMS"/>
          <w:i/>
          <w:szCs w:val="28"/>
          <w:lang w:bidi="it-IT"/>
        </w:rPr>
        <w:t>un vecchio ebreo</w:t>
      </w:r>
      <w:r w:rsidRPr="00FB59D4">
        <w:rPr>
          <w:rFonts w:cs="TrebuchetMS"/>
          <w:szCs w:val="28"/>
          <w:lang w:bidi="it-IT"/>
        </w:rPr>
        <w:t xml:space="preserve"> che se ne stava ai piedi di un albero in cima al quale, sul ramo più alto, c'era una piccola allodola che cantava e cantava. "Bontà divina!” - esclamò l'ebreo – “cosa può mai fare una simile bestiola! Non so che darei per averla!". "Se è tutto qui - disse il servo - sarà facile farla cadere". Prese la mira e centrò l'uccello che cadde dall'albero. "Andate a raccoglierlo" disse poi. Ma l'uccello era caduto in un roveto ai piedi dell'albero. Allora l'ebreo si fece strada nel roveto e, quando vi fu in mezzo, il servo tirò fuori il suo violino e si mise a suonare. Subito l'ebreo si mise a ballare senza posa, e prese a saltare sempre più in fretta e sempre più in alto. Ma le </w:t>
      </w:r>
      <w:r w:rsidRPr="00FB59D4">
        <w:rPr>
          <w:rFonts w:cs="TrebuchetMS"/>
          <w:szCs w:val="28"/>
          <w:lang w:bidi="it-IT"/>
        </w:rPr>
        <w:lastRenderedPageBreak/>
        <w:t>spine gli laceravano le vesti, sicché qua e là gli pendevano i brandelli, lo graffiavano e lo ferivano da fargli sanguinare tutto il corpo. "Per l'amor di Dio", gridò l'ebreo. "Smetta vossignoria con quel violino, che ho mai fatto di male?" Ma l'allegro servitore esclamò: "Hai scorticato la gente a sufficienza: ora avrai altrettanto" e si mise a suonare un'altra danza. Allora l'ebreo si mise a pregarlo e gli promise del denaro se smetteva di suonare. Ma i soldi non bastavano mai al servo che continuò a suonare finché l'ebreo non gli promise cento bei fiorini che teneva nella borsa e che aveva appena estorti a un poveraccio. Quando il servo vide quel denaro, disse: "Così va bene". Prese la borsa e ritirò il violino; poi continuò per la sua strada allegro e tranquillo. L'ebreo uscì dal roveto mezzo nudo e malandato, si mise a pensare a come poteva vendicarsi e gridò al violinista quante ingiurie sapeva. Poi corse da un giudice e si lamentò dicendo di essere stato derubato del suo oro da un furfante che, per giunta, l'aveva ridotto da far pietà; costui portava un fucile sulla schiena e un violino a tracolla. Il giudice inviò messi e sbirri a cercarlo, ed egli fu ben presto rintracciato e condotto a giudizio. Allora l'ebreo l'accusò di avergli rubato il denaro, ma il servo disse: "Non è vero, il denaro me lo hai dato tu perché smettessi di suonare". Ma il giudice andò per le spicce e condannò il servo alla forca. Questi era già salito sulla scala a pioli, e aveva la corda al collo, quando disse: "Signor giudice, vogliate concedermi un'ultima preghiera!". "Ti sia concessa - rispose il giudice – "purché tu non chieda la grazia". "No, non si tratta della grazia" -rispose il servo. - "Vi prego di lasciarmi suonare per l'ultima volta il mio violino". Allora l'ebreo si mise a gridare: "Per l'amor di Dio, non permetteteglielo! Non permetteteglielo!". Ma il giudice disse: "Gli spetta e così sia". Del resto non poteva certo rifiutarsi. L'ebreo gridò: "Ahimé, legatemi stretto!". Il servo prese il violino e al primo colpo di archetto tutti si misero a dondolare e a traballare: giudice, scrivani e uscieri, e nessuno poté legare l'ebreo; al secondo colpo d'archetto, il boia lasciò andare il servo e si mise a ballare; quando si mise a suonare ballarono tutti insieme: il giudice e l'ebreo davanti a tutta la gente che si era radunata sul mercato per assistere. All'inizio era divertente, ma poi, siccome il violino e la danza non cessavano, presero a strillare miseramente e lo pregarono di smettere, ma lui continuò finché il giudice non gli concesse la grazia e gli promise di lasciargli anche i cento fiorini. Poi disse ancora all'ebreo: "Furfante, confessa da dove ti viene il denaro, o continuo a suonare solo per te!". "L'ho rubato, l'ho rubato! Tu invece l'hai guadagnato onestamente", gridò l'ebreo, e tutti udirono. Allora il servo smise di suonare, mentre l'ebreo infame fu impiccato al suo posto.</w:t>
      </w:r>
    </w:p>
    <w:p w:rsidR="00D34104" w:rsidRPr="00FB59D4" w:rsidRDefault="00D34104" w:rsidP="00D34104">
      <w:pPr>
        <w:ind w:left="284" w:right="276" w:firstLine="425"/>
        <w:jc w:val="both"/>
        <w:rPr>
          <w:sz w:val="28"/>
        </w:rPr>
      </w:pPr>
      <w:r w:rsidRPr="00FB59D4">
        <w:rPr>
          <w:sz w:val="28"/>
        </w:rPr>
        <w:t>Quel che più risalta e fa impressione, in questa storia, è la radicale metamorfosi subita dal buon servitore.</w:t>
      </w:r>
    </w:p>
    <w:p w:rsidR="00D34104" w:rsidRPr="00FB59D4" w:rsidRDefault="00D34104" w:rsidP="00D34104">
      <w:pPr>
        <w:ind w:left="284" w:right="276" w:firstLine="425"/>
        <w:jc w:val="both"/>
        <w:rPr>
          <w:sz w:val="28"/>
        </w:rPr>
      </w:pPr>
      <w:r w:rsidRPr="00FB59D4">
        <w:rPr>
          <w:sz w:val="28"/>
        </w:rPr>
        <w:t xml:space="preserve">Questi, da sciocco cristiano di indole tanto pacifica da aver lavorato a servizio per anni accontentandosi solo di tre centesimi, per di più subito donati ad un ometto che chiedeva la carità, una volta entrato in relazione con l’ebreo diviene arrogante, crudele e bugiardo, coinvolgendo il figlio d’Israele un gioco al massacro che inevitabilmente culmina nell’ingiusta morte del pover’uomo: </w:t>
      </w:r>
      <w:r w:rsidRPr="00FB59D4">
        <w:rPr>
          <w:sz w:val="28"/>
        </w:rPr>
        <w:lastRenderedPageBreak/>
        <w:t>adeguata sentenza, sembra suggerire la narrazione, non tanto per il reato commesso dal giudeo, vago e comunque sempre sullo sfondo, quanto per il grave torto di appartenere a quel sangue atavicamente corrotto.</w:t>
      </w:r>
    </w:p>
    <w:p w:rsidR="00D34104" w:rsidRPr="00FB59D4" w:rsidRDefault="00D34104" w:rsidP="00D34104">
      <w:pPr>
        <w:ind w:left="284" w:right="276" w:firstLine="425"/>
        <w:jc w:val="both"/>
        <w:rPr>
          <w:sz w:val="28"/>
        </w:rPr>
      </w:pPr>
      <w:r w:rsidRPr="00FB59D4">
        <w:rPr>
          <w:sz w:val="28"/>
        </w:rPr>
        <w:t>Non si tratta di un caso isolato.</w:t>
      </w:r>
    </w:p>
    <w:p w:rsidR="00D34104" w:rsidRPr="00FB59D4" w:rsidRDefault="00D34104" w:rsidP="00D34104">
      <w:pPr>
        <w:ind w:left="284" w:right="276" w:firstLine="425"/>
        <w:jc w:val="both"/>
        <w:rPr>
          <w:sz w:val="28"/>
        </w:rPr>
      </w:pPr>
      <w:r w:rsidRPr="00FB59D4">
        <w:rPr>
          <w:sz w:val="28"/>
        </w:rPr>
        <w:t xml:space="preserve">Un’altra fiaba dei fratelli Grimm - </w:t>
      </w:r>
      <w:r w:rsidRPr="00FB59D4">
        <w:rPr>
          <w:i/>
          <w:sz w:val="28"/>
        </w:rPr>
        <w:t>Un buon affare</w:t>
      </w:r>
      <w:r w:rsidRPr="00FB59D4">
        <w:rPr>
          <w:sz w:val="28"/>
        </w:rPr>
        <w:t xml:space="preserve"> - tuttavia meno cruenta di quella sopra riportata, in una densa trama intessuta di scambi contrattuali tra un contadino locale ed un ebreo, finisce col descrivere quest’ultimo come un truffatore professionale, dedito ai facili guadagni maturati con l’inganno.</w:t>
      </w:r>
    </w:p>
    <w:p w:rsidR="00D34104" w:rsidRPr="00FB59D4" w:rsidRDefault="00D34104" w:rsidP="00D34104">
      <w:pPr>
        <w:ind w:left="284" w:right="276" w:firstLine="425"/>
        <w:jc w:val="both"/>
        <w:rPr>
          <w:sz w:val="28"/>
        </w:rPr>
      </w:pPr>
      <w:r w:rsidRPr="00FB59D4">
        <w:rPr>
          <w:sz w:val="28"/>
        </w:rPr>
        <w:t>In realtà nella fiaba è esattamente il contrario, ma alla fine, con un certo compiacimento dei redattori, è il povero giudeo ad essere calunniato e tacciato di cupidigia e scorrettezza commerciale contrariamente al vero, con l’inevitabile condanna da parte di una Giustizia sciocca e superficiale a tutto vantaggio del vero truffatore.</w:t>
      </w:r>
    </w:p>
    <w:p w:rsidR="00D34104" w:rsidRPr="00FB59D4" w:rsidRDefault="00D34104" w:rsidP="00D34104">
      <w:pPr>
        <w:ind w:left="284" w:right="276" w:firstLine="425"/>
        <w:jc w:val="both"/>
        <w:rPr>
          <w:sz w:val="28"/>
        </w:rPr>
      </w:pPr>
      <w:r w:rsidRPr="00FB59D4">
        <w:rPr>
          <w:sz w:val="28"/>
        </w:rPr>
        <w:t xml:space="preserve">In conclusione e fatta naturalmente ogni dovuta distinzione del caso non si sbaglia certo quando si sottolinei come i fratelli Grimm, probabilmente oltre le loro stesse intenzioni, in buona compagnia di molti altri intellettuali dell’Ottocento tedesco - come non pensare allo </w:t>
      </w:r>
      <w:r w:rsidRPr="00FB59D4">
        <w:rPr>
          <w:i/>
          <w:sz w:val="28"/>
        </w:rPr>
        <w:t>Spirito Assoluto</w:t>
      </w:r>
      <w:r w:rsidRPr="00FB59D4">
        <w:rPr>
          <w:sz w:val="28"/>
        </w:rPr>
        <w:t xml:space="preserve"> di hegeliana memoria - contribuirono a far germogliare i semi di più d’una aberrazione che, inconsapevolmente celata dalla legittima ricerca filologica e folklorica, avrebbe contribuito a portare al dramma del </w:t>
      </w:r>
      <w:r w:rsidRPr="00FB59D4">
        <w:rPr>
          <w:i/>
          <w:sz w:val="28"/>
        </w:rPr>
        <w:t>Reich hitleriano</w:t>
      </w:r>
      <w:r w:rsidRPr="00FB59D4">
        <w:rPr>
          <w:sz w:val="28"/>
        </w:rPr>
        <w:t>, le cui metastasi non esitarono a toccare, come tutti sanno, il mondo del diritto</w:t>
      </w:r>
      <w:r w:rsidRPr="00FB59D4">
        <w:rPr>
          <w:rStyle w:val="Rimandonotaapidipagina"/>
          <w:sz w:val="28"/>
        </w:rPr>
        <w:footnoteReference w:id="62"/>
      </w:r>
      <w:r w:rsidRPr="00FB59D4">
        <w:rPr>
          <w:sz w:val="28"/>
        </w:rPr>
        <w:t>.</w:t>
      </w:r>
    </w:p>
    <w:p w:rsidR="00D34104" w:rsidRPr="00FB59D4" w:rsidRDefault="00D34104" w:rsidP="00D34104">
      <w:pPr>
        <w:ind w:left="284" w:right="276" w:firstLine="425"/>
        <w:jc w:val="both"/>
        <w:rPr>
          <w:rFonts w:cs="Helvetica-Oblique"/>
          <w:iCs/>
          <w:sz w:val="28"/>
          <w:szCs w:val="26"/>
          <w:lang w:bidi="it-IT"/>
        </w:rPr>
      </w:pPr>
      <w:r w:rsidRPr="00FB59D4">
        <w:rPr>
          <w:sz w:val="28"/>
        </w:rPr>
        <w:t xml:space="preserve">Molte delle fiabe raccolte nelle sette edizioni dei </w:t>
      </w:r>
      <w:r w:rsidRPr="00FB59D4">
        <w:rPr>
          <w:i/>
          <w:sz w:val="28"/>
        </w:rPr>
        <w:t>K</w:t>
      </w:r>
      <w:r w:rsidRPr="00FB59D4">
        <w:rPr>
          <w:rFonts w:cs="Helvetica-Oblique"/>
          <w:i/>
          <w:iCs/>
          <w:sz w:val="28"/>
          <w:szCs w:val="26"/>
          <w:lang w:bidi="it-IT"/>
        </w:rPr>
        <w:t>inder und Hausmärchen</w:t>
      </w:r>
      <w:r w:rsidRPr="00FB59D4">
        <w:rPr>
          <w:rFonts w:cs="Helvetica-Oblique"/>
          <w:iCs/>
          <w:sz w:val="28"/>
          <w:szCs w:val="26"/>
          <w:lang w:bidi="it-IT"/>
        </w:rPr>
        <w:t>, in prospettiva ampia sono antieducative.</w:t>
      </w:r>
    </w:p>
    <w:p w:rsidR="00D34104" w:rsidRPr="00FB59D4" w:rsidRDefault="00D34104" w:rsidP="00D34104">
      <w:pPr>
        <w:ind w:left="284" w:right="276" w:firstLine="425"/>
        <w:jc w:val="both"/>
        <w:rPr>
          <w:rFonts w:cs="Helvetica-Oblique"/>
          <w:iCs/>
          <w:sz w:val="28"/>
          <w:szCs w:val="26"/>
          <w:lang w:bidi="it-IT"/>
        </w:rPr>
      </w:pPr>
      <w:r w:rsidRPr="00FB59D4">
        <w:rPr>
          <w:rFonts w:cs="Helvetica-Oblique"/>
          <w:iCs/>
          <w:sz w:val="28"/>
          <w:szCs w:val="26"/>
          <w:lang w:bidi="it-IT"/>
        </w:rPr>
        <w:t xml:space="preserve"> Lo ha detto con chiarezza Martha C. Nussbaum (n. 1947), dal suo punto di vista di filosofo del diritto e giurista con alta vocazione pedagogica.</w:t>
      </w:r>
    </w:p>
    <w:p w:rsidR="00D34104" w:rsidRPr="00FB59D4" w:rsidRDefault="00D34104" w:rsidP="00D34104">
      <w:pPr>
        <w:ind w:left="284" w:right="276" w:firstLine="425"/>
        <w:jc w:val="both"/>
        <w:rPr>
          <w:sz w:val="28"/>
        </w:rPr>
      </w:pPr>
      <w:r w:rsidRPr="00FB59D4">
        <w:rPr>
          <w:sz w:val="28"/>
        </w:rPr>
        <w:t xml:space="preserve">La pensatrice americana, molto influente nell’ambito degli studi di etica contemporanea, ha esplicitamente teorizzato come una sana formazione di moderni cittadini, immuni da quella che ella chiama la fuorviante </w:t>
      </w:r>
      <w:r w:rsidRPr="00FB59D4">
        <w:rPr>
          <w:i/>
          <w:sz w:val="28"/>
        </w:rPr>
        <w:t>patologia del disgusto</w:t>
      </w:r>
      <w:r w:rsidRPr="00FB59D4">
        <w:rPr>
          <w:sz w:val="28"/>
        </w:rPr>
        <w:t>, passi da un’educazione appropriata, scevra da tutte le forme di narrazione che possano influire negativamente sulle giovani, imberbi menti ancora in maturazione.</w:t>
      </w:r>
    </w:p>
    <w:p w:rsidR="00D34104" w:rsidRPr="00FB59D4" w:rsidRDefault="00D34104" w:rsidP="00D34104">
      <w:pPr>
        <w:ind w:left="284" w:right="276" w:firstLine="425"/>
        <w:jc w:val="both"/>
        <w:rPr>
          <w:sz w:val="28"/>
        </w:rPr>
      </w:pPr>
      <w:r w:rsidRPr="00FB59D4">
        <w:rPr>
          <w:sz w:val="28"/>
        </w:rPr>
        <w:t>Molte fiabe tradizionali, ha osservato la studiosa, propongono un’inadeguata visione del mondo, improntata alla radicale contrapposizione tra la comunità di “</w:t>
      </w:r>
      <w:r w:rsidRPr="00FB59D4">
        <w:rPr>
          <w:i/>
          <w:sz w:val="28"/>
        </w:rPr>
        <w:t>noi</w:t>
      </w:r>
      <w:r w:rsidRPr="00FB59D4">
        <w:rPr>
          <w:sz w:val="28"/>
        </w:rPr>
        <w:t>” - fatta di soggetti senza macchia e senza paura - ed il resto del mondo, gli “</w:t>
      </w:r>
      <w:r w:rsidRPr="00FB59D4">
        <w:rPr>
          <w:i/>
          <w:sz w:val="28"/>
        </w:rPr>
        <w:t>altri</w:t>
      </w:r>
      <w:r w:rsidRPr="00FB59D4">
        <w:rPr>
          <w:sz w:val="28"/>
        </w:rPr>
        <w:t>”- troppo brutti, sporchi e cattivi per avere diritto di rilevanza - da emarginare ed esecrare.</w:t>
      </w:r>
    </w:p>
    <w:p w:rsidR="00D34104" w:rsidRPr="00FB59D4" w:rsidRDefault="00D34104" w:rsidP="00D34104">
      <w:pPr>
        <w:ind w:left="284" w:right="276" w:firstLine="425"/>
        <w:jc w:val="both"/>
        <w:rPr>
          <w:sz w:val="28"/>
        </w:rPr>
      </w:pPr>
      <w:r w:rsidRPr="00FB59D4">
        <w:rPr>
          <w:sz w:val="28"/>
        </w:rPr>
        <w:lastRenderedPageBreak/>
        <w:t>Innumerevoli vecchie storie narrate ai bambini provano ad insegnare loro, in realtà diseducandoli alla cultura del diverso, come sarebbe migliore il mondo se certe vecchie streghe finissero bruciate, magari all’interno del loro stesso forno.</w:t>
      </w:r>
    </w:p>
    <w:p w:rsidR="00D34104" w:rsidRPr="00FB59D4" w:rsidRDefault="00D34104" w:rsidP="00D34104">
      <w:pPr>
        <w:ind w:left="284" w:right="276" w:firstLine="425"/>
        <w:jc w:val="both"/>
        <w:rPr>
          <w:sz w:val="28"/>
        </w:rPr>
      </w:pPr>
      <w:r w:rsidRPr="00FB59D4">
        <w:rPr>
          <w:sz w:val="28"/>
        </w:rPr>
        <w:t xml:space="preserve">Il pensiero corre subito ad una delle più note fiabe dei fratelli Grimm, quella dei fratellini - </w:t>
      </w:r>
      <w:r w:rsidRPr="00FB59D4">
        <w:rPr>
          <w:rFonts w:cs="ArialMT"/>
          <w:i/>
          <w:sz w:val="28"/>
          <w:szCs w:val="26"/>
          <w:lang w:bidi="it-IT"/>
        </w:rPr>
        <w:t>Hänsel e Gretel</w:t>
      </w:r>
      <w:r w:rsidRPr="00FB59D4">
        <w:rPr>
          <w:sz w:val="28"/>
        </w:rPr>
        <w:t xml:space="preserve"> - che liberatisi della vecchia megera che voleva mangiarli, con l’inganno la spingono dentro il forno caldo, facendola morire arsa viva.</w:t>
      </w:r>
    </w:p>
    <w:p w:rsidR="00D34104" w:rsidRPr="00FB59D4" w:rsidRDefault="00D34104" w:rsidP="00D34104">
      <w:pPr>
        <w:ind w:left="284" w:right="276" w:firstLine="425"/>
        <w:jc w:val="both"/>
        <w:rPr>
          <w:rFonts w:cs="Times-Bold"/>
          <w:bCs/>
          <w:i/>
          <w:sz w:val="28"/>
          <w:szCs w:val="32"/>
          <w:lang w:bidi="it-IT"/>
        </w:rPr>
      </w:pPr>
      <w:r w:rsidRPr="00FB59D4">
        <w:rPr>
          <w:sz w:val="28"/>
        </w:rPr>
        <w:t xml:space="preserve">Qualche tempo dopo rispetto alla raccolta dei Grimm, </w:t>
      </w:r>
      <w:r w:rsidRPr="00FB59D4">
        <w:rPr>
          <w:rFonts w:cs="Times-Bold"/>
          <w:bCs/>
          <w:sz w:val="28"/>
          <w:szCs w:val="32"/>
          <w:lang w:bidi="it-IT"/>
        </w:rPr>
        <w:t>Engelbert Humperdinck (1854-1921) compositore epigono di Wagner, avrebbe messo la fiaba in musica, accentuandone i motivi spirituali di esaltazione della capacità e dell’astuzia della</w:t>
      </w:r>
      <w:r w:rsidRPr="00FB59D4">
        <w:rPr>
          <w:rFonts w:cs="Times-Bold"/>
          <w:bCs/>
          <w:i/>
          <w:sz w:val="28"/>
          <w:szCs w:val="32"/>
          <w:lang w:bidi="it-IT"/>
        </w:rPr>
        <w:t xml:space="preserve"> gens germanica.</w:t>
      </w:r>
    </w:p>
    <w:p w:rsidR="00D34104" w:rsidRPr="00FB59D4" w:rsidRDefault="00D34104" w:rsidP="00D34104">
      <w:pPr>
        <w:ind w:left="284" w:right="276" w:firstLine="425"/>
        <w:jc w:val="both"/>
        <w:rPr>
          <w:rFonts w:cs="Times-Bold"/>
          <w:bCs/>
          <w:sz w:val="28"/>
          <w:szCs w:val="32"/>
          <w:lang w:bidi="it-IT"/>
        </w:rPr>
      </w:pPr>
      <w:r w:rsidRPr="00FB59D4">
        <w:rPr>
          <w:rFonts w:cs="Times-Bold"/>
          <w:bCs/>
          <w:sz w:val="28"/>
          <w:szCs w:val="32"/>
          <w:lang w:bidi="it-IT"/>
        </w:rPr>
        <w:t>Ancora una volta la vecchia strega muore cremata, in un finale di commedia musicale che molti hanno considerato purtroppo anticipatorio delle terribili arsure di ben altro tipo, realizzate qualche decennio dopo da ignobili forni crematori sempre in attività e che è meglio non dimenticare mai</w:t>
      </w:r>
      <w:r w:rsidRPr="00FB59D4">
        <w:rPr>
          <w:rStyle w:val="Rimandonotaapidipagina"/>
          <w:rFonts w:cs="Times-Bold"/>
          <w:bCs/>
          <w:sz w:val="28"/>
          <w:szCs w:val="32"/>
          <w:lang w:bidi="it-IT"/>
        </w:rPr>
        <w:footnoteReference w:id="63"/>
      </w:r>
      <w:r w:rsidRPr="00FB59D4">
        <w:rPr>
          <w:rFonts w:cs="Times-Bold"/>
          <w:bCs/>
          <w:sz w:val="28"/>
          <w:szCs w:val="32"/>
          <w:lang w:bidi="it-IT"/>
        </w:rPr>
        <w:t>.</w:t>
      </w:r>
    </w:p>
    <w:p w:rsidR="00D34104" w:rsidRPr="00FB59D4" w:rsidRDefault="00D34104" w:rsidP="00D34104">
      <w:pPr>
        <w:ind w:left="284" w:right="276" w:firstLine="425"/>
        <w:jc w:val="both"/>
        <w:rPr>
          <w:rFonts w:cs="Times-Bold"/>
          <w:bCs/>
          <w:sz w:val="28"/>
          <w:szCs w:val="32"/>
          <w:lang w:bidi="it-IT"/>
        </w:rPr>
      </w:pPr>
      <w:r w:rsidRPr="00FB59D4">
        <w:rPr>
          <w:rFonts w:cs="Times-Bold"/>
          <w:bCs/>
          <w:sz w:val="28"/>
          <w:szCs w:val="32"/>
          <w:lang w:bidi="it-IT"/>
        </w:rPr>
        <w:t xml:space="preserve">Adolf Hitler, si sa, era maniacalmente attratto dalle </w:t>
      </w:r>
      <w:r w:rsidRPr="00FB59D4">
        <w:rPr>
          <w:rFonts w:cs="Times-Bold"/>
          <w:bCs/>
          <w:i/>
          <w:sz w:val="28"/>
          <w:szCs w:val="32"/>
          <w:lang w:bidi="it-IT"/>
        </w:rPr>
        <w:t>Fiabe dei bambini e del focolare</w:t>
      </w:r>
      <w:r w:rsidRPr="00FB59D4">
        <w:rPr>
          <w:rFonts w:cs="Times-Bold"/>
          <w:bCs/>
          <w:sz w:val="28"/>
          <w:szCs w:val="32"/>
          <w:lang w:bidi="it-IT"/>
        </w:rPr>
        <w:t xml:space="preserve">. </w:t>
      </w:r>
    </w:p>
    <w:p w:rsidR="00D34104" w:rsidRPr="00FB59D4" w:rsidRDefault="00D34104" w:rsidP="00D34104">
      <w:pPr>
        <w:ind w:left="284" w:right="276" w:firstLine="425"/>
        <w:jc w:val="both"/>
        <w:rPr>
          <w:rFonts w:cs="Times-Bold"/>
          <w:bCs/>
          <w:sz w:val="28"/>
          <w:szCs w:val="32"/>
          <w:lang w:bidi="it-IT"/>
        </w:rPr>
      </w:pPr>
      <w:r w:rsidRPr="00FB59D4">
        <w:rPr>
          <w:rFonts w:cs="Times-Bold"/>
          <w:bCs/>
          <w:sz w:val="28"/>
          <w:szCs w:val="32"/>
          <w:lang w:bidi="it-IT"/>
        </w:rPr>
        <w:t>Il partito nazista incoraggiava le famiglie tedesche ad utilizzare edizioni fortemente selezionate della raccolta dei fratelli Grimm, come libro domestico per promuovere i valori tradizionali, la potenza e l’unità della razza ariana.</w:t>
      </w:r>
    </w:p>
    <w:p w:rsidR="00D34104" w:rsidRPr="00FB59D4" w:rsidRDefault="00D34104" w:rsidP="00D34104">
      <w:pPr>
        <w:ind w:left="284" w:right="276" w:firstLine="425"/>
        <w:jc w:val="both"/>
        <w:rPr>
          <w:rFonts w:cs="Times-Bold"/>
          <w:bCs/>
          <w:sz w:val="28"/>
          <w:szCs w:val="32"/>
          <w:lang w:bidi="it-IT"/>
        </w:rPr>
      </w:pPr>
      <w:r w:rsidRPr="00FB59D4">
        <w:rPr>
          <w:rFonts w:cs="Times-Bold"/>
          <w:bCs/>
          <w:sz w:val="28"/>
          <w:szCs w:val="32"/>
          <w:lang w:bidi="it-IT"/>
        </w:rPr>
        <w:t>Jacob e Wilhelm Grimm ai loro tempi furono certamente studiosi seri, profondi e disinteressati, nessuno può chiamarli responsabili di posteriori storture catastrofiche attribuibili ad altri.</w:t>
      </w:r>
    </w:p>
    <w:p w:rsidR="00D34104" w:rsidRPr="00FB59D4" w:rsidRDefault="00D34104" w:rsidP="00D34104">
      <w:pPr>
        <w:ind w:left="284" w:right="276" w:firstLine="425"/>
        <w:jc w:val="both"/>
        <w:rPr>
          <w:rFonts w:cs="Times-Bold"/>
          <w:bCs/>
          <w:sz w:val="28"/>
          <w:szCs w:val="32"/>
          <w:lang w:bidi="it-IT"/>
        </w:rPr>
      </w:pPr>
      <w:r w:rsidRPr="00FB59D4">
        <w:rPr>
          <w:rFonts w:cs="Times-Bold"/>
          <w:bCs/>
          <w:sz w:val="28"/>
          <w:szCs w:val="32"/>
          <w:lang w:bidi="it-IT"/>
        </w:rPr>
        <w:t>Semi proficui di alta cultura, è noto, sovente possono essere malamente strumentalizzati.</w:t>
      </w:r>
    </w:p>
    <w:p w:rsidR="00D34104" w:rsidRPr="00FB59D4" w:rsidRDefault="00D34104" w:rsidP="00D34104">
      <w:pPr>
        <w:ind w:left="284" w:right="276" w:firstLine="425"/>
        <w:jc w:val="both"/>
        <w:rPr>
          <w:rFonts w:cs="Times-Bold"/>
          <w:bCs/>
          <w:sz w:val="28"/>
          <w:szCs w:val="32"/>
          <w:lang w:bidi="it-IT"/>
        </w:rPr>
      </w:pPr>
      <w:r w:rsidRPr="00FB59D4">
        <w:rPr>
          <w:rFonts w:cs="Times-Bold"/>
          <w:bCs/>
          <w:sz w:val="28"/>
          <w:szCs w:val="32"/>
          <w:lang w:bidi="it-IT"/>
        </w:rPr>
        <w:t xml:space="preserve">Ma questa, appunto, è un’altra terribile </w:t>
      </w:r>
      <w:r w:rsidRPr="00FB59D4">
        <w:rPr>
          <w:rFonts w:cs="Times-Bold"/>
          <w:bCs/>
          <w:i/>
          <w:sz w:val="28"/>
          <w:szCs w:val="32"/>
          <w:lang w:bidi="it-IT"/>
        </w:rPr>
        <w:t>fiaba</w:t>
      </w:r>
      <w:r w:rsidRPr="00FB59D4">
        <w:rPr>
          <w:rFonts w:cs="Times-Bold"/>
          <w:bCs/>
          <w:sz w:val="28"/>
          <w:szCs w:val="32"/>
          <w:lang w:bidi="it-IT"/>
        </w:rPr>
        <w:t>…</w:t>
      </w:r>
      <w:r w:rsidRPr="00FB59D4">
        <w:rPr>
          <w:rStyle w:val="Rimandonotaapidipagina"/>
          <w:rFonts w:cs="Times-Bold"/>
          <w:bCs/>
          <w:sz w:val="28"/>
          <w:szCs w:val="32"/>
          <w:lang w:bidi="it-IT"/>
        </w:rPr>
        <w:footnoteReference w:id="64"/>
      </w:r>
    </w:p>
    <w:p w:rsidR="00D34104" w:rsidRPr="009A2A48" w:rsidRDefault="00D34104" w:rsidP="00D34104">
      <w:pPr>
        <w:ind w:left="284" w:right="276" w:firstLine="425"/>
        <w:contextualSpacing/>
        <w:jc w:val="center"/>
        <w:rPr>
          <w:rFonts w:cs="Helvetica"/>
          <w:sz w:val="28"/>
          <w:szCs w:val="26"/>
          <w:u w:val="single"/>
          <w:lang w:bidi="it-IT"/>
        </w:rPr>
      </w:pPr>
      <w:r w:rsidRPr="009A2A48">
        <w:rPr>
          <w:b/>
          <w:sz w:val="28"/>
          <w:u w:val="single"/>
        </w:rPr>
        <w:t>Racconti di giustizia tra occidente e oriente</w:t>
      </w:r>
    </w:p>
    <w:p w:rsidR="00D34104" w:rsidRPr="00E45D99" w:rsidRDefault="00D34104" w:rsidP="00D34104">
      <w:pPr>
        <w:ind w:left="284" w:right="276" w:firstLine="425"/>
        <w:contextualSpacing/>
        <w:jc w:val="both"/>
        <w:rPr>
          <w:rFonts w:cs="Helvetica"/>
          <w:sz w:val="28"/>
          <w:szCs w:val="26"/>
          <w:lang w:bidi="it-IT"/>
        </w:rPr>
      </w:pP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Noi abbiamo un Sacro Reggitore - diceva Emanuele Kant (1724-1804), discorrendo di religione nei soli limiti della ragione - e il diritto è quanto di più sacro egli abbia donato agli uomini</w:t>
      </w:r>
      <w:r w:rsidRPr="00501471">
        <w:rPr>
          <w:rStyle w:val="Rimandonotaapidipagina"/>
          <w:rFonts w:cs="Helvetica"/>
          <w:sz w:val="28"/>
          <w:szCs w:val="26"/>
          <w:lang w:bidi="it-IT"/>
        </w:rPr>
        <w:footnoteReference w:id="65"/>
      </w:r>
      <w:r w:rsidRPr="00501471">
        <w:rPr>
          <w:rFonts w:cs="Helvetica"/>
          <w:sz w:val="28"/>
          <w:szCs w:val="26"/>
          <w:lang w:bidi="it-IT"/>
        </w:rPr>
        <w:t>.</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Della dimensione giuridica interpersonale favorita dalla comunicazione dei valori che la giuridicità dovrebbe trasmettere, l’alterità o meglio la dignità nell’alterità è il fondamento basico.</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Ciò non sempre si realizza, soprattutto non sempre si percepisce.</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 xml:space="preserve">Per questo non è facile spiegare con parole razionali o presuntamente tali il </w:t>
      </w:r>
      <w:r w:rsidRPr="00932A7F">
        <w:rPr>
          <w:rFonts w:cs="Helvetica"/>
          <w:i/>
          <w:sz w:val="28"/>
          <w:szCs w:val="26"/>
          <w:lang w:bidi="it-IT"/>
        </w:rPr>
        <w:t>mistero</w:t>
      </w:r>
      <w:r w:rsidRPr="00501471">
        <w:rPr>
          <w:rFonts w:cs="Helvetica"/>
          <w:sz w:val="28"/>
          <w:szCs w:val="26"/>
          <w:lang w:bidi="it-IT"/>
        </w:rPr>
        <w:t xml:space="preserve"> della </w:t>
      </w:r>
      <w:r w:rsidRPr="00932A7F">
        <w:rPr>
          <w:rFonts w:cs="Helvetica"/>
          <w:i/>
          <w:sz w:val="28"/>
          <w:szCs w:val="26"/>
          <w:lang w:bidi="it-IT"/>
        </w:rPr>
        <w:t>giustizia</w:t>
      </w:r>
      <w:r w:rsidRPr="00501471">
        <w:rPr>
          <w:rFonts w:cs="Helvetica"/>
          <w:sz w:val="28"/>
          <w:szCs w:val="26"/>
          <w:lang w:bidi="it-IT"/>
        </w:rPr>
        <w:t xml:space="preserve"> che del diritto è la prima aspirazione.</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lastRenderedPageBreak/>
        <w:t>Definire l’essenza di questo mistero è obiettivo assai ambizioso: una lunga tradizione di pensiero dai Pitagorici a Platone e Aristotele fino ai contemporanei  Rawls ed Amartya Sen si è cimentata con questa prova ma non è certo questa la sede per ripercorrerne anche solo sinteticamente idee e risultati.</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Le parole di giustizia, siano esse politiche o più squisitamente giuridiche sono tantissime e tantissime le sottese questioni.</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Certo, può tentarsi un approccio neo-illuministico fatto di forma e ragione, ed avventurarsi una volta ancora nel campo ostico della definizione, della delimitazione, della comprensione compiuta, se ci si riesce.</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Oppure ci si può abbandonare all’emozione, all’impressione, al racconto che lasci traccia, nella perfetta convinzione che, prima di tutto, la giustizia sia un sentimento, secondo il titolo di un bel libro che ha, con pieno merito, avuto una certa eco qualche tempo fa</w:t>
      </w:r>
      <w:r w:rsidRPr="00501471">
        <w:rPr>
          <w:rStyle w:val="Rimandonotaapidipagina"/>
          <w:rFonts w:cs="Helvetica"/>
          <w:sz w:val="28"/>
          <w:szCs w:val="26"/>
          <w:lang w:bidi="it-IT"/>
        </w:rPr>
        <w:footnoteReference w:id="66"/>
      </w:r>
      <w:r w:rsidRPr="00501471">
        <w:rPr>
          <w:rFonts w:cs="Helvetica"/>
          <w:sz w:val="28"/>
          <w:szCs w:val="26"/>
          <w:lang w:bidi="it-IT"/>
        </w:rPr>
        <w:t>.</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Entro questo tipo di orizzonte non è azzardato dire che spunti di intuizione possano validamente arrivare da qualsiasi contesto culturale ed antropologico umano, indifferentemente; talvolta seguendo direzioni e percorsi davvero impensabili.</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L’</w:t>
      </w:r>
      <w:r w:rsidRPr="00067CAC">
        <w:rPr>
          <w:rFonts w:cs="Helvetica"/>
          <w:i/>
          <w:sz w:val="28"/>
          <w:szCs w:val="26"/>
          <w:lang w:bidi="it-IT"/>
        </w:rPr>
        <w:t>homo juridicus</w:t>
      </w:r>
      <w:r w:rsidRPr="00501471">
        <w:rPr>
          <w:rFonts w:cs="Helvetica"/>
          <w:sz w:val="28"/>
          <w:szCs w:val="26"/>
          <w:lang w:bidi="it-IT"/>
        </w:rPr>
        <w:t xml:space="preserve"> occidentale, avvezzo da secoli al sofisma ed al cavillo, mostrerà dunque incredulo stupore nel rapportarsi col senso, cosmico e universale, di giustizia che traspare dalle parole - solo per fare un esempio calzante ed illuminante - del gran capo indiano Smohalla (1815-1895), sciamano, filosofo, sognatore della tribù dei </w:t>
      </w:r>
      <w:r w:rsidRPr="00067CAC">
        <w:rPr>
          <w:rFonts w:cs="Helvetica"/>
          <w:i/>
          <w:sz w:val="28"/>
          <w:szCs w:val="26"/>
          <w:lang w:bidi="it-IT"/>
        </w:rPr>
        <w:t>Nasi Forati</w:t>
      </w:r>
      <w:r w:rsidRPr="00501471">
        <w:rPr>
          <w:rFonts w:cs="Helvetica"/>
          <w:sz w:val="28"/>
          <w:szCs w:val="26"/>
          <w:lang w:bidi="it-IT"/>
        </w:rPr>
        <w:t>, appartenente alla nazione nativo-americana dei Wampum.</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 xml:space="preserve"> </w:t>
      </w:r>
    </w:p>
    <w:p w:rsidR="00D34104" w:rsidRPr="00067CAC" w:rsidRDefault="00D34104" w:rsidP="00D34104">
      <w:pPr>
        <w:ind w:left="1134" w:right="1694"/>
        <w:contextualSpacing/>
        <w:jc w:val="both"/>
        <w:rPr>
          <w:rFonts w:cs="Helvetica"/>
          <w:szCs w:val="26"/>
          <w:lang w:bidi="it-IT"/>
        </w:rPr>
      </w:pPr>
      <w:r w:rsidRPr="00067CAC">
        <w:rPr>
          <w:rFonts w:cs="Helvetica"/>
          <w:szCs w:val="26"/>
          <w:lang w:bidi="it-IT"/>
        </w:rPr>
        <w:t xml:space="preserve">L’uomo bianco – diceva Smohalla – non ha amore per la terra, il cervo e l’orso. Quando noi indiani uccidiamo un animale, lo mangiamo completamente. Quando cerchiamo le radici, facciamo buchi piccoli per non fare male alla terra. Per i nostri fuochi, noi usiamo solo i rami caduti. Ma l’uomo bianco taglia i rami viventi, e l’albero dice: </w:t>
      </w:r>
      <w:r w:rsidRPr="00067CAC">
        <w:rPr>
          <w:rFonts w:cs="Helvetica"/>
          <w:i/>
          <w:szCs w:val="26"/>
          <w:lang w:bidi="it-IT"/>
        </w:rPr>
        <w:t>Non farlo, non farmi male</w:t>
      </w:r>
      <w:r w:rsidRPr="00067CAC">
        <w:rPr>
          <w:rFonts w:cs="Helvetica"/>
          <w:szCs w:val="26"/>
          <w:lang w:bidi="it-IT"/>
        </w:rPr>
        <w:t xml:space="preserve">. Ma il bianco non ha pietà. Lo spirito della terra lo odia. L’uomo bianco distrugge tutto. Spacca la pietra con la dinamite e le rocce dicono: </w:t>
      </w:r>
      <w:r w:rsidRPr="00067CAC">
        <w:rPr>
          <w:rFonts w:cs="Helvetica"/>
          <w:i/>
          <w:szCs w:val="26"/>
          <w:lang w:bidi="it-IT"/>
        </w:rPr>
        <w:t>Non farlo, fai male alla terra</w:t>
      </w:r>
      <w:r w:rsidRPr="00067CAC">
        <w:rPr>
          <w:rFonts w:cs="Helvetica"/>
          <w:szCs w:val="26"/>
          <w:lang w:bidi="it-IT"/>
        </w:rPr>
        <w:t>. Come può lo spirito della terra amare i bianchi? Tutto ciò che i bianchi toccano prova dolore…</w:t>
      </w:r>
      <w:r w:rsidRPr="00067CAC">
        <w:rPr>
          <w:rStyle w:val="Rimandonotaapidipagina"/>
          <w:rFonts w:cs="Helvetica"/>
          <w:szCs w:val="26"/>
          <w:lang w:bidi="it-IT"/>
        </w:rPr>
        <w:footnoteReference w:id="67"/>
      </w:r>
    </w:p>
    <w:p w:rsidR="00D34104" w:rsidRPr="00501471" w:rsidRDefault="00D34104" w:rsidP="00D34104">
      <w:pPr>
        <w:ind w:left="284" w:right="276" w:firstLine="425"/>
        <w:contextualSpacing/>
        <w:jc w:val="both"/>
        <w:rPr>
          <w:rFonts w:cs="Helvetica"/>
          <w:sz w:val="28"/>
          <w:szCs w:val="26"/>
          <w:lang w:bidi="it-IT"/>
        </w:rPr>
      </w:pP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 xml:space="preserve">Un’impressionante anticipazione di temi - ecologia del diritto, rapporto tra uomo e natura in prospettiva politica, problemi dello sviluppo sostenibile - che </w:t>
      </w:r>
      <w:r w:rsidRPr="00501471">
        <w:rPr>
          <w:rFonts w:cs="Helvetica"/>
          <w:sz w:val="28"/>
          <w:szCs w:val="26"/>
          <w:lang w:bidi="it-IT"/>
        </w:rPr>
        <w:lastRenderedPageBreak/>
        <w:t>saranno conquistati alla riflessione filosofico giuridica dell’</w:t>
      </w:r>
      <w:r w:rsidRPr="00067CAC">
        <w:rPr>
          <w:rFonts w:cs="Helvetica"/>
          <w:i/>
          <w:sz w:val="28"/>
          <w:szCs w:val="26"/>
          <w:lang w:bidi="it-IT"/>
        </w:rPr>
        <w:t>uomo bianco</w:t>
      </w:r>
      <w:r w:rsidRPr="00067CAC">
        <w:rPr>
          <w:rFonts w:cs="Helvetica"/>
          <w:sz w:val="28"/>
          <w:szCs w:val="26"/>
          <w:lang w:bidi="it-IT"/>
        </w:rPr>
        <w:t>, solo un secolo dopo rispetto alle parole del pensatore indigeno americano</w:t>
      </w:r>
      <w:r w:rsidRPr="00067CAC">
        <w:rPr>
          <w:rStyle w:val="Rimandonotaapidipagina"/>
          <w:rFonts w:cs="Helvetica"/>
          <w:sz w:val="28"/>
          <w:szCs w:val="26"/>
          <w:lang w:bidi="it-IT"/>
        </w:rPr>
        <w:footnoteReference w:id="68"/>
      </w:r>
      <w:r w:rsidRPr="00067CAC">
        <w:rPr>
          <w:rFonts w:cs="Helvetica"/>
          <w:sz w:val="28"/>
          <w:szCs w:val="26"/>
          <w:lang w:bidi="it-IT"/>
        </w:rPr>
        <w:t>.</w:t>
      </w:r>
      <w:r w:rsidRPr="00501471">
        <w:rPr>
          <w:rFonts w:cs="Helvetica"/>
          <w:sz w:val="28"/>
          <w:szCs w:val="26"/>
          <w:lang w:bidi="it-IT"/>
        </w:rPr>
        <w:t xml:space="preserve"> </w:t>
      </w:r>
    </w:p>
    <w:p w:rsidR="00D34104" w:rsidRPr="00501471"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Da oriente a occidente, da nord a sud, insomma, la comunicazione narrativa che ha provato a sedimentare il sentimento della giustizia è stata sempre variegata ed eclettica.</w:t>
      </w:r>
    </w:p>
    <w:p w:rsidR="00D34104" w:rsidRPr="00067CAC" w:rsidRDefault="00D34104" w:rsidP="00D34104">
      <w:pPr>
        <w:ind w:left="284" w:right="276" w:firstLine="425"/>
        <w:contextualSpacing/>
        <w:jc w:val="both"/>
        <w:rPr>
          <w:rFonts w:cs="Helvetica"/>
          <w:sz w:val="28"/>
          <w:szCs w:val="26"/>
          <w:lang w:bidi="it-IT"/>
        </w:rPr>
      </w:pPr>
      <w:r w:rsidRPr="00501471">
        <w:rPr>
          <w:rFonts w:cs="Helvetica"/>
          <w:sz w:val="28"/>
          <w:szCs w:val="26"/>
          <w:lang w:bidi="it-IT"/>
        </w:rPr>
        <w:t>E’ comprensibile allora che la morfologia della favola e della fiaba, ormai lo si s</w:t>
      </w:r>
      <w:r w:rsidRPr="00067CAC">
        <w:rPr>
          <w:rFonts w:cs="Helvetica"/>
          <w:sz w:val="28"/>
          <w:szCs w:val="26"/>
          <w:lang w:bidi="it-IT"/>
        </w:rPr>
        <w:t>arà compreso, si presti magnificamente a fungere da utile cassa di risonanza per questo genere di messaggistica valoriale.</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Ciò avviene indipendentemente dalle latitudini geoetniche di riferimento.</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Talvolta anzi la lontananza che separa oriente e occidente quanto a sensibilità giuridica viene segnalata ed amplificata in questa dimensione, senza per ciò esprimere tuttavia giudizi o graduatorie di valore.</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Il tema universale dei rapporti tra i cittadini qualsiasi e l’apparato di giustizia, reso in centinaia di racconti popolari, viene presentato, ad esempio, con toni e accenti diametralmente opposti da due brevi apologhi tratti da tradizioni le più distanti e disparate tra di loro.</w:t>
      </w:r>
    </w:p>
    <w:p w:rsidR="00D34104" w:rsidRPr="00067CAC" w:rsidRDefault="00D34104" w:rsidP="00D34104">
      <w:pPr>
        <w:ind w:left="284" w:right="276" w:firstLine="425"/>
        <w:jc w:val="both"/>
        <w:rPr>
          <w:sz w:val="28"/>
        </w:rPr>
      </w:pPr>
      <w:r w:rsidRPr="00067CAC">
        <w:rPr>
          <w:sz w:val="28"/>
        </w:rPr>
        <w:t>In tutti i trattati introduttivi al diritto giapponese è riportata la trama di un singolare caso giudiziario che, a mo’ di favola di tradizione, meglio di mille parole funge da utile termine di paragone per l’esempio che vuole introdursi.</w:t>
      </w:r>
    </w:p>
    <w:p w:rsidR="00D34104" w:rsidRPr="00067CAC" w:rsidRDefault="00D34104" w:rsidP="00D34104">
      <w:pPr>
        <w:ind w:left="284" w:right="276" w:firstLine="425"/>
        <w:jc w:val="both"/>
        <w:rPr>
          <w:sz w:val="28"/>
        </w:rPr>
      </w:pPr>
      <w:r w:rsidRPr="00067CAC">
        <w:rPr>
          <w:sz w:val="28"/>
        </w:rPr>
        <w:t xml:space="preserve">Si tratta della famosa vicenda, che affonda le proprie radici in un tempo remotissimo, detta della </w:t>
      </w:r>
      <w:r w:rsidRPr="00067CAC">
        <w:rPr>
          <w:i/>
          <w:sz w:val="28"/>
        </w:rPr>
        <w:t>lite d’onore</w:t>
      </w:r>
      <w:r w:rsidRPr="00067CAC">
        <w:rPr>
          <w:sz w:val="28"/>
        </w:rPr>
        <w:t>.</w:t>
      </w:r>
    </w:p>
    <w:p w:rsidR="00D34104" w:rsidRPr="00067CAC" w:rsidRDefault="00D34104" w:rsidP="00D34104">
      <w:pPr>
        <w:ind w:left="284" w:right="276" w:firstLine="425"/>
        <w:jc w:val="both"/>
        <w:rPr>
          <w:sz w:val="28"/>
        </w:rPr>
      </w:pPr>
    </w:p>
    <w:p w:rsidR="00D34104" w:rsidRPr="00067CAC" w:rsidRDefault="00D34104" w:rsidP="00D34104">
      <w:pPr>
        <w:ind w:left="1134" w:right="1694"/>
        <w:jc w:val="both"/>
      </w:pPr>
      <w:r w:rsidRPr="00067CAC">
        <w:t>Una persona umile ma onestissima - narra la storiella - aveva perduto tre monete d’oro, cioè tutto quel che possedeva.</w:t>
      </w:r>
    </w:p>
    <w:p w:rsidR="00D34104" w:rsidRPr="00067CAC" w:rsidRDefault="00D34104" w:rsidP="00D34104">
      <w:pPr>
        <w:ind w:left="1134" w:right="1694"/>
        <w:jc w:val="both"/>
      </w:pPr>
      <w:r w:rsidRPr="00067CAC">
        <w:t xml:space="preserve">Le ricerche per ritrovarle in campagna erano state tanto lunghe quanto vane. Un nobile </w:t>
      </w:r>
      <w:r w:rsidRPr="00067CAC">
        <w:rPr>
          <w:i/>
        </w:rPr>
        <w:t>samurai</w:t>
      </w:r>
      <w:r w:rsidRPr="00067CAC">
        <w:t xml:space="preserve">, attratto dai lamenti dell’uomo, aveva preso ad aiutarlo e aveva al fine scovato i tre pezzi dell’aureo conio. Dopo il ritrovamento, sia lo smarritore che il ritrovatore volevano che fosse l’altro a tenere per sé il tesoretto, insistendo fino allo spasimo. </w:t>
      </w:r>
      <w:r w:rsidRPr="00067CAC">
        <w:rPr>
          <w:i/>
        </w:rPr>
        <w:t>Sono povero ma tengo al mio onore</w:t>
      </w:r>
      <w:r w:rsidRPr="00067CAC">
        <w:t xml:space="preserve">, diceva uno. </w:t>
      </w:r>
      <w:r w:rsidRPr="00067CAC">
        <w:rPr>
          <w:i/>
        </w:rPr>
        <w:t>Sono un nobile guerriero, non potrei mai accettare</w:t>
      </w:r>
      <w:r w:rsidRPr="00067CAC">
        <w:t>, rispondeva l’altro. I due, incapaci di accordarsi, si erano allora rivolti al giudice e questi, aggiunta una moneta delle sue e avutene dunque quattro in mano, ne aveva date due a ciascuno dei litiganti.</w:t>
      </w:r>
    </w:p>
    <w:p w:rsidR="00D34104" w:rsidRPr="00067CAC" w:rsidRDefault="00D34104" w:rsidP="00D34104">
      <w:pPr>
        <w:ind w:left="1134" w:right="1694"/>
        <w:jc w:val="both"/>
        <w:rPr>
          <w:i/>
        </w:rPr>
      </w:pPr>
      <w:r w:rsidRPr="00067CAC">
        <w:t xml:space="preserve">Quando i contendenti, ammirati da tanto acume e apparentemente soddisfatti, stavano per lasciare l’aula del magistrato, l’anziano giudice, avuta la loro attenzione, li rimproverò. </w:t>
      </w:r>
      <w:r w:rsidRPr="00067CAC">
        <w:rPr>
          <w:i/>
        </w:rPr>
        <w:t>Questo è ciò che succede</w:t>
      </w:r>
      <w:r w:rsidRPr="00067CAC">
        <w:t xml:space="preserve"> - disse il saggio - </w:t>
      </w:r>
      <w:r w:rsidRPr="00067CAC">
        <w:rPr>
          <w:i/>
        </w:rPr>
        <w:t>quando si vuole deferire ad un terzo la soluzione di un caso giudiziario per l’incapacità di trovare un accordo. Ora siete tutti contenti, ma in questo modo ciascuno di noi tre ha perduto una moneta d’oro delle sue!</w:t>
      </w:r>
    </w:p>
    <w:p w:rsidR="00D34104" w:rsidRPr="00067CAC" w:rsidRDefault="00D34104" w:rsidP="00D34104">
      <w:pPr>
        <w:ind w:left="284" w:right="276" w:firstLine="425"/>
        <w:contextualSpacing/>
        <w:jc w:val="both"/>
        <w:rPr>
          <w:rFonts w:cs="Helvetica"/>
          <w:sz w:val="28"/>
          <w:szCs w:val="26"/>
          <w:lang w:bidi="it-IT"/>
        </w:rPr>
      </w:pPr>
    </w:p>
    <w:p w:rsidR="00D34104" w:rsidRPr="00067CAC" w:rsidRDefault="00D34104" w:rsidP="00D34104">
      <w:pPr>
        <w:ind w:left="284" w:right="276" w:firstLine="425"/>
        <w:jc w:val="both"/>
        <w:rPr>
          <w:sz w:val="28"/>
        </w:rPr>
      </w:pPr>
      <w:r w:rsidRPr="00067CAC">
        <w:rPr>
          <w:rFonts w:cs="Helvetica"/>
          <w:sz w:val="28"/>
          <w:szCs w:val="26"/>
          <w:lang w:bidi="it-IT"/>
        </w:rPr>
        <w:lastRenderedPageBreak/>
        <w:t xml:space="preserve"> La storia naturalmente è influenzata dalla sfiducia nel diritto come strumento regolativo di controllo da sempre caratteristica delle culture estremo-orientali</w:t>
      </w:r>
      <w:r w:rsidRPr="00067CAC">
        <w:rPr>
          <w:sz w:val="28"/>
        </w:rPr>
        <w:t>, influenzate dal confucianesimo e dal taoismo e perciò più propense che altrove a ricercare spasmodicamente la transazione, l’accordo a tutti i costi che, più della lite in tribunale, rispetti il ruolo e l’equilibrio di ciascuno nel mondo etico e spirituale della comunità, senza le traumatiche rotture inevitabilmente indotte dal passaggio alle vie legali.</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A distanza di secoli e di molte migliaia di chilometri, la cultura occidentale si è a lungo prodotta, come si sa, in teorizzazioni di sapore assai diverso.</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Anche in questo caso soccorre la tradizione favolistica, un reperto della quale è particolarmente caratteristico per dar conto di ciò.</w:t>
      </w:r>
    </w:p>
    <w:p w:rsidR="00D34104" w:rsidRPr="00092BFF"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 xml:space="preserve">Si tratta della famosa favola di Jean de La Fontaine - </w:t>
      </w:r>
      <w:r w:rsidRPr="00CC12F4">
        <w:rPr>
          <w:sz w:val="28"/>
        </w:rPr>
        <w:t xml:space="preserve">(la n. IX del libro 9° della raccolta dell’autore francese) - </w:t>
      </w:r>
      <w:r w:rsidRPr="00092BFF">
        <w:rPr>
          <w:rFonts w:cs="Helvetica"/>
          <w:i/>
          <w:sz w:val="28"/>
          <w:szCs w:val="26"/>
          <w:lang w:bidi="it-IT"/>
        </w:rPr>
        <w:t>L’ostrica e i due litiganti</w:t>
      </w:r>
      <w:r w:rsidRPr="00092BFF">
        <w:rPr>
          <w:rFonts w:cs="Helvetica"/>
          <w:sz w:val="28"/>
          <w:szCs w:val="26"/>
          <w:lang w:bidi="it-IT"/>
        </w:rPr>
        <w:t>.</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 xml:space="preserve"> </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Due pellegrini un dì videro un'Ostrica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sulla sabbia del mar, e ognun coll'indice</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segnandola e coll'occhio trangugiandola,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nacque fra lor la zuffa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a chi prima l'acciuffa,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perché volea ciascun dei contendenti</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mangiarla anche coi denti.</w:t>
      </w:r>
    </w:p>
    <w:p w:rsidR="00D34104" w:rsidRPr="00092BFF" w:rsidRDefault="00D34104" w:rsidP="00D34104">
      <w:pPr>
        <w:widowControl w:val="0"/>
        <w:autoSpaceDE w:val="0"/>
        <w:autoSpaceDN w:val="0"/>
        <w:adjustRightInd w:val="0"/>
        <w:jc w:val="center"/>
        <w:rPr>
          <w:rFonts w:cs="Verdana"/>
          <w:szCs w:val="22"/>
          <w:lang w:bidi="it-IT"/>
        </w:rPr>
      </w:pP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L'uno si abbassa e tenta di raccoglierla,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ma l'altro: - Amico, - grida, sospingendolo, -</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a chi tocca vediam prima, di grazia.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Io sono del parere</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che chi prima l'ha vista in riva al mare</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la debba anche godere,</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e si contenti l'altro di guardare.</w:t>
      </w:r>
    </w:p>
    <w:p w:rsidR="00D34104" w:rsidRPr="00092BFF" w:rsidRDefault="00D34104" w:rsidP="00D34104">
      <w:pPr>
        <w:widowControl w:val="0"/>
        <w:autoSpaceDE w:val="0"/>
        <w:autoSpaceDN w:val="0"/>
        <w:adjustRightInd w:val="0"/>
        <w:jc w:val="center"/>
        <w:rPr>
          <w:rFonts w:cs="Verdana"/>
          <w:szCs w:val="22"/>
          <w:lang w:bidi="it-IT"/>
        </w:rPr>
      </w:pP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 Sia pur, - rispose l'altro, - se al giudizio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credi dell'occhio, ogni diritto è mio,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che vedo, grazie a Dio,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come non vede un'aquila lontano -.</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E l'altro: - Ho l'occhio sano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sia lode al cielo anch'io.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E pria di te quest'Ostrica ho veduto.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 Se tu l'hai vista prima,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prima di te l'ho conosciuta al fiuto -.</w:t>
      </w:r>
    </w:p>
    <w:p w:rsidR="00D34104" w:rsidRPr="00092BFF" w:rsidRDefault="00D34104" w:rsidP="00D34104">
      <w:pPr>
        <w:widowControl w:val="0"/>
        <w:autoSpaceDE w:val="0"/>
        <w:autoSpaceDN w:val="0"/>
        <w:adjustRightInd w:val="0"/>
        <w:jc w:val="center"/>
        <w:rPr>
          <w:rFonts w:cs="Verdana"/>
          <w:szCs w:val="22"/>
          <w:lang w:bidi="it-IT"/>
        </w:rPr>
      </w:pP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Intanto che contrastan sulla riva,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ecco Azzeccagarbugli in tempo arriva,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che nominato giudice,</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prende in esame l'Ostrica,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la sguscia e te l'inghiotte</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innanzi ai testimoni, e buona notte.</w:t>
      </w:r>
    </w:p>
    <w:p w:rsidR="00D34104" w:rsidRPr="00092BFF" w:rsidRDefault="00D34104" w:rsidP="00D34104">
      <w:pPr>
        <w:widowControl w:val="0"/>
        <w:autoSpaceDE w:val="0"/>
        <w:autoSpaceDN w:val="0"/>
        <w:adjustRightInd w:val="0"/>
        <w:jc w:val="center"/>
        <w:rPr>
          <w:rFonts w:cs="Verdana"/>
          <w:szCs w:val="22"/>
          <w:lang w:bidi="it-IT"/>
        </w:rPr>
      </w:pP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Quindi a' quei due rivolto,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che lo stanno a guardar stupidi in volto: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lastRenderedPageBreak/>
        <w:t>- Il tribunal senz'altra spesa e senza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appello, - dice, - ha scritta la sentenza: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prenda un guscio ciascun e lieto vada</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ciascun per la sua strada -.</w:t>
      </w:r>
    </w:p>
    <w:p w:rsidR="00D34104" w:rsidRPr="00092BFF" w:rsidRDefault="00D34104" w:rsidP="00D34104">
      <w:pPr>
        <w:widowControl w:val="0"/>
        <w:autoSpaceDE w:val="0"/>
        <w:autoSpaceDN w:val="0"/>
        <w:adjustRightInd w:val="0"/>
        <w:jc w:val="center"/>
        <w:rPr>
          <w:rFonts w:cs="Verdana"/>
          <w:szCs w:val="22"/>
          <w:lang w:bidi="it-IT"/>
        </w:rPr>
      </w:pP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Se guardi quel che costano i piati</w:t>
      </w:r>
      <w:r w:rsidRPr="00092BFF">
        <w:rPr>
          <w:rStyle w:val="Rimandonotaapidipagina"/>
          <w:rFonts w:cs="Verdana"/>
          <w:szCs w:val="22"/>
          <w:lang w:bidi="it-IT"/>
        </w:rPr>
        <w:footnoteReference w:id="69"/>
      </w:r>
      <w:r w:rsidRPr="00092BFF">
        <w:rPr>
          <w:rFonts w:cs="Verdana"/>
          <w:szCs w:val="22"/>
          <w:lang w:bidi="it-IT"/>
        </w:rPr>
        <w:t>,</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e quanto ben la gente se ne giovi,</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vedrai che vincon sempre gli avvocati,</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ai litiganti non rimàn che l'osso,</w:t>
      </w:r>
    </w:p>
    <w:p w:rsidR="00D34104" w:rsidRPr="00092BFF" w:rsidRDefault="00D34104" w:rsidP="00D34104">
      <w:pPr>
        <w:widowControl w:val="0"/>
        <w:autoSpaceDE w:val="0"/>
        <w:autoSpaceDN w:val="0"/>
        <w:adjustRightInd w:val="0"/>
        <w:jc w:val="center"/>
        <w:rPr>
          <w:rFonts w:cs="Verdana"/>
          <w:szCs w:val="22"/>
          <w:lang w:bidi="it-IT"/>
        </w:rPr>
      </w:pPr>
      <w:r w:rsidRPr="00092BFF">
        <w:rPr>
          <w:rFonts w:cs="Verdana"/>
          <w:szCs w:val="22"/>
          <w:lang w:bidi="it-IT"/>
        </w:rPr>
        <w:t>il danno e l'uscio addosso.</w:t>
      </w:r>
    </w:p>
    <w:p w:rsidR="00D34104" w:rsidRPr="00092BFF" w:rsidRDefault="00D34104" w:rsidP="00D34104">
      <w:pPr>
        <w:widowControl w:val="0"/>
        <w:autoSpaceDE w:val="0"/>
        <w:autoSpaceDN w:val="0"/>
        <w:adjustRightInd w:val="0"/>
        <w:jc w:val="center"/>
        <w:rPr>
          <w:rFonts w:ascii="Verdana" w:hAnsi="Verdana" w:cs="Verdana"/>
          <w:color w:val="586074"/>
          <w:sz w:val="22"/>
          <w:szCs w:val="22"/>
          <w:lang w:bidi="it-IT"/>
        </w:rPr>
      </w:pP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Nella favola ora ricordata, a differenza che in quella giapponese in cui il giudice non aveva esitato a rimetterci di tasca propria pur di restaurare l’ordine naturale turbato dal mancato accordo tra le parti, la classe forense è presentata più che come strumento di pacificazione sociale, come un vero e proprio pericolo per chi vi si rivolga fiducioso, in realtà inconsapevole di rappresentare, non appena varcata la soglia della corte, null’altro che una risorsa da far fruttare.</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Se, pertanto, nelle lontane plaghe orientali intrise di spiritualità confuciana, il giudice saggio aveva sconfessato se stesso ed il proprio ruolo, mettendo mano al borsellino pur di non pronunciarsi e di lasciare contenti attore e convenuto, con somma sfiducia nel diritto ma altrettanta fede nella pace delle relazioni tra gli uomini, dalle nostre parti, alla latitudini che del diritto un dì videro la nascita, in terre ormai di atavica litigiosità e conseguente gratuita, endemica, barocca cavillosità, l’azzeccagarbugli fattosi giudice – consapevole che mai nessuno potrà più far a meno di lui – con intuizione eguale e contraria a quella del collega nipponico, riesce a calmare gli animi e poco importa se lo fa distribuendo le inutili valve della conchiglia e trattenendo per il proprio insaziabile appetito, il frutto prezioso del mare.</w:t>
      </w:r>
    </w:p>
    <w:p w:rsidR="00D34104" w:rsidRPr="00067CAC"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Meglio di mille fumose spiegazioni, il ricorso al modello narrativo rende splendidamente l’idea, ancora oggi del tutto coerente col dato storico e sociale, di quanto le culture non occidentali continuino a guardare al contesto normativo e procedurale come immancabilmente lo intendiamo noi - da sempre avvezzi all’artificio giudiziario rococò - con un che di diffidente cautela, preferendo forse, nell’intimo delle proprie origini tradizionali, una giustizia senza diritto al nostro diritto che, in una polifonia di note sempre più incomprensibili ai cittadini, si realizza sempre, ma sovente senza giustizia.</w:t>
      </w:r>
    </w:p>
    <w:p w:rsidR="00D34104" w:rsidRPr="00092BFF" w:rsidRDefault="00D34104" w:rsidP="00D34104">
      <w:pPr>
        <w:ind w:left="284" w:right="276" w:firstLine="425"/>
        <w:contextualSpacing/>
        <w:jc w:val="both"/>
        <w:rPr>
          <w:rFonts w:cs="Helvetica"/>
          <w:sz w:val="28"/>
          <w:szCs w:val="26"/>
          <w:lang w:bidi="it-IT"/>
        </w:rPr>
      </w:pPr>
      <w:r w:rsidRPr="00067CAC">
        <w:rPr>
          <w:rFonts w:cs="Helvetica"/>
          <w:sz w:val="28"/>
          <w:szCs w:val="26"/>
          <w:lang w:bidi="it-IT"/>
        </w:rPr>
        <w:t xml:space="preserve">Non desta allora alcuna meraviglia, restando ancora nello sconfinato oriente del mondo, per la precisione nel ricco, avanzato e oggi economicamente ammirato subcontinente indiano, che l’endemica diffidenza verso i sistemi giudiziari fatti di apparati piramidali di regole scritte e di codici universali onniscienti ed onnicomprensivi, si superi in larga parte del paese proprio grazie </w:t>
      </w:r>
      <w:r w:rsidRPr="00092BFF">
        <w:rPr>
          <w:rFonts w:cs="Helvetica"/>
          <w:sz w:val="28"/>
          <w:szCs w:val="26"/>
          <w:lang w:bidi="it-IT"/>
        </w:rPr>
        <w:t>al ricorso alla favola come strumento conciliativo e giurisdizionale.</w:t>
      </w:r>
    </w:p>
    <w:p w:rsidR="00D34104" w:rsidRPr="00092BFF" w:rsidRDefault="00D34104" w:rsidP="00D34104">
      <w:pPr>
        <w:ind w:left="284" w:right="276" w:firstLine="425"/>
        <w:contextualSpacing/>
        <w:jc w:val="both"/>
        <w:rPr>
          <w:sz w:val="28"/>
        </w:rPr>
      </w:pPr>
      <w:r w:rsidRPr="00092BFF">
        <w:rPr>
          <w:sz w:val="28"/>
        </w:rPr>
        <w:lastRenderedPageBreak/>
        <w:t xml:space="preserve">L’idealizzazione dei fatti del diritto e della giustizia, attraverso la narrazione favolistica, anzi, è adeguatamente confacente a quel contesto geografico, certamente meno formalistico dei nostri. </w:t>
      </w:r>
    </w:p>
    <w:p w:rsidR="00D34104" w:rsidRPr="00092BFF" w:rsidRDefault="00D34104" w:rsidP="00D34104">
      <w:pPr>
        <w:ind w:left="284" w:right="276" w:firstLine="425"/>
        <w:contextualSpacing/>
        <w:jc w:val="both"/>
        <w:rPr>
          <w:sz w:val="28"/>
        </w:rPr>
      </w:pPr>
      <w:r w:rsidRPr="00092BFF">
        <w:rPr>
          <w:sz w:val="28"/>
        </w:rPr>
        <w:t xml:space="preserve">Il diritto indiano, per essere più precisi il diritto della grande nazione </w:t>
      </w:r>
      <w:r w:rsidRPr="00092BFF">
        <w:rPr>
          <w:i/>
          <w:sz w:val="28"/>
        </w:rPr>
        <w:t>tamil</w:t>
      </w:r>
      <w:r w:rsidRPr="00092BFF">
        <w:rPr>
          <w:sz w:val="28"/>
        </w:rPr>
        <w:t xml:space="preserve">  - una delle aree a sud est della penisola indiana, abitata da un centinaio di milioni di abitanti e vantante una tradizione letteraria millenaria - per esempio, conosce e tramanda da secoli una raccolta di novelle a sfondo giuridico - </w:t>
      </w:r>
      <w:r w:rsidRPr="00092BFF">
        <w:rPr>
          <w:i/>
          <w:sz w:val="28"/>
        </w:rPr>
        <w:t>Contes de Mariadi Ramane</w:t>
      </w:r>
      <w:r w:rsidRPr="00092BFF">
        <w:rPr>
          <w:sz w:val="28"/>
        </w:rPr>
        <w:t xml:space="preserve"> - le cui origini affondano nel remoto passato. </w:t>
      </w:r>
    </w:p>
    <w:p w:rsidR="00D34104" w:rsidRPr="00092BFF" w:rsidRDefault="00D34104" w:rsidP="00D34104">
      <w:pPr>
        <w:ind w:left="284" w:right="276" w:firstLine="425"/>
        <w:contextualSpacing/>
        <w:jc w:val="both"/>
        <w:rPr>
          <w:sz w:val="28"/>
        </w:rPr>
      </w:pPr>
      <w:r w:rsidRPr="00092BFF">
        <w:rPr>
          <w:sz w:val="28"/>
        </w:rPr>
        <w:t xml:space="preserve">Ciascuna di esse è dedicata alla descrizione e soluzione di un caso giudiziario, deciso dalla mitica figura del giudice </w:t>
      </w:r>
      <w:r w:rsidRPr="00092BFF">
        <w:rPr>
          <w:i/>
          <w:sz w:val="28"/>
        </w:rPr>
        <w:t>Mariadi Ramane</w:t>
      </w:r>
      <w:r w:rsidRPr="00092BFF">
        <w:rPr>
          <w:sz w:val="28"/>
        </w:rPr>
        <w:t xml:space="preserve"> attraverso il tradizionale buonsenso popolare. </w:t>
      </w:r>
    </w:p>
    <w:p w:rsidR="00D34104" w:rsidRPr="00092BFF" w:rsidRDefault="00D34104" w:rsidP="00D34104">
      <w:pPr>
        <w:ind w:left="284" w:right="276" w:firstLine="425"/>
        <w:contextualSpacing/>
        <w:jc w:val="both"/>
        <w:rPr>
          <w:rFonts w:cs="Helvetica"/>
          <w:sz w:val="28"/>
          <w:szCs w:val="26"/>
          <w:lang w:bidi="it-IT"/>
        </w:rPr>
      </w:pPr>
      <w:r w:rsidRPr="00092BFF">
        <w:rPr>
          <w:sz w:val="28"/>
        </w:rPr>
        <w:t xml:space="preserve">La cosa che ancora oggi desta il significativo interesse di storici e comparatisti del diritto, è che questa silloge di racconti a sfondo giuridico trova pure ai giorni nostri, di fatto, applicazione pratica come modello di buon senso giurisdizionale nei </w:t>
      </w:r>
      <w:r w:rsidRPr="00092BFF">
        <w:rPr>
          <w:i/>
          <w:sz w:val="28"/>
        </w:rPr>
        <w:t>panchayats</w:t>
      </w:r>
      <w:r w:rsidRPr="00092BFF">
        <w:rPr>
          <w:sz w:val="28"/>
        </w:rPr>
        <w:t xml:space="preserve">, cioè nei tribunali di villaggio che, nelle vastissime aree rurali soprattutto dello stato del Tamil-Nadu, sono ancora oggi del tutto operativi e definiscono le controversie tra i consociati nei termini di una giustizia spicciola ma integralmente riconosciuta dalle parti. </w:t>
      </w:r>
    </w:p>
    <w:p w:rsidR="00D34104" w:rsidRPr="00092BFF" w:rsidRDefault="00D34104" w:rsidP="00D34104">
      <w:pPr>
        <w:ind w:left="284" w:right="276" w:firstLine="425"/>
        <w:contextualSpacing/>
        <w:jc w:val="both"/>
        <w:rPr>
          <w:rFonts w:cs="Helvetica"/>
          <w:sz w:val="28"/>
          <w:szCs w:val="26"/>
          <w:lang w:bidi="it-IT"/>
        </w:rPr>
      </w:pPr>
      <w:r w:rsidRPr="00092BFF">
        <w:rPr>
          <w:rFonts w:cs="Helvetica"/>
          <w:sz w:val="28"/>
          <w:szCs w:val="26"/>
          <w:lang w:bidi="it-IT"/>
        </w:rPr>
        <w:t>La favola insomma assurge in questi casi al rango di vero e proprio precedente giurisdizionale, idoneo a fungere da guida, purché se ne ampli l’interpretazione e si ricorra a pratiche di analogia giuridico-letteraria, per la soluzione di controversie simili.</w:t>
      </w:r>
    </w:p>
    <w:p w:rsidR="00D34104" w:rsidRPr="00092BFF" w:rsidRDefault="00D34104" w:rsidP="00D34104">
      <w:pPr>
        <w:ind w:left="284" w:right="276" w:firstLine="425"/>
        <w:contextualSpacing/>
        <w:jc w:val="both"/>
        <w:rPr>
          <w:rFonts w:cs="Helvetica"/>
          <w:sz w:val="28"/>
          <w:szCs w:val="26"/>
          <w:lang w:bidi="it-IT"/>
        </w:rPr>
      </w:pPr>
      <w:r w:rsidRPr="00092BFF">
        <w:rPr>
          <w:rFonts w:cs="Helvetica"/>
          <w:sz w:val="28"/>
          <w:szCs w:val="26"/>
          <w:lang w:bidi="it-IT"/>
        </w:rPr>
        <w:t xml:space="preserve">Ogni novella dei </w:t>
      </w:r>
      <w:r w:rsidRPr="00092BFF">
        <w:rPr>
          <w:rFonts w:cs="Helvetica"/>
          <w:i/>
          <w:sz w:val="28"/>
          <w:szCs w:val="26"/>
          <w:lang w:bidi="it-IT"/>
        </w:rPr>
        <w:t>Contes de Mariadi Ramane</w:t>
      </w:r>
      <w:r w:rsidRPr="00092BFF">
        <w:rPr>
          <w:rFonts w:cs="Helvetica"/>
          <w:sz w:val="28"/>
          <w:szCs w:val="26"/>
          <w:lang w:bidi="it-IT"/>
        </w:rPr>
        <w:t xml:space="preserve"> infatti racconta, sintetizzandolo, un processo completo, mettendo alla prova, </w:t>
      </w:r>
      <w:r w:rsidRPr="008C4DF4">
        <w:rPr>
          <w:rFonts w:cs="Helvetica"/>
          <w:i/>
          <w:sz w:val="28"/>
          <w:szCs w:val="26"/>
          <w:lang w:bidi="it-IT"/>
        </w:rPr>
        <w:t>a futura memoria</w:t>
      </w:r>
      <w:r w:rsidRPr="00092BFF">
        <w:rPr>
          <w:rFonts w:cs="Helvetica"/>
          <w:sz w:val="28"/>
          <w:szCs w:val="26"/>
          <w:lang w:bidi="it-IT"/>
        </w:rPr>
        <w:t>, la capacità di giudizio del giudice.</w:t>
      </w:r>
    </w:p>
    <w:p w:rsidR="00D34104" w:rsidRPr="00092BFF" w:rsidRDefault="00D34104" w:rsidP="00D34104">
      <w:pPr>
        <w:ind w:left="284" w:right="276" w:firstLine="425"/>
        <w:contextualSpacing/>
        <w:jc w:val="both"/>
        <w:rPr>
          <w:rFonts w:cs="Helvetica"/>
          <w:sz w:val="28"/>
          <w:szCs w:val="26"/>
          <w:lang w:bidi="it-IT"/>
        </w:rPr>
      </w:pPr>
      <w:r w:rsidRPr="00092BFF">
        <w:rPr>
          <w:rFonts w:cs="Helvetica"/>
          <w:sz w:val="28"/>
          <w:szCs w:val="26"/>
          <w:lang w:bidi="it-IT"/>
        </w:rPr>
        <w:t>Ecco un esempio in cui si tratta di diritto societario, di responsabilità civile e di proprietà sui beni indivisi</w:t>
      </w:r>
      <w:r w:rsidRPr="00092BFF">
        <w:rPr>
          <w:rStyle w:val="Rimandonotaapidipagina"/>
          <w:rFonts w:cs="Helvetica"/>
          <w:sz w:val="28"/>
          <w:szCs w:val="26"/>
          <w:lang w:bidi="it-IT"/>
        </w:rPr>
        <w:footnoteReference w:id="70"/>
      </w:r>
      <w:r w:rsidRPr="00092BFF">
        <w:rPr>
          <w:rFonts w:cs="Helvetica"/>
          <w:sz w:val="28"/>
          <w:szCs w:val="26"/>
          <w:lang w:bidi="it-IT"/>
        </w:rPr>
        <w:t>:</w:t>
      </w:r>
    </w:p>
    <w:p w:rsidR="00D34104" w:rsidRPr="00092BFF" w:rsidRDefault="00D34104" w:rsidP="00D34104">
      <w:pPr>
        <w:ind w:left="284" w:right="276" w:firstLine="425"/>
        <w:contextualSpacing/>
        <w:jc w:val="both"/>
        <w:rPr>
          <w:rFonts w:cs="Helvetica"/>
          <w:sz w:val="28"/>
          <w:szCs w:val="26"/>
          <w:lang w:bidi="it-IT"/>
        </w:rPr>
      </w:pPr>
    </w:p>
    <w:p w:rsidR="00D34104" w:rsidRPr="00991BA0" w:rsidRDefault="00D34104" w:rsidP="00D34104">
      <w:pPr>
        <w:ind w:left="1134" w:right="1694"/>
        <w:contextualSpacing/>
        <w:jc w:val="both"/>
        <w:rPr>
          <w:rFonts w:cs="Helvetica"/>
          <w:szCs w:val="26"/>
          <w:lang w:bidi="it-IT"/>
        </w:rPr>
      </w:pPr>
      <w:r w:rsidRPr="00991BA0">
        <w:rPr>
          <w:rFonts w:cs="Helvetica"/>
          <w:szCs w:val="26"/>
          <w:lang w:bidi="it-IT"/>
        </w:rPr>
        <w:t xml:space="preserve">…Quattro sorci, per sbarazzarsi dei ratti che causavano danni al loro magazzino di cotone, acquistano un gatto. Sono talmente felici dei risultati, che cominciano a fare a gara a coccolare il felino. Decidono allora che ciascuno di loro sarà proprietario di una zampa e cominciano a rivaleggiare per ornare al meglio con dei gioielli ciascuno la zampa del gatto che gli appartiene. Per caso una delle zampette si ferisce e il suo proprietario la benda con cura. Come può capitare, il gatto viene attratto da un giocoliere vicino, che sta attizzando il fuoco per la propria esibizione. La benda s’infiamma, la bestiola impaurita comincia a correre in tutte le direzioni dentro il magazzino, il cui contenuto viene consumato dal fuoco in un istante. Il proprietario della zampa ferita è additato dagli altri tre come responsabile della perdita subìta. Di principio, poiché tutti e quattro i soci sono comproprietari sia del gatto che del cotone, l’azione non </w:t>
      </w:r>
      <w:r w:rsidRPr="00991BA0">
        <w:rPr>
          <w:rFonts w:cs="Helvetica"/>
          <w:szCs w:val="26"/>
          <w:lang w:bidi="it-IT"/>
        </w:rPr>
        <w:lastRenderedPageBreak/>
        <w:t>dovrebbe essere ammessa. Ma qui noi siamo in presenza di una situazione straordinaria: ogni socio si è attribuita la proprietà di una zampa, ed è su questa base che i tre altri soci fondano il loro irragionevole ricorso.</w:t>
      </w:r>
    </w:p>
    <w:p w:rsidR="00D34104" w:rsidRPr="00991BA0" w:rsidRDefault="00D34104" w:rsidP="00D34104">
      <w:pPr>
        <w:ind w:left="1134" w:right="1694"/>
        <w:contextualSpacing/>
        <w:jc w:val="both"/>
        <w:rPr>
          <w:rFonts w:cs="Helvetica"/>
          <w:szCs w:val="26"/>
          <w:lang w:bidi="it-IT"/>
        </w:rPr>
      </w:pPr>
      <w:r w:rsidRPr="00991BA0">
        <w:rPr>
          <w:rFonts w:cs="Helvetica"/>
          <w:szCs w:val="26"/>
          <w:lang w:bidi="it-IT"/>
        </w:rPr>
        <w:t xml:space="preserve">      </w:t>
      </w:r>
      <w:r w:rsidRPr="00991BA0">
        <w:rPr>
          <w:rFonts w:cs="Helvetica"/>
          <w:i/>
          <w:szCs w:val="26"/>
          <w:lang w:bidi="it-IT"/>
        </w:rPr>
        <w:t>Mariadi Ramane</w:t>
      </w:r>
      <w:r w:rsidRPr="00991BA0">
        <w:rPr>
          <w:rFonts w:cs="Helvetica"/>
          <w:szCs w:val="26"/>
          <w:lang w:bidi="it-IT"/>
        </w:rPr>
        <w:t xml:space="preserve"> - Con quali zampe il gatto è entrato nel magazzino?</w:t>
      </w:r>
    </w:p>
    <w:p w:rsidR="00D34104" w:rsidRPr="00991BA0" w:rsidRDefault="00D34104" w:rsidP="00D34104">
      <w:pPr>
        <w:ind w:left="1134" w:right="1694"/>
        <w:contextualSpacing/>
        <w:jc w:val="both"/>
        <w:rPr>
          <w:rFonts w:cs="Helvetica"/>
          <w:szCs w:val="26"/>
          <w:lang w:bidi="it-IT"/>
        </w:rPr>
      </w:pPr>
      <w:r w:rsidRPr="00991BA0">
        <w:rPr>
          <w:rFonts w:cs="Helvetica"/>
          <w:i/>
          <w:szCs w:val="26"/>
          <w:lang w:bidi="it-IT"/>
        </w:rPr>
        <w:t xml:space="preserve">      I ricorrenti</w:t>
      </w:r>
      <w:r w:rsidRPr="00991BA0">
        <w:rPr>
          <w:rFonts w:cs="Helvetica"/>
          <w:szCs w:val="26"/>
          <w:lang w:bidi="it-IT"/>
        </w:rPr>
        <w:t xml:space="preserve"> - Con le tre zampe sane!</w:t>
      </w:r>
    </w:p>
    <w:p w:rsidR="00D34104" w:rsidRPr="00991BA0" w:rsidRDefault="00D34104" w:rsidP="00D34104">
      <w:pPr>
        <w:ind w:left="1134" w:right="1694"/>
        <w:contextualSpacing/>
        <w:jc w:val="both"/>
        <w:rPr>
          <w:rFonts w:cs="Helvetica"/>
          <w:szCs w:val="26"/>
          <w:lang w:bidi="it-IT"/>
        </w:rPr>
      </w:pPr>
      <w:r w:rsidRPr="00991BA0">
        <w:rPr>
          <w:rFonts w:cs="Helvetica"/>
          <w:i/>
          <w:szCs w:val="26"/>
          <w:lang w:bidi="it-IT"/>
        </w:rPr>
        <w:t xml:space="preserve">     Mariadi Ramane</w:t>
      </w:r>
      <w:r w:rsidRPr="00991BA0">
        <w:rPr>
          <w:rFonts w:cs="Helvetica"/>
          <w:szCs w:val="26"/>
          <w:lang w:bidi="it-IT"/>
        </w:rPr>
        <w:t xml:space="preserve"> - Allora sarete voi tre a dover indennizzare il vostro socio…</w:t>
      </w:r>
    </w:p>
    <w:p w:rsidR="00D34104" w:rsidRPr="00991BA0" w:rsidRDefault="00D34104" w:rsidP="00D34104">
      <w:pPr>
        <w:ind w:left="284" w:right="276" w:firstLine="425"/>
        <w:contextualSpacing/>
        <w:jc w:val="both"/>
      </w:pPr>
    </w:p>
    <w:p w:rsidR="00D34104" w:rsidRPr="008C4DF4" w:rsidRDefault="00D34104" w:rsidP="00D34104">
      <w:pPr>
        <w:ind w:left="284" w:right="276" w:firstLine="425"/>
        <w:contextualSpacing/>
        <w:jc w:val="both"/>
        <w:rPr>
          <w:rFonts w:cs="Helvetica"/>
          <w:sz w:val="28"/>
          <w:szCs w:val="26"/>
          <w:lang w:bidi="it-IT"/>
        </w:rPr>
      </w:pPr>
      <w:r w:rsidRPr="008C4DF4">
        <w:rPr>
          <w:rFonts w:cs="Helvetica"/>
          <w:sz w:val="28"/>
          <w:szCs w:val="26"/>
          <w:lang w:bidi="it-IT"/>
        </w:rPr>
        <w:t xml:space="preserve">Quale che sia oggi il residuo di pratica importanza di una traccia tradizionale di questo genere, è sicuramente un fatto che </w:t>
      </w:r>
      <w:r w:rsidRPr="008C4DF4">
        <w:rPr>
          <w:rFonts w:cs="Helvetica"/>
          <w:i/>
          <w:sz w:val="28"/>
          <w:szCs w:val="26"/>
          <w:lang w:bidi="it-IT"/>
        </w:rPr>
        <w:t>i racconti giudiziari</w:t>
      </w:r>
      <w:r w:rsidRPr="008C4DF4">
        <w:rPr>
          <w:rFonts w:cs="Helvetica"/>
          <w:sz w:val="28"/>
          <w:szCs w:val="26"/>
          <w:lang w:bidi="it-IT"/>
        </w:rPr>
        <w:t xml:space="preserve"> di Mariadi Ramane siano da sempre assai diffusi in tutto il Sud-est asiatico e la figura del mitico e saggio giudice dotato di tanta arguzia, è nota, studiata e apprezzata dalle culture giuridiche di tutti quei lontani territori, dall’India, al Laos, alla Cambogia, al Viet-Nam.</w:t>
      </w:r>
    </w:p>
    <w:p w:rsidR="00D34104" w:rsidRPr="007529E7" w:rsidRDefault="00D34104" w:rsidP="00D34104">
      <w:pPr>
        <w:ind w:left="284" w:right="276" w:firstLine="425"/>
        <w:contextualSpacing/>
        <w:jc w:val="both"/>
        <w:rPr>
          <w:rFonts w:cs="Helvetica"/>
          <w:sz w:val="28"/>
          <w:szCs w:val="26"/>
          <w:lang w:bidi="it-IT"/>
        </w:rPr>
      </w:pPr>
      <w:r w:rsidRPr="008C4DF4">
        <w:rPr>
          <w:rFonts w:cs="Helvetica"/>
          <w:sz w:val="28"/>
          <w:szCs w:val="26"/>
          <w:lang w:bidi="it-IT"/>
        </w:rPr>
        <w:t xml:space="preserve">Andando a ritroso nel tempo, un nesso storico letterario capace di spiegare la perdurante autorevolezza giudiziaria di questo genere di pratiche narrative, è sicuramente offerto dalla grande diffusione in quelle terre del </w:t>
      </w:r>
      <w:r w:rsidRPr="007529E7">
        <w:rPr>
          <w:rFonts w:cs="Helvetica"/>
          <w:i/>
          <w:sz w:val="28"/>
          <w:szCs w:val="26"/>
          <w:lang w:bidi="it-IT"/>
        </w:rPr>
        <w:t>Pancatantra</w:t>
      </w:r>
      <w:r w:rsidRPr="007529E7">
        <w:rPr>
          <w:rFonts w:cs="Helvetica"/>
          <w:sz w:val="28"/>
          <w:szCs w:val="26"/>
          <w:lang w:bidi="it-IT"/>
        </w:rPr>
        <w:t xml:space="preserve">, </w:t>
      </w:r>
      <w:r w:rsidRPr="009C7B3F">
        <w:rPr>
          <w:sz w:val="28"/>
        </w:rPr>
        <w:t>la raccolta di novelle orientali, in lingua medio-indiana, composta in un arco di tempo databile, sebbene con poca certezza, tra il II secolo a.C. ed il VII secolo d.C.</w:t>
      </w:r>
    </w:p>
    <w:p w:rsidR="00D34104" w:rsidRPr="008C4DF4" w:rsidRDefault="00D34104" w:rsidP="00D34104">
      <w:pPr>
        <w:ind w:left="284" w:right="276" w:firstLine="425"/>
        <w:contextualSpacing/>
        <w:jc w:val="both"/>
        <w:rPr>
          <w:rFonts w:cs="Helvetica"/>
          <w:sz w:val="28"/>
          <w:szCs w:val="26"/>
          <w:lang w:bidi="it-IT"/>
        </w:rPr>
      </w:pPr>
      <w:r w:rsidRPr="008C4DF4">
        <w:rPr>
          <w:rFonts w:cs="Helvetica"/>
          <w:sz w:val="28"/>
          <w:szCs w:val="26"/>
          <w:lang w:bidi="it-IT"/>
        </w:rPr>
        <w:t>La silloge era stata concepita come un vero e proprio manuale di educazione civica destinato alla cultura politica dei piccoli prìncipi, futuri reggitori di popoli e nazioni.</w:t>
      </w:r>
    </w:p>
    <w:p w:rsidR="00D34104" w:rsidRPr="008C4DF4" w:rsidRDefault="00D34104" w:rsidP="00D34104">
      <w:pPr>
        <w:ind w:left="284" w:right="276" w:firstLine="425"/>
        <w:contextualSpacing/>
        <w:jc w:val="both"/>
        <w:rPr>
          <w:rFonts w:cs="Helvetica"/>
          <w:sz w:val="28"/>
          <w:szCs w:val="26"/>
          <w:lang w:bidi="it-IT"/>
        </w:rPr>
      </w:pPr>
      <w:r w:rsidRPr="008C4DF4">
        <w:rPr>
          <w:rFonts w:cs="Helvetica"/>
          <w:sz w:val="28"/>
          <w:szCs w:val="26"/>
          <w:lang w:bidi="it-IT"/>
        </w:rPr>
        <w:t>Essa si compone, come si intuisce dal titolo, di cinque libri.</w:t>
      </w:r>
    </w:p>
    <w:p w:rsidR="00D34104" w:rsidRPr="00F07ADB" w:rsidRDefault="00D34104" w:rsidP="00D34104">
      <w:pPr>
        <w:ind w:left="284" w:right="276" w:firstLine="425"/>
        <w:contextualSpacing/>
        <w:jc w:val="both"/>
        <w:rPr>
          <w:rFonts w:cs="Helvetica"/>
          <w:sz w:val="28"/>
          <w:szCs w:val="26"/>
          <w:lang w:bidi="it-IT"/>
        </w:rPr>
      </w:pPr>
      <w:r w:rsidRPr="008C4DF4">
        <w:rPr>
          <w:rFonts w:cs="Helvetica"/>
          <w:sz w:val="28"/>
          <w:szCs w:val="26"/>
          <w:lang w:bidi="it-IT"/>
        </w:rPr>
        <w:t xml:space="preserve">Il primo, </w:t>
      </w:r>
      <w:r w:rsidRPr="00F07ADB">
        <w:rPr>
          <w:rFonts w:cs="Helvetica"/>
          <w:i/>
          <w:sz w:val="28"/>
          <w:szCs w:val="26"/>
          <w:lang w:bidi="it-IT"/>
        </w:rPr>
        <w:t>La disunione degli amici</w:t>
      </w:r>
      <w:r w:rsidRPr="00F07ADB">
        <w:rPr>
          <w:rFonts w:cs="Helvetica"/>
          <w:sz w:val="28"/>
          <w:szCs w:val="26"/>
          <w:lang w:bidi="it-IT"/>
        </w:rPr>
        <w:t xml:space="preserve">, evidenzia i rischi che si corrono a dar ascolto a chi semina solo zizzania; il secondo, </w:t>
      </w:r>
      <w:r w:rsidRPr="00F07ADB">
        <w:rPr>
          <w:rFonts w:cs="Helvetica"/>
          <w:i/>
          <w:sz w:val="28"/>
          <w:szCs w:val="26"/>
          <w:lang w:bidi="it-IT"/>
        </w:rPr>
        <w:t>L’acquisizione degli amici</w:t>
      </w:r>
      <w:r w:rsidRPr="00F07ADB">
        <w:rPr>
          <w:rFonts w:cs="Helvetica"/>
          <w:sz w:val="28"/>
          <w:szCs w:val="26"/>
          <w:lang w:bidi="it-IT"/>
        </w:rPr>
        <w:t>, mostra i benefici effetti della solidarietà tra simili, in funzione di crescita civile ed economica; il terzo,</w:t>
      </w:r>
      <w:r w:rsidRPr="00F07ADB">
        <w:rPr>
          <w:rFonts w:cs="Helvetica"/>
          <w:i/>
          <w:sz w:val="28"/>
          <w:szCs w:val="26"/>
          <w:lang w:bidi="it-IT"/>
        </w:rPr>
        <w:t xml:space="preserve"> La guerra dei corvi e dei gufi</w:t>
      </w:r>
      <w:r w:rsidRPr="00F07ADB">
        <w:rPr>
          <w:rFonts w:cs="Helvetica"/>
          <w:sz w:val="28"/>
          <w:szCs w:val="26"/>
          <w:lang w:bidi="it-IT"/>
        </w:rPr>
        <w:t xml:space="preserve">, insegna il valore della pace e della concordia e fa capire quanto importanti siano queste dimensioni di prosperità; il quarto ed il quinto, </w:t>
      </w:r>
      <w:r w:rsidRPr="00F07ADB">
        <w:rPr>
          <w:rFonts w:cs="Helvetica"/>
          <w:i/>
          <w:sz w:val="28"/>
          <w:szCs w:val="26"/>
          <w:lang w:bidi="it-IT"/>
        </w:rPr>
        <w:t>La perdita dei beni acquisiti</w:t>
      </w:r>
      <w:r w:rsidRPr="00F07ADB">
        <w:rPr>
          <w:rFonts w:cs="Helvetica"/>
          <w:sz w:val="28"/>
          <w:szCs w:val="26"/>
          <w:lang w:bidi="it-IT"/>
        </w:rPr>
        <w:t xml:space="preserve"> e </w:t>
      </w:r>
      <w:r w:rsidRPr="00F07ADB">
        <w:rPr>
          <w:rFonts w:cs="Helvetica"/>
          <w:i/>
          <w:sz w:val="28"/>
          <w:szCs w:val="26"/>
          <w:lang w:bidi="it-IT"/>
        </w:rPr>
        <w:t>Il comportamento sconsiderato</w:t>
      </w:r>
      <w:r w:rsidRPr="00F07ADB">
        <w:rPr>
          <w:rFonts w:cs="Helvetica"/>
          <w:sz w:val="28"/>
          <w:szCs w:val="26"/>
          <w:lang w:bidi="it-IT"/>
        </w:rPr>
        <w:t>, trattano della stupidità umana che si accanisce a non cogliere l’essenza del vivere semplice in armonia col prossimo.</w:t>
      </w:r>
    </w:p>
    <w:p w:rsidR="00D34104" w:rsidRPr="00F07ADB" w:rsidRDefault="00D34104" w:rsidP="00D34104">
      <w:pPr>
        <w:ind w:left="284" w:right="276" w:firstLine="425"/>
        <w:contextualSpacing/>
        <w:jc w:val="both"/>
        <w:rPr>
          <w:rFonts w:cs="Helvetica"/>
          <w:sz w:val="28"/>
          <w:szCs w:val="26"/>
          <w:lang w:bidi="it-IT"/>
        </w:rPr>
      </w:pPr>
      <w:r w:rsidRPr="00F07ADB">
        <w:rPr>
          <w:rFonts w:cs="Helvetica"/>
          <w:sz w:val="28"/>
          <w:szCs w:val="26"/>
          <w:lang w:bidi="it-IT"/>
        </w:rPr>
        <w:t>L’esposizione di questi temi si sviluppa, nel contesto di racconti cornice di ordine generale, grazie al ricorso all’esempio fiabistico.</w:t>
      </w:r>
    </w:p>
    <w:p w:rsidR="00D34104" w:rsidRPr="00F07ADB" w:rsidRDefault="00D34104" w:rsidP="00D34104">
      <w:pPr>
        <w:ind w:left="284" w:right="276" w:firstLine="425"/>
        <w:contextualSpacing/>
        <w:jc w:val="both"/>
        <w:rPr>
          <w:rFonts w:cs="Helvetica"/>
          <w:sz w:val="28"/>
          <w:szCs w:val="26"/>
          <w:lang w:bidi="it-IT"/>
        </w:rPr>
      </w:pPr>
      <w:r w:rsidRPr="00F07ADB">
        <w:rPr>
          <w:rFonts w:cs="Helvetica"/>
          <w:sz w:val="28"/>
          <w:szCs w:val="26"/>
          <w:lang w:bidi="it-IT"/>
        </w:rPr>
        <w:t>Centinaia di novelle piccole e grandi, nel</w:t>
      </w:r>
      <w:r w:rsidRPr="00F07ADB">
        <w:rPr>
          <w:rFonts w:cs="Helvetica"/>
          <w:i/>
          <w:sz w:val="28"/>
          <w:szCs w:val="26"/>
          <w:lang w:bidi="it-IT"/>
        </w:rPr>
        <w:t xml:space="preserve"> Pancatantra</w:t>
      </w:r>
      <w:r w:rsidRPr="00F07ADB">
        <w:rPr>
          <w:rFonts w:cs="Helvetica"/>
          <w:sz w:val="28"/>
          <w:szCs w:val="26"/>
          <w:lang w:bidi="it-IT"/>
        </w:rPr>
        <w:t>, trattano i temi della buona educazione, del reggimento retto della cosa pubblica, dell’importanza di rispettare i patti, del ruolo di moglie e figli nella famiglia, delle suggestioni non sempre positive che la ricchezza materiale presenta, della frugalità, della reale felicità.</w:t>
      </w:r>
    </w:p>
    <w:p w:rsidR="00D34104" w:rsidRPr="008C4DF4" w:rsidRDefault="00D34104" w:rsidP="00D34104">
      <w:pPr>
        <w:ind w:left="284" w:right="276" w:firstLine="425"/>
        <w:contextualSpacing/>
        <w:jc w:val="both"/>
        <w:rPr>
          <w:rFonts w:cs="Helvetica"/>
          <w:sz w:val="28"/>
          <w:szCs w:val="26"/>
          <w:lang w:bidi="it-IT"/>
        </w:rPr>
      </w:pPr>
      <w:r w:rsidRPr="00F07ADB">
        <w:rPr>
          <w:rFonts w:cs="Helvetica"/>
          <w:sz w:val="28"/>
          <w:szCs w:val="26"/>
          <w:lang w:bidi="it-IT"/>
        </w:rPr>
        <w:t>La favola, l’apologo, la fiaba si prestano assai bene a questo fine e ciò spiega benissimo la loro residualità pratica - specie in culture come quelle orientali, sempre caratterizzate dal pensiero laterale, dall’esempio, dall’analogia - anche in termini di canone giudiziario.</w:t>
      </w:r>
      <w:r w:rsidRPr="008C4DF4">
        <w:rPr>
          <w:rFonts w:cs="Helvetica"/>
          <w:sz w:val="28"/>
          <w:szCs w:val="26"/>
          <w:lang w:bidi="it-IT"/>
        </w:rPr>
        <w:t xml:space="preserve"> </w:t>
      </w:r>
    </w:p>
    <w:p w:rsidR="00D34104" w:rsidRPr="008C4DF4" w:rsidRDefault="00D34104" w:rsidP="00D34104">
      <w:pPr>
        <w:widowControl w:val="0"/>
        <w:autoSpaceDE w:val="0"/>
        <w:autoSpaceDN w:val="0"/>
        <w:adjustRightInd w:val="0"/>
        <w:ind w:left="284" w:right="276" w:firstLine="425"/>
        <w:jc w:val="both"/>
        <w:rPr>
          <w:rFonts w:cs="TTE2B226D8t00"/>
          <w:sz w:val="28"/>
          <w:szCs w:val="20"/>
          <w:lang w:bidi="it-IT"/>
        </w:rPr>
      </w:pPr>
      <w:r w:rsidRPr="008C4DF4">
        <w:rPr>
          <w:rFonts w:cs="TTE2B226D8t00"/>
          <w:sz w:val="28"/>
          <w:szCs w:val="20"/>
          <w:lang w:bidi="it-IT"/>
        </w:rPr>
        <w:lastRenderedPageBreak/>
        <w:t xml:space="preserve">Le esemplificazioni fatte fino ad ora fanno ben comprendere, quasi toccare con mano, come dal </w:t>
      </w:r>
      <w:r w:rsidRPr="008C4DF4">
        <w:rPr>
          <w:rFonts w:cs="TTE2B226D8t00"/>
          <w:i/>
          <w:sz w:val="28"/>
          <w:szCs w:val="20"/>
          <w:lang w:bidi="it-IT"/>
        </w:rPr>
        <w:t>narrativo</w:t>
      </w:r>
      <w:r w:rsidRPr="008C4DF4">
        <w:rPr>
          <w:rFonts w:cs="TTE2B226D8t00"/>
          <w:sz w:val="28"/>
          <w:szCs w:val="20"/>
          <w:lang w:bidi="it-IT"/>
        </w:rPr>
        <w:t xml:space="preserve">, per traslato, possa ben ricavarsi il </w:t>
      </w:r>
      <w:r w:rsidRPr="008C4DF4">
        <w:rPr>
          <w:rFonts w:cs="TTE2B226D8t00"/>
          <w:i/>
          <w:sz w:val="28"/>
          <w:szCs w:val="20"/>
          <w:lang w:bidi="it-IT"/>
        </w:rPr>
        <w:t>normativo</w:t>
      </w:r>
      <w:r w:rsidRPr="008C4DF4">
        <w:rPr>
          <w:rFonts w:cs="TTE2B226D8t00"/>
          <w:sz w:val="28"/>
          <w:szCs w:val="20"/>
          <w:lang w:bidi="it-IT"/>
        </w:rPr>
        <w:t xml:space="preserve">. </w:t>
      </w:r>
    </w:p>
    <w:p w:rsidR="00D34104" w:rsidRPr="008C4DF4" w:rsidRDefault="00D34104" w:rsidP="00D34104">
      <w:pPr>
        <w:widowControl w:val="0"/>
        <w:autoSpaceDE w:val="0"/>
        <w:autoSpaceDN w:val="0"/>
        <w:adjustRightInd w:val="0"/>
        <w:ind w:left="284" w:right="276" w:firstLine="425"/>
        <w:jc w:val="both"/>
        <w:rPr>
          <w:rFonts w:cs="TTE2B226D8t00"/>
          <w:sz w:val="28"/>
          <w:szCs w:val="20"/>
          <w:lang w:bidi="it-IT"/>
        </w:rPr>
      </w:pPr>
      <w:r w:rsidRPr="008C4DF4">
        <w:rPr>
          <w:rFonts w:cs="TTE2B226D8t00"/>
          <w:sz w:val="28"/>
          <w:szCs w:val="20"/>
          <w:lang w:bidi="it-IT"/>
        </w:rPr>
        <w:t>Raramente una fiaba non è ricca di quel contenuto morale la cui ripetibilità nel tempo e nello spazio ne fa una regola giuridica. E questo, naturalmente, non avviene soltanto in oriente, piuttosto è una prerogativa caratteristica di tutte le culture che ancora rivendicano la propria marcata oralità.</w:t>
      </w:r>
    </w:p>
    <w:p w:rsidR="00D34104" w:rsidRPr="008C4DF4" w:rsidRDefault="00D34104" w:rsidP="00D34104">
      <w:pPr>
        <w:widowControl w:val="0"/>
        <w:autoSpaceDE w:val="0"/>
        <w:autoSpaceDN w:val="0"/>
        <w:adjustRightInd w:val="0"/>
        <w:ind w:left="284" w:right="276" w:firstLine="425"/>
        <w:jc w:val="both"/>
        <w:rPr>
          <w:rFonts w:cs="TTE2B226D8t00"/>
          <w:sz w:val="28"/>
          <w:szCs w:val="20"/>
          <w:lang w:bidi="it-IT"/>
        </w:rPr>
      </w:pPr>
      <w:r w:rsidRPr="008C4DF4">
        <w:rPr>
          <w:rFonts w:cs="TTE2B226D8t00"/>
          <w:sz w:val="28"/>
          <w:szCs w:val="20"/>
          <w:lang w:bidi="it-IT"/>
        </w:rPr>
        <w:t>Anche la sconfinata tradizione della fiaba africana</w:t>
      </w:r>
      <w:r w:rsidRPr="008C4DF4">
        <w:rPr>
          <w:rStyle w:val="Rimandonotaapidipagina"/>
          <w:rFonts w:cs="TTE2B226D8t00"/>
          <w:sz w:val="28"/>
          <w:szCs w:val="20"/>
          <w:lang w:bidi="it-IT"/>
        </w:rPr>
        <w:footnoteReference w:id="71"/>
      </w:r>
      <w:r w:rsidRPr="008C4DF4">
        <w:rPr>
          <w:rFonts w:cs="TTE2B226D8t00"/>
          <w:sz w:val="28"/>
          <w:szCs w:val="20"/>
          <w:lang w:bidi="it-IT"/>
        </w:rPr>
        <w:t xml:space="preserve">, pertanto, ci lascia interessantissimi esempi che vanno nella stessa direzione dei racconti di Mariadi Ramane, potendosi registrare l’insolito passaggio antropologico da una pedagogia giuridica che si realizza attraverso la fiaba, alla fiaba come strumento in sé di composizione pratica di liti giurisdizionali vere e proprie, attraverso l’opera ufficialmente riconosciuta di mediazione dei così detti </w:t>
      </w:r>
      <w:r w:rsidRPr="008C4DF4">
        <w:rPr>
          <w:rFonts w:cs="TTE2B226D8t00"/>
          <w:i/>
          <w:sz w:val="28"/>
          <w:szCs w:val="20"/>
          <w:lang w:bidi="it-IT"/>
        </w:rPr>
        <w:t>giudici consuetudinari</w:t>
      </w:r>
      <w:r w:rsidRPr="008C4DF4">
        <w:rPr>
          <w:rFonts w:cs="TTE2B226D8t00"/>
          <w:sz w:val="28"/>
          <w:szCs w:val="20"/>
          <w:lang w:bidi="it-IT"/>
        </w:rPr>
        <w:t xml:space="preserve"> che ricorrono, in più di una vasta area dell’immenso continente </w:t>
      </w:r>
      <w:r w:rsidRPr="008C4DF4">
        <w:rPr>
          <w:rFonts w:cs="TTE2B226D8t00"/>
          <w:i/>
          <w:sz w:val="28"/>
          <w:szCs w:val="20"/>
          <w:lang w:bidi="it-IT"/>
        </w:rPr>
        <w:t>sub-sahariano</w:t>
      </w:r>
      <w:r w:rsidRPr="008C4DF4">
        <w:rPr>
          <w:rFonts w:cs="TTE2B226D8t00"/>
          <w:sz w:val="28"/>
          <w:szCs w:val="20"/>
          <w:lang w:bidi="it-IT"/>
        </w:rPr>
        <w:t>, alla fiaba di diritto per meglio motivare od argomentare le proprie decisioni</w:t>
      </w:r>
      <w:r w:rsidRPr="008C4DF4">
        <w:rPr>
          <w:rStyle w:val="Rimandonotaapidipagina"/>
          <w:rFonts w:ascii="TTE2B226D8t00" w:hAnsi="TTE2B226D8t00" w:cs="TTE2B226D8t00"/>
          <w:sz w:val="28"/>
          <w:szCs w:val="20"/>
          <w:lang w:bidi="it-IT"/>
        </w:rPr>
        <w:footnoteReference w:id="72"/>
      </w:r>
      <w:r w:rsidRPr="008C4DF4">
        <w:rPr>
          <w:rFonts w:cs="TTE2B226D8t00"/>
          <w:sz w:val="28"/>
          <w:szCs w:val="20"/>
          <w:lang w:bidi="it-IT"/>
        </w:rPr>
        <w:t>.</w:t>
      </w:r>
    </w:p>
    <w:p w:rsidR="00D34104" w:rsidRPr="008C4DF4" w:rsidRDefault="00D34104" w:rsidP="00D34104">
      <w:pPr>
        <w:widowControl w:val="0"/>
        <w:autoSpaceDE w:val="0"/>
        <w:autoSpaceDN w:val="0"/>
        <w:adjustRightInd w:val="0"/>
        <w:ind w:left="284" w:right="276" w:firstLine="425"/>
        <w:jc w:val="both"/>
        <w:rPr>
          <w:rFonts w:cs="TTE2B226D8t00"/>
          <w:sz w:val="28"/>
          <w:szCs w:val="20"/>
          <w:lang w:bidi="it-IT"/>
        </w:rPr>
      </w:pPr>
      <w:r w:rsidRPr="008C4DF4">
        <w:rPr>
          <w:rFonts w:cs="TTE2B226D8t00"/>
          <w:sz w:val="28"/>
          <w:szCs w:val="20"/>
          <w:lang w:bidi="it-IT"/>
        </w:rPr>
        <w:t>Esattamente, ed il cerchio può chiudersi, come nelle favole di La Fontaine, considerato come già si è detto anche in altri luoghi di questo corso, un giurista a tutti gli effetti, anzi, uno dei padri del diritto consuetudinario francese del XVII secolo.</w:t>
      </w:r>
    </w:p>
    <w:p w:rsidR="00D34104" w:rsidRPr="008C4DF4" w:rsidRDefault="00D34104" w:rsidP="00D34104">
      <w:pPr>
        <w:ind w:left="284" w:right="276" w:firstLine="425"/>
        <w:contextualSpacing/>
        <w:jc w:val="both"/>
        <w:rPr>
          <w:rFonts w:cs="Helvetica"/>
          <w:sz w:val="28"/>
          <w:szCs w:val="26"/>
          <w:lang w:bidi="it-IT"/>
        </w:rPr>
      </w:pPr>
      <w:r w:rsidRPr="008C4DF4">
        <w:rPr>
          <w:rFonts w:cs="Helvetica"/>
          <w:sz w:val="28"/>
          <w:szCs w:val="26"/>
          <w:lang w:bidi="it-IT"/>
        </w:rPr>
        <w:t>Insomma, la narrazione di tipo immaginifico può contenere più sostanza di giustizia di quanta pandette, codici e rituali procedurali, talvolta sterili e comunque avvertiti come tali dalla gran parte del pubblico, non siano capaci di esprimere.</w:t>
      </w:r>
    </w:p>
    <w:p w:rsidR="00D34104" w:rsidRPr="008C4DF4" w:rsidRDefault="00D34104" w:rsidP="00D34104">
      <w:pPr>
        <w:ind w:left="284" w:right="276" w:firstLine="425"/>
        <w:contextualSpacing/>
        <w:jc w:val="both"/>
        <w:rPr>
          <w:sz w:val="28"/>
        </w:rPr>
      </w:pPr>
      <w:r w:rsidRPr="008C4DF4">
        <w:rPr>
          <w:sz w:val="28"/>
        </w:rPr>
        <w:t>La semplicità della morale favolistica può avvicinare l’utente al diritto tanto quanto l’astrusità ed il nonsenso di determinati passaggi rituali può allontanarvelo.</w:t>
      </w:r>
    </w:p>
    <w:p w:rsidR="00D34104" w:rsidRPr="003F4F3C" w:rsidRDefault="00D34104" w:rsidP="00D34104">
      <w:pPr>
        <w:ind w:left="284" w:right="276" w:firstLine="425"/>
        <w:contextualSpacing/>
        <w:jc w:val="both"/>
        <w:rPr>
          <w:sz w:val="28"/>
        </w:rPr>
      </w:pPr>
      <w:r w:rsidRPr="008C4DF4">
        <w:rPr>
          <w:sz w:val="28"/>
        </w:rPr>
        <w:t>Più di altri un autore, comunemente associato al novero degli scrittori di fiabe e racconti per l’infanzia, in realtà letterato di particolare e rara complessità, ha messo alla berlina, come suole dirsi, gli esiti aberranti e patologici nei quali può sconfinare l’ansia di una soluzione giudiziaria a tutti i costi, che travalichi le regole date di logi</w:t>
      </w:r>
      <w:r w:rsidRPr="003F4F3C">
        <w:rPr>
          <w:sz w:val="28"/>
        </w:rPr>
        <w:t>ca prima ancora che di diritto.</w:t>
      </w:r>
    </w:p>
    <w:p w:rsidR="00D34104" w:rsidRPr="00C478F1" w:rsidRDefault="00D34104" w:rsidP="00D34104">
      <w:pPr>
        <w:ind w:left="284" w:right="276" w:firstLine="425"/>
        <w:contextualSpacing/>
        <w:jc w:val="both"/>
        <w:rPr>
          <w:sz w:val="28"/>
        </w:rPr>
      </w:pPr>
      <w:r w:rsidRPr="003F4F3C">
        <w:rPr>
          <w:sz w:val="28"/>
        </w:rPr>
        <w:t xml:space="preserve"> </w:t>
      </w:r>
      <w:r w:rsidRPr="00C478F1">
        <w:rPr>
          <w:sz w:val="28"/>
        </w:rPr>
        <w:t xml:space="preserve">Si sta parlando di </w:t>
      </w:r>
      <w:r w:rsidRPr="00C478F1">
        <w:rPr>
          <w:rFonts w:cs="Helvetica"/>
          <w:sz w:val="28"/>
          <w:szCs w:val="26"/>
          <w:lang w:bidi="it-IT"/>
        </w:rPr>
        <w:t xml:space="preserve">Charles Lutwidge Dodgson, a tutti noto con lo pseudonimo di </w:t>
      </w:r>
      <w:r w:rsidRPr="00C478F1">
        <w:rPr>
          <w:sz w:val="28"/>
        </w:rPr>
        <w:t xml:space="preserve">Lewis Carroll (1832-1898), matematico e logico sopraffino, docente a Oxford, universalmente noto tuttavia, più che altro, per essere l’autore di </w:t>
      </w:r>
      <w:r w:rsidRPr="00C478F1">
        <w:rPr>
          <w:i/>
          <w:sz w:val="28"/>
        </w:rPr>
        <w:t>Alice nel paese delle meraviglie</w:t>
      </w:r>
      <w:r w:rsidRPr="00C478F1">
        <w:rPr>
          <w:sz w:val="28"/>
        </w:rPr>
        <w:t xml:space="preserve"> (1865).</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Il caso di Carroll è emblematico, per questo non è passato inosservato.</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lastRenderedPageBreak/>
        <w:t xml:space="preserve">La narrativa fantastica dell’autore britannico dimostra infatti senza dubbio, tra le tante altre cose, come anche nelle narrazioni fiabesche, quando per esigenze di </w:t>
      </w:r>
      <w:r w:rsidRPr="00C478F1">
        <w:rPr>
          <w:rFonts w:cs="Verdana"/>
          <w:i/>
          <w:sz w:val="28"/>
          <w:szCs w:val="30"/>
          <w:lang w:bidi="it-IT"/>
        </w:rPr>
        <w:t>plot</w:t>
      </w:r>
      <w:r w:rsidRPr="00C478F1">
        <w:rPr>
          <w:rFonts w:cs="Verdana"/>
          <w:sz w:val="28"/>
          <w:szCs w:val="30"/>
          <w:lang w:bidi="it-IT"/>
        </w:rPr>
        <w:t xml:space="preserve"> si debba parlare di una vicenda giudiziaria, l’interruzione dell’ordinata sequenza delle fasi e degli atti processuali, finisce sempre col generare risultati aberranti, che restano tali anche nella trama fiabica.</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 xml:space="preserve"> In verità anche nella vita reale, per così dire, un processo partecipa sempre di elementi ludici, casuali, onirici e psicoanalitici, che, se ne fanno un momento fondamentale della vita del diritto e della vita </w:t>
      </w:r>
      <w:r w:rsidRPr="00C478F1">
        <w:rPr>
          <w:rFonts w:cs="Verdana"/>
          <w:i/>
          <w:sz w:val="28"/>
          <w:szCs w:val="30"/>
          <w:lang w:bidi="it-IT"/>
        </w:rPr>
        <w:t>tout-court</w:t>
      </w:r>
      <w:r w:rsidRPr="00C478F1">
        <w:rPr>
          <w:rFonts w:cs="Verdana"/>
          <w:sz w:val="28"/>
          <w:szCs w:val="30"/>
          <w:lang w:bidi="it-IT"/>
        </w:rPr>
        <w:t xml:space="preserve">, vanno tuttavia isolati, considerati e…maneggiati con cura estrema, affinché della sostanzialità e delle mire di giustizia, del </w:t>
      </w:r>
      <w:r w:rsidRPr="00C478F1">
        <w:rPr>
          <w:rFonts w:cs="Verdana"/>
          <w:i/>
          <w:sz w:val="28"/>
          <w:szCs w:val="30"/>
          <w:lang w:bidi="it-IT"/>
        </w:rPr>
        <w:t>rito</w:t>
      </w:r>
      <w:r w:rsidRPr="00C478F1">
        <w:rPr>
          <w:rFonts w:cs="Verdana"/>
          <w:sz w:val="28"/>
          <w:szCs w:val="30"/>
          <w:lang w:bidi="it-IT"/>
        </w:rPr>
        <w:t xml:space="preserve"> in sé non si perdano i benefici effetti.</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Lo scrittore inglese, dotato di un’insolita passione giuridica, lo aveva ben presente ed aveva pertanto enfatizzato, nel suo capolavoro, l’illogicità manifesta di quella sequenza processuale in cui la tirannica regina delle carte da giuoco ordinava la decapitazione dei suoi sudditi irrispettosi prima ancora che la giuria, alla fine del giudizio, avesse emesso il proprio verdetto</w:t>
      </w:r>
      <w:r w:rsidRPr="00C478F1">
        <w:rPr>
          <w:rStyle w:val="Rimandonotaapidipagina"/>
          <w:rFonts w:cs="Verdana"/>
          <w:sz w:val="28"/>
          <w:szCs w:val="30"/>
          <w:lang w:bidi="it-IT"/>
        </w:rPr>
        <w:footnoteReference w:id="73"/>
      </w:r>
      <w:r w:rsidRPr="00C478F1">
        <w:rPr>
          <w:rFonts w:cs="Verdana"/>
          <w:sz w:val="28"/>
          <w:szCs w:val="30"/>
          <w:lang w:bidi="it-IT"/>
        </w:rPr>
        <w:t>.</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 xml:space="preserve">In un’altra sua meno conosciuta operetta, </w:t>
      </w:r>
      <w:r w:rsidRPr="00C478F1">
        <w:rPr>
          <w:rFonts w:cs="Verdana"/>
          <w:i/>
          <w:sz w:val="28"/>
          <w:szCs w:val="30"/>
          <w:lang w:bidi="it-IT"/>
        </w:rPr>
        <w:t>La caccia allo Snark</w:t>
      </w:r>
      <w:r w:rsidRPr="00C478F1">
        <w:rPr>
          <w:rFonts w:cs="Verdana"/>
          <w:sz w:val="28"/>
          <w:szCs w:val="30"/>
          <w:lang w:bidi="it-IT"/>
        </w:rPr>
        <w:t xml:space="preserve"> (</w:t>
      </w:r>
      <w:r w:rsidRPr="00C478F1">
        <w:rPr>
          <w:rFonts w:cs="Verdana"/>
          <w:i/>
          <w:sz w:val="28"/>
          <w:szCs w:val="30"/>
          <w:lang w:bidi="it-IT"/>
        </w:rPr>
        <w:t>The hunting of the Snark</w:t>
      </w:r>
      <w:r w:rsidRPr="00C478F1">
        <w:rPr>
          <w:rFonts w:cs="Verdana"/>
          <w:sz w:val="28"/>
          <w:szCs w:val="30"/>
          <w:lang w:bidi="it-IT"/>
        </w:rPr>
        <w:t>, del 1874-76), Carroll, dopo i fasti di Alice, era tornato ancor più apertamente a tematiche processuali.</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 xml:space="preserve">Il poemetto in questione, tutto improntato al più caratteristico </w:t>
      </w:r>
      <w:r w:rsidRPr="00C478F1">
        <w:rPr>
          <w:rFonts w:cs="Verdana"/>
          <w:i/>
          <w:sz w:val="28"/>
          <w:szCs w:val="30"/>
          <w:lang w:bidi="it-IT"/>
        </w:rPr>
        <w:t>nonsense</w:t>
      </w:r>
      <w:r w:rsidRPr="00C478F1">
        <w:rPr>
          <w:rFonts w:cs="Verdana"/>
          <w:sz w:val="28"/>
          <w:szCs w:val="30"/>
          <w:lang w:bidi="it-IT"/>
        </w:rPr>
        <w:t xml:space="preserve"> britannico, contiene un mirabile capitoletto in versi intitolato </w:t>
      </w:r>
      <w:r w:rsidRPr="00C478F1">
        <w:rPr>
          <w:rFonts w:cs="Verdana"/>
          <w:i/>
          <w:sz w:val="28"/>
          <w:szCs w:val="30"/>
          <w:lang w:bidi="it-IT"/>
        </w:rPr>
        <w:t>Il sogno dell’avvocato</w:t>
      </w:r>
      <w:r w:rsidRPr="00C478F1">
        <w:rPr>
          <w:rFonts w:cs="Verdana"/>
          <w:sz w:val="28"/>
          <w:szCs w:val="30"/>
          <w:lang w:bidi="it-IT"/>
        </w:rPr>
        <w:t>.</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lastRenderedPageBreak/>
        <w:t xml:space="preserve">In effetti la storia dello </w:t>
      </w:r>
      <w:r w:rsidRPr="005405C5">
        <w:rPr>
          <w:rFonts w:cs="Verdana"/>
          <w:i/>
          <w:sz w:val="28"/>
          <w:szCs w:val="30"/>
          <w:lang w:bidi="it-IT"/>
        </w:rPr>
        <w:t>Snark</w:t>
      </w:r>
      <w:r w:rsidRPr="00C478F1">
        <w:rPr>
          <w:rFonts w:cs="Verdana"/>
          <w:sz w:val="28"/>
          <w:szCs w:val="30"/>
          <w:lang w:bidi="it-IT"/>
        </w:rPr>
        <w:t xml:space="preserve"> - a partire dal nome intraducibile, che alcuno rende come </w:t>
      </w:r>
      <w:r w:rsidRPr="005405C5">
        <w:rPr>
          <w:rFonts w:cs="Verdana"/>
          <w:i/>
          <w:sz w:val="28"/>
          <w:szCs w:val="30"/>
          <w:lang w:bidi="it-IT"/>
        </w:rPr>
        <w:t>Snualo</w:t>
      </w:r>
      <w:r w:rsidRPr="00C478F1">
        <w:rPr>
          <w:rFonts w:cs="Verdana"/>
          <w:sz w:val="28"/>
          <w:szCs w:val="30"/>
          <w:lang w:bidi="it-IT"/>
        </w:rPr>
        <w:t xml:space="preserve">, altri come </w:t>
      </w:r>
      <w:r w:rsidRPr="005405C5">
        <w:rPr>
          <w:rFonts w:cs="Verdana"/>
          <w:i/>
          <w:sz w:val="28"/>
          <w:szCs w:val="30"/>
          <w:lang w:bidi="it-IT"/>
        </w:rPr>
        <w:t>Serpualo</w:t>
      </w:r>
      <w:r w:rsidRPr="00C478F1">
        <w:rPr>
          <w:rFonts w:cs="Verdana"/>
          <w:sz w:val="28"/>
          <w:szCs w:val="30"/>
          <w:lang w:bidi="it-IT"/>
        </w:rPr>
        <w:t xml:space="preserve"> (serpente + squalo), altri ancora come </w:t>
      </w:r>
      <w:r w:rsidRPr="005405C5">
        <w:rPr>
          <w:rFonts w:cs="Verdana"/>
          <w:i/>
          <w:sz w:val="28"/>
          <w:szCs w:val="30"/>
          <w:lang w:bidi="it-IT"/>
        </w:rPr>
        <w:t>Squallo</w:t>
      </w:r>
      <w:r w:rsidRPr="00C478F1">
        <w:rPr>
          <w:rFonts w:cs="Verdana"/>
          <w:sz w:val="28"/>
          <w:szCs w:val="30"/>
          <w:lang w:bidi="it-IT"/>
        </w:rPr>
        <w:t xml:space="preserve"> - è in sé di difficile decrittazione.</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Nessuno saprebbe dire cosa sia questa strana figura cui tutti danno la caccia.</w:t>
      </w: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 xml:space="preserve">Fatto è che ad un certo punto, durante le operazioni tese alla cattura di questo essere misterioso, uno dei partecipanti alla battuta venatoria, un tipico avvocato di </w:t>
      </w:r>
      <w:r w:rsidRPr="005405C5">
        <w:rPr>
          <w:rFonts w:cs="Verdana"/>
          <w:i/>
          <w:sz w:val="28"/>
          <w:szCs w:val="30"/>
          <w:lang w:bidi="it-IT"/>
        </w:rPr>
        <w:t>common law</w:t>
      </w:r>
      <w:r w:rsidRPr="00C478F1">
        <w:rPr>
          <w:rFonts w:cs="Verdana"/>
          <w:sz w:val="28"/>
          <w:szCs w:val="30"/>
          <w:lang w:bidi="it-IT"/>
        </w:rPr>
        <w:t>, si assopisce e Carroll ne descrive vividamente l’incredibile sogno.</w:t>
      </w:r>
    </w:p>
    <w:p w:rsidR="00D34104" w:rsidRPr="005405C5"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 xml:space="preserve">E’ veramente utile riportare questi versi, dedicati, appunto, al </w:t>
      </w:r>
      <w:r w:rsidRPr="005405C5">
        <w:rPr>
          <w:rFonts w:cs="Verdana"/>
          <w:i/>
          <w:sz w:val="28"/>
          <w:szCs w:val="30"/>
          <w:lang w:bidi="it-IT"/>
        </w:rPr>
        <w:t>sogno dell’avvocato</w:t>
      </w:r>
      <w:r w:rsidRPr="005405C5">
        <w:rPr>
          <w:rFonts w:cs="Verdana"/>
          <w:sz w:val="28"/>
          <w:szCs w:val="30"/>
          <w:lang w:bidi="it-IT"/>
        </w:rPr>
        <w:t>:</w:t>
      </w:r>
    </w:p>
    <w:p w:rsidR="00D34104" w:rsidRPr="00C478F1" w:rsidRDefault="00D34104" w:rsidP="00D34104">
      <w:pPr>
        <w:pStyle w:val="Testonotaapidipagina"/>
        <w:ind w:left="284" w:right="276" w:firstLine="425"/>
        <w:jc w:val="both"/>
        <w:rPr>
          <w:rFonts w:cs="Verdana"/>
          <w:sz w:val="28"/>
          <w:szCs w:val="30"/>
          <w:lang w:bidi="it-IT"/>
        </w:rPr>
      </w:pP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Con ditali cercarono, e gran cura,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provvisti di speranza e di forcone;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agitarono Buoni del Tesoro;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a sorrisi ricorsero, e sapone.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Ma l'Avvocato, stanco di mostrare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che i pizzi del Castoro eran reato,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sognò, colto dal sonno, la creatura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che solo avea finora immaginato.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 xml:space="preserve">Sognò una Corte buia ove lo </w:t>
      </w:r>
      <w:r w:rsidRPr="005405C5">
        <w:rPr>
          <w:rFonts w:cs="IM_FELL_DW_Pica_Roman"/>
          <w:i/>
          <w:szCs w:val="26"/>
          <w:lang w:bidi="it-IT"/>
        </w:rPr>
        <w:t>Squallo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col colletto, l'occhial, parrucca e toga,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dall'accusa di fuga dallo stabbio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difendeva un porcello con gran foga.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Provarono, sicuri, i Testimoni</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che il porcile era stato abbandonato: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il caso giudiziario, sussurrando,</w:t>
      </w:r>
    </w:p>
    <w:p w:rsidR="00D34104" w:rsidRPr="005405C5" w:rsidRDefault="00D34104" w:rsidP="00D34104">
      <w:pPr>
        <w:ind w:left="1134"/>
        <w:jc w:val="center"/>
        <w:rPr>
          <w:rFonts w:cs="IM_FELL_DW_Pica_Roman"/>
          <w:szCs w:val="26"/>
          <w:lang w:bidi="it-IT"/>
        </w:rPr>
      </w:pPr>
      <w:r w:rsidRPr="005405C5">
        <w:rPr>
          <w:rFonts w:cs="IM_FELL_DW_Pica_Roman"/>
          <w:szCs w:val="26"/>
          <w:lang w:bidi="it-IT"/>
        </w:rPr>
        <w:t>a lungo fu dal Giudice spiegato.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Non fu l'accusa chiaramente espressa,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 xml:space="preserve">e, dopo che lo </w:t>
      </w:r>
      <w:r w:rsidRPr="005405C5">
        <w:rPr>
          <w:rFonts w:cs="IM_FELL_DW_Pica_Roman"/>
          <w:i/>
          <w:szCs w:val="26"/>
          <w:lang w:bidi="it-IT"/>
        </w:rPr>
        <w:t>Squallo</w:t>
      </w:r>
      <w:r w:rsidRPr="005405C5">
        <w:rPr>
          <w:rFonts w:cs="IM_FELL_DW_Pica_Roman"/>
          <w:szCs w:val="26"/>
          <w:lang w:bidi="it-IT"/>
        </w:rPr>
        <w:t xml:space="preserve"> ebbe iniziato,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per tre ore parlò, prima che alcuno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sapesse cosa al reo fosse imputato.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Prima che la denuncia fosse letta,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diversa ogni Giurato un'opinione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s'era fatto, e la disse ad una voce,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senza nessuna previa discussione.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“Sappiate..." disse il Giudice; ma tosto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“Sciocchezze!" fé lo Squallo “invece io dico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che la legge è scaduta, e il caso è retto</w:t>
      </w:r>
    </w:p>
    <w:p w:rsidR="00D34104" w:rsidRPr="005405C5" w:rsidRDefault="00D34104" w:rsidP="00D34104">
      <w:pPr>
        <w:ind w:left="1134"/>
        <w:jc w:val="center"/>
        <w:rPr>
          <w:rFonts w:cs="IM_FELL_DW_Pica_Roman"/>
          <w:szCs w:val="26"/>
          <w:lang w:bidi="it-IT"/>
        </w:rPr>
      </w:pPr>
      <w:r w:rsidRPr="005405C5">
        <w:rPr>
          <w:rFonts w:cs="IM_FELL_DW_Pica_Roman"/>
          <w:szCs w:val="26"/>
          <w:lang w:bidi="it-IT"/>
        </w:rPr>
        <w:t>da un diritto feudale molto antico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Complice, al più: non reo di tradimento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il porcello m'appar, che discutete: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né regge l'Insolvenza, com'è chiaro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se il fatto che ‘nihil debet' concedete.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Nemmeno parlerò di Diserzione: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ogni sospetto è stato cancellato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(almeno per le spese processuali)</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dall'Alibi di ferro presentato.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A voi rimetto del porcello il fato.”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Qui l'oratore, poi che si fu messo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lastRenderedPageBreak/>
        <w:t>seduto, chiese al Giudice d'usare</w:t>
      </w:r>
    </w:p>
    <w:p w:rsidR="00D34104" w:rsidRPr="005405C5" w:rsidRDefault="00D34104" w:rsidP="00D34104">
      <w:pPr>
        <w:ind w:left="1134"/>
        <w:jc w:val="center"/>
        <w:rPr>
          <w:rFonts w:cs="IM_FELL_DW_Pica_Roman"/>
          <w:szCs w:val="26"/>
          <w:lang w:bidi="it-IT"/>
        </w:rPr>
      </w:pPr>
      <w:r w:rsidRPr="005405C5">
        <w:rPr>
          <w:rFonts w:cs="IM_FELL_DW_Pica_Roman"/>
          <w:szCs w:val="26"/>
          <w:lang w:bidi="it-IT"/>
        </w:rPr>
        <w:t>gli appunti per concludere il processo.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Quegli disse però che mai sinora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concluso avea; perciò lo Squallo stesso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concluse, e disse molto più di quanto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fosse dai testimoni stato ammesso!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Richiesta del verdetto, la Giuria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vi rinunciò, sentendosi perplessa;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la bisogna spingendosi a sperare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 xml:space="preserve">fosse compiuta dallo </w:t>
      </w:r>
      <w:r w:rsidRPr="005405C5">
        <w:rPr>
          <w:rFonts w:cs="IM_FELL_DW_Pica_Roman"/>
          <w:i/>
          <w:szCs w:val="26"/>
          <w:lang w:bidi="it-IT"/>
        </w:rPr>
        <w:t>Squallo</w:t>
      </w:r>
      <w:r w:rsidRPr="005405C5">
        <w:rPr>
          <w:rFonts w:cs="IM_FELL_DW_Pica_Roman"/>
          <w:szCs w:val="26"/>
          <w:lang w:bidi="it-IT"/>
        </w:rPr>
        <w:t xml:space="preserve"> anch'essa.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 xml:space="preserve">Il verdetto fu emesso dallo </w:t>
      </w:r>
      <w:r w:rsidRPr="005405C5">
        <w:rPr>
          <w:rFonts w:cs="IM_FELL_DW_Pica_Roman"/>
          <w:i/>
          <w:szCs w:val="26"/>
          <w:lang w:bidi="it-IT"/>
        </w:rPr>
        <w:t>Squallo</w:t>
      </w:r>
      <w:r w:rsidRPr="005405C5">
        <w:rPr>
          <w:rFonts w:cs="IM_FELL_DW_Pica_Roman"/>
          <w:szCs w:val="26"/>
          <w:lang w:bidi="it-IT"/>
        </w:rPr>
        <w:t>,</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negli atti stessi – disse – contenuto.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Quando gridò: “COLPEVOLE!” un lamento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s'udì, mentre più d'un cadea svenuto.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Pur la sentenza diè lo Squallo, essendo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il Giudice, pei nervi, ammutolito.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Quando s'alzò, cadde il silenzio: ognuno</w:t>
      </w:r>
    </w:p>
    <w:p w:rsidR="00D34104" w:rsidRPr="005405C5" w:rsidRDefault="00D34104" w:rsidP="00D34104">
      <w:pPr>
        <w:ind w:left="1134"/>
        <w:jc w:val="center"/>
        <w:rPr>
          <w:rFonts w:cs="IM_FELL_DW_Pica_Roman"/>
          <w:szCs w:val="26"/>
          <w:lang w:bidi="it-IT"/>
        </w:rPr>
      </w:pPr>
      <w:r w:rsidRPr="005405C5">
        <w:rPr>
          <w:rFonts w:cs="IM_FELL_DW_Pica_Roman"/>
          <w:szCs w:val="26"/>
          <w:lang w:bidi="it-IT"/>
        </w:rPr>
        <w:t>uno spillo cadere avrebbe udito.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“Va deportato a vita” disse; “e dopo,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di quaranta sterline va multato".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Acclamò la Giuria, ma legalmente</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non si sentiva il Giudice appagato.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Il tripudio però cadde di botto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allor che il carcerier disse compunto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che vana risultava la sentenza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essendo da molt'anni il reo defunto.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Il Giudice partì, molto seccato;</w:t>
      </w:r>
    </w:p>
    <w:p w:rsidR="00D34104" w:rsidRPr="005405C5" w:rsidRDefault="006A0EE5" w:rsidP="00D34104">
      <w:pPr>
        <w:widowControl w:val="0"/>
        <w:autoSpaceDE w:val="0"/>
        <w:autoSpaceDN w:val="0"/>
        <w:adjustRightInd w:val="0"/>
        <w:ind w:left="1134"/>
        <w:jc w:val="center"/>
        <w:rPr>
          <w:rFonts w:cs="IM_FELL_DW_Pica_Roman"/>
          <w:szCs w:val="26"/>
          <w:lang w:bidi="it-IT"/>
        </w:rPr>
      </w:pPr>
      <w:r>
        <w:rPr>
          <w:rFonts w:cs="IM_FELL_DW_Pica_Roman"/>
          <w:szCs w:val="26"/>
          <w:lang w:bidi="it-IT"/>
        </w:rPr>
        <w:t xml:space="preserve">il campanel </w:t>
      </w:r>
      <w:r w:rsidR="00D34104" w:rsidRPr="005405C5">
        <w:rPr>
          <w:rFonts w:cs="IM_FELL_DW_Pica_Roman"/>
          <w:szCs w:val="26"/>
          <w:lang w:bidi="it-IT"/>
        </w:rPr>
        <w:t xml:space="preserve">lo </w:t>
      </w:r>
      <w:r w:rsidR="00D34104" w:rsidRPr="005405C5">
        <w:rPr>
          <w:rFonts w:cs="IM_FELL_DW_Pica_Roman"/>
          <w:i/>
          <w:szCs w:val="26"/>
          <w:lang w:bidi="it-IT"/>
        </w:rPr>
        <w:t>Squallo</w:t>
      </w:r>
      <w:r w:rsidR="00D34104" w:rsidRPr="005405C5">
        <w:rPr>
          <w:rFonts w:cs="IM_FELL_DW_Pica_Roman"/>
          <w:szCs w:val="26"/>
          <w:lang w:bidi="it-IT"/>
        </w:rPr>
        <w:t>, sbigottito,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(della difesa essendo incaricato)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suonar fino alla fine fu sentito.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Così sognò il Legale, e il campanello</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sempre più forte e chiaro risonava:</w:t>
      </w:r>
    </w:p>
    <w:p w:rsidR="00D34104" w:rsidRPr="005405C5" w:rsidRDefault="00D34104" w:rsidP="00D34104">
      <w:pPr>
        <w:widowControl w:val="0"/>
        <w:autoSpaceDE w:val="0"/>
        <w:autoSpaceDN w:val="0"/>
        <w:adjustRightInd w:val="0"/>
        <w:ind w:left="1134"/>
        <w:jc w:val="center"/>
        <w:rPr>
          <w:rFonts w:cs="IM_FELL_DW_Pica_Roman"/>
          <w:szCs w:val="26"/>
          <w:lang w:bidi="it-IT"/>
        </w:rPr>
      </w:pPr>
      <w:r w:rsidRPr="005405C5">
        <w:rPr>
          <w:rFonts w:cs="IM_FELL_DW_Pica_Roman"/>
          <w:szCs w:val="26"/>
          <w:lang w:bidi="it-IT"/>
        </w:rPr>
        <w:t>quando fu desto, vide ch'era quello</w:t>
      </w:r>
    </w:p>
    <w:p w:rsidR="00D34104" w:rsidRPr="005405C5" w:rsidRDefault="00D34104" w:rsidP="00D34104">
      <w:pPr>
        <w:ind w:left="1134"/>
        <w:jc w:val="center"/>
        <w:rPr>
          <w:rFonts w:cs="IM_FELL_DW_Pica_Roman"/>
          <w:szCs w:val="26"/>
          <w:lang w:bidi="it-IT"/>
        </w:rPr>
      </w:pPr>
      <w:r w:rsidRPr="005405C5">
        <w:rPr>
          <w:rFonts w:cs="IM_FELL_DW_Pica_Roman"/>
          <w:szCs w:val="26"/>
          <w:lang w:bidi="it-IT"/>
        </w:rPr>
        <w:t>che nell'orecchie il Capo gli agitava</w:t>
      </w:r>
      <w:r w:rsidRPr="005405C5">
        <w:rPr>
          <w:rStyle w:val="Rimandonotaapidipagina"/>
          <w:rFonts w:cs="IM_FELL_DW_Pica_Roman"/>
          <w:szCs w:val="26"/>
          <w:lang w:bidi="it-IT"/>
        </w:rPr>
        <w:footnoteReference w:id="74"/>
      </w:r>
      <w:r w:rsidRPr="005405C5">
        <w:rPr>
          <w:rFonts w:cs="IM_FELL_DW_Pica_Roman"/>
          <w:szCs w:val="26"/>
          <w:lang w:bidi="it-IT"/>
        </w:rPr>
        <w:t>.</w:t>
      </w:r>
    </w:p>
    <w:p w:rsidR="00D34104" w:rsidRPr="005405C5" w:rsidRDefault="00D34104" w:rsidP="00D34104">
      <w:pPr>
        <w:ind w:left="1134"/>
        <w:jc w:val="center"/>
        <w:rPr>
          <w:rFonts w:cs="IM_FELL_DW_Pica_Roman"/>
          <w:szCs w:val="26"/>
          <w:lang w:bidi="it-IT"/>
        </w:rPr>
      </w:pPr>
    </w:p>
    <w:p w:rsidR="00D34104" w:rsidRPr="00C478F1"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t xml:space="preserve">Mentre il processo di </w:t>
      </w:r>
      <w:r w:rsidRPr="005405C5">
        <w:rPr>
          <w:rFonts w:cs="Verdana"/>
          <w:i/>
          <w:sz w:val="28"/>
          <w:szCs w:val="30"/>
          <w:lang w:bidi="it-IT"/>
        </w:rPr>
        <w:t>Alice</w:t>
      </w:r>
      <w:r w:rsidRPr="00C478F1">
        <w:rPr>
          <w:rFonts w:cs="Verdana"/>
          <w:sz w:val="28"/>
          <w:szCs w:val="30"/>
          <w:lang w:bidi="it-IT"/>
        </w:rPr>
        <w:t xml:space="preserve"> è linearmente ancorché paradossalmente connotato dall’esaltata descrizione dell’illogicità processuale rappresentata da una sentenza emessa ed eseguibile prima ancora che il giudizio sia concluso, nel </w:t>
      </w:r>
      <w:r w:rsidRPr="005405C5">
        <w:rPr>
          <w:rFonts w:cs="Verdana"/>
          <w:i/>
          <w:sz w:val="28"/>
          <w:szCs w:val="30"/>
          <w:lang w:bidi="it-IT"/>
        </w:rPr>
        <w:t>sogno dell’avvocato</w:t>
      </w:r>
      <w:r w:rsidRPr="00C478F1">
        <w:rPr>
          <w:rFonts w:cs="Verdana"/>
          <w:sz w:val="28"/>
          <w:szCs w:val="30"/>
          <w:lang w:bidi="it-IT"/>
        </w:rPr>
        <w:t xml:space="preserve">, invero ancor più inquietantemente, la vicenda giudiziaria descritta, seppur riguardi soggetti non bene identificabili ed animali parlanti come nella più tradizionale impostazione favolistica, non ha nulla di anomalo almeno nelle intenzioni dell’autore, se non che si tratta della cruda e irriverente messa alla berlina di tutta la cultura processuale anglosassone della </w:t>
      </w:r>
      <w:r w:rsidRPr="005405C5">
        <w:rPr>
          <w:rFonts w:cs="Verdana"/>
          <w:i/>
          <w:sz w:val="28"/>
          <w:szCs w:val="30"/>
          <w:lang w:bidi="it-IT"/>
        </w:rPr>
        <w:t>common law</w:t>
      </w:r>
      <w:r w:rsidRPr="00C478F1">
        <w:rPr>
          <w:rFonts w:cs="Verdana"/>
          <w:sz w:val="28"/>
          <w:szCs w:val="30"/>
          <w:lang w:bidi="it-IT"/>
        </w:rPr>
        <w:t>.</w:t>
      </w:r>
    </w:p>
    <w:p w:rsidR="00D34104" w:rsidRPr="00282D97" w:rsidRDefault="00D34104" w:rsidP="00D34104">
      <w:pPr>
        <w:pStyle w:val="Testonotaapidipagina"/>
        <w:ind w:left="284" w:right="276" w:firstLine="425"/>
        <w:jc w:val="both"/>
        <w:rPr>
          <w:rFonts w:cs="Verdana"/>
          <w:sz w:val="28"/>
          <w:szCs w:val="30"/>
          <w:lang w:bidi="it-IT"/>
        </w:rPr>
      </w:pPr>
      <w:r w:rsidRPr="00C478F1">
        <w:rPr>
          <w:rFonts w:cs="Verdana"/>
          <w:sz w:val="28"/>
          <w:szCs w:val="30"/>
          <w:lang w:bidi="it-IT"/>
        </w:rPr>
        <w:lastRenderedPageBreak/>
        <w:t>Come per tutti i sistemi giuridici di derivazione casistica e giurisdizionale, basati più sull’</w:t>
      </w:r>
      <w:r w:rsidRPr="00282D97">
        <w:rPr>
          <w:rFonts w:cs="Verdana"/>
          <w:i/>
          <w:sz w:val="28"/>
          <w:szCs w:val="30"/>
          <w:lang w:bidi="it-IT"/>
        </w:rPr>
        <w:t>azione</w:t>
      </w:r>
      <w:r w:rsidRPr="00C478F1">
        <w:rPr>
          <w:rFonts w:cs="Verdana"/>
          <w:sz w:val="28"/>
          <w:szCs w:val="30"/>
          <w:lang w:bidi="it-IT"/>
        </w:rPr>
        <w:t xml:space="preserve"> che sul </w:t>
      </w:r>
      <w:r w:rsidRPr="00282D97">
        <w:rPr>
          <w:rFonts w:cs="Verdana"/>
          <w:i/>
          <w:sz w:val="28"/>
          <w:szCs w:val="30"/>
          <w:lang w:bidi="it-IT"/>
        </w:rPr>
        <w:t>diritto soggettivo</w:t>
      </w:r>
      <w:r w:rsidRPr="00282D97">
        <w:rPr>
          <w:rFonts w:cs="Verdana"/>
          <w:sz w:val="28"/>
          <w:szCs w:val="30"/>
          <w:lang w:bidi="it-IT"/>
        </w:rPr>
        <w:t>, anche le corti inglesi erano spessissimo intasate - questa è in fondo la critica carrolliana - dalle domande giudiziarie più astruse e bislacche, che tuttavia potevano trovare spazio soprattutto nelle assisi di</w:t>
      </w:r>
      <w:r w:rsidRPr="00282D97">
        <w:rPr>
          <w:rFonts w:cs="Verdana"/>
          <w:i/>
          <w:sz w:val="28"/>
          <w:szCs w:val="30"/>
          <w:lang w:bidi="it-IT"/>
        </w:rPr>
        <w:t xml:space="preserve"> equity</w:t>
      </w:r>
      <w:r w:rsidRPr="00282D97">
        <w:rPr>
          <w:rFonts w:cs="Verdana"/>
          <w:sz w:val="28"/>
          <w:szCs w:val="30"/>
          <w:lang w:bidi="it-IT"/>
        </w:rPr>
        <w:t xml:space="preserve"> e, ove portate avanti, dare adito a sentenze partecipi della scarsa verosimiglianza, a tacer d’altro, delle relative pretese introduttive.</w:t>
      </w:r>
    </w:p>
    <w:p w:rsidR="00D34104" w:rsidRPr="00282D97" w:rsidRDefault="00D34104" w:rsidP="00D34104">
      <w:pPr>
        <w:pStyle w:val="Testonotaapidipagina"/>
        <w:ind w:left="284" w:right="276" w:firstLine="425"/>
        <w:jc w:val="both"/>
        <w:rPr>
          <w:rFonts w:cs="Verdana"/>
          <w:sz w:val="28"/>
          <w:szCs w:val="30"/>
          <w:lang w:bidi="it-IT"/>
        </w:rPr>
      </w:pPr>
      <w:r w:rsidRPr="00282D97">
        <w:rPr>
          <w:rFonts w:cs="Verdana"/>
          <w:sz w:val="28"/>
          <w:szCs w:val="30"/>
          <w:lang w:bidi="it-IT"/>
        </w:rPr>
        <w:t xml:space="preserve">Esattamente come nel processo in cui il misterioso </w:t>
      </w:r>
      <w:r w:rsidRPr="00282D97">
        <w:rPr>
          <w:rFonts w:cs="Verdana"/>
          <w:i/>
          <w:sz w:val="28"/>
          <w:szCs w:val="30"/>
          <w:lang w:bidi="it-IT"/>
        </w:rPr>
        <w:t>Squallo</w:t>
      </w:r>
      <w:r w:rsidRPr="00282D97">
        <w:rPr>
          <w:rFonts w:cs="Verdana"/>
          <w:sz w:val="28"/>
          <w:szCs w:val="30"/>
          <w:lang w:bidi="it-IT"/>
        </w:rPr>
        <w:t>, nelle insolite vesti di patrono d’aula, prende le difese di un maialino che si scopre tuttavia, dopo le lungaggini del dibattimento ed i vari cavilli messi in campo dalla Difesa, essere defunto da molti anni e dunque palesemente non giudicabile.</w:t>
      </w:r>
    </w:p>
    <w:p w:rsidR="00D34104" w:rsidRDefault="00D34104" w:rsidP="00D34104">
      <w:pPr>
        <w:pStyle w:val="Testonotaapidipagina"/>
        <w:ind w:left="284" w:right="276" w:firstLine="425"/>
        <w:jc w:val="both"/>
        <w:rPr>
          <w:rFonts w:cs="Verdana"/>
          <w:sz w:val="28"/>
          <w:szCs w:val="30"/>
          <w:lang w:bidi="it-IT"/>
        </w:rPr>
      </w:pPr>
      <w:r w:rsidRPr="00282D97">
        <w:rPr>
          <w:rFonts w:cs="Verdana"/>
          <w:sz w:val="28"/>
          <w:szCs w:val="30"/>
          <w:lang w:bidi="it-IT"/>
        </w:rPr>
        <w:t xml:space="preserve">Attraverso l’ingegnoso stratagemma letterario, che già era stato di </w:t>
      </w:r>
      <w:r w:rsidRPr="00282D97">
        <w:rPr>
          <w:rFonts w:cs="Verdana"/>
          <w:i/>
          <w:sz w:val="28"/>
          <w:szCs w:val="30"/>
          <w:lang w:bidi="it-IT"/>
        </w:rPr>
        <w:t>Alice nel paese delle meraviglie</w:t>
      </w:r>
      <w:r w:rsidRPr="00282D97">
        <w:rPr>
          <w:rFonts w:cs="Verdana"/>
          <w:sz w:val="28"/>
          <w:szCs w:val="30"/>
          <w:lang w:bidi="it-IT"/>
        </w:rPr>
        <w:t xml:space="preserve">, della predisposizione di una vera e propria giurisdizione onirica in cui l’intera forma giurisprudenziale britannica assurge al rango di epocale </w:t>
      </w:r>
      <w:r w:rsidRPr="00282D97">
        <w:rPr>
          <w:rFonts w:cs="Verdana"/>
          <w:i/>
          <w:sz w:val="28"/>
          <w:szCs w:val="30"/>
          <w:lang w:bidi="it-IT"/>
        </w:rPr>
        <w:t>nonsense</w:t>
      </w:r>
      <w:r w:rsidRPr="00282D97">
        <w:rPr>
          <w:rFonts w:cs="Verdana"/>
          <w:sz w:val="28"/>
          <w:szCs w:val="30"/>
          <w:lang w:bidi="it-IT"/>
        </w:rPr>
        <w:t xml:space="preserve">, lo scrittore inglese, riprendendo temi che erano stati tipici di molta prosa dickensiana, come l’improbabile processo che è forse l’episodio centrale del capolavoro </w:t>
      </w:r>
      <w:r w:rsidRPr="00282D97">
        <w:rPr>
          <w:rFonts w:cs="Verdana"/>
          <w:i/>
          <w:sz w:val="28"/>
          <w:szCs w:val="30"/>
          <w:lang w:bidi="it-IT"/>
        </w:rPr>
        <w:t>Il circolo Pickwick</w:t>
      </w:r>
      <w:r w:rsidRPr="00282D97">
        <w:rPr>
          <w:rFonts w:cs="Verdana"/>
          <w:sz w:val="28"/>
          <w:szCs w:val="30"/>
          <w:lang w:bidi="it-IT"/>
        </w:rPr>
        <w:t xml:space="preserve"> del 1836</w:t>
      </w:r>
      <w:r w:rsidRPr="00282D97">
        <w:rPr>
          <w:rStyle w:val="Rimandonotaapidipagina"/>
          <w:rFonts w:cs="Verdana"/>
          <w:sz w:val="28"/>
          <w:szCs w:val="30"/>
          <w:lang w:bidi="it-IT"/>
        </w:rPr>
        <w:footnoteReference w:id="75"/>
      </w:r>
      <w:r w:rsidRPr="00282D97">
        <w:rPr>
          <w:rFonts w:cs="Verdana"/>
          <w:sz w:val="28"/>
          <w:szCs w:val="30"/>
          <w:lang w:bidi="it-IT"/>
        </w:rPr>
        <w:t>, dava corso a tutti i propri arguti strali verso questo stato di fatto giuridico e di prassi, certo ostico alla propria mentalità di ferreo logico.</w:t>
      </w: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Default="00D34104" w:rsidP="00D34104">
      <w:pPr>
        <w:pStyle w:val="Testonotaapidipagina"/>
        <w:ind w:left="284" w:right="276" w:firstLine="425"/>
        <w:jc w:val="both"/>
        <w:rPr>
          <w:rFonts w:cs="Verdana"/>
          <w:sz w:val="28"/>
          <w:szCs w:val="30"/>
          <w:lang w:bidi="it-IT"/>
        </w:rPr>
      </w:pPr>
    </w:p>
    <w:p w:rsidR="00D34104" w:rsidRPr="009A2A48" w:rsidRDefault="00D34104" w:rsidP="00D34104">
      <w:pPr>
        <w:ind w:left="284" w:right="276" w:firstLine="425"/>
        <w:jc w:val="center"/>
        <w:rPr>
          <w:b/>
          <w:sz w:val="28"/>
          <w:u w:val="single"/>
        </w:rPr>
      </w:pPr>
      <w:r w:rsidRPr="009A2A48">
        <w:rPr>
          <w:b/>
          <w:sz w:val="28"/>
          <w:u w:val="single"/>
        </w:rPr>
        <w:t>Dove si prova a tirar le somme</w:t>
      </w:r>
    </w:p>
    <w:p w:rsidR="00D34104" w:rsidRPr="00F57671" w:rsidRDefault="00D34104" w:rsidP="00D34104">
      <w:pPr>
        <w:tabs>
          <w:tab w:val="left" w:pos="9356"/>
        </w:tabs>
        <w:ind w:left="284" w:right="276" w:firstLine="425"/>
        <w:jc w:val="center"/>
        <w:rPr>
          <w:b/>
          <w:sz w:val="28"/>
        </w:rPr>
      </w:pPr>
    </w:p>
    <w:p w:rsidR="00D34104" w:rsidRPr="00DA4DE1" w:rsidRDefault="00D34104" w:rsidP="00D34104">
      <w:pPr>
        <w:ind w:left="284" w:right="276" w:firstLine="425"/>
        <w:contextualSpacing/>
        <w:jc w:val="both"/>
        <w:rPr>
          <w:sz w:val="28"/>
        </w:rPr>
      </w:pPr>
      <w:r w:rsidRPr="00407A58">
        <w:rPr>
          <w:sz w:val="28"/>
        </w:rPr>
        <w:t xml:space="preserve">Giunti alla fine della carrellata lungo cui si è sviluppato questo corso di lezioni, chi abbia avuto la pazienza di seguire l’intero percorso ed il </w:t>
      </w:r>
      <w:r w:rsidRPr="00DA4DE1">
        <w:rPr>
          <w:i/>
          <w:sz w:val="28"/>
        </w:rPr>
        <w:t>fil rouge</w:t>
      </w:r>
      <w:r w:rsidRPr="00407A58">
        <w:rPr>
          <w:sz w:val="28"/>
        </w:rPr>
        <w:t xml:space="preserve"> che lo attraversa tutto, avrà ormai ben compreso come ci si sia deliberatamente mossi, nell’ambito del filone di </w:t>
      </w:r>
      <w:r w:rsidRPr="00DA4DE1">
        <w:rPr>
          <w:i/>
          <w:sz w:val="28"/>
        </w:rPr>
        <w:t>Law and Literature</w:t>
      </w:r>
      <w:r w:rsidRPr="00DA4DE1">
        <w:rPr>
          <w:sz w:val="28"/>
        </w:rPr>
        <w:t>, lungo il crinale di un’interpretazione dei fatti giuridici che privilegi il momento comunicativo e narratologico della cifra del diritto.</w:t>
      </w:r>
    </w:p>
    <w:p w:rsidR="00D34104" w:rsidRPr="00407A58" w:rsidRDefault="00D34104" w:rsidP="00D34104">
      <w:pPr>
        <w:ind w:left="284" w:right="276" w:firstLine="425"/>
        <w:contextualSpacing/>
        <w:jc w:val="both"/>
        <w:rPr>
          <w:sz w:val="28"/>
        </w:rPr>
      </w:pPr>
      <w:r w:rsidRPr="00407A58">
        <w:rPr>
          <w:sz w:val="28"/>
        </w:rPr>
        <w:t xml:space="preserve"> Il testo delle singole lezioni ha cercato di prospettare soluzioni storiche, dottrinarie e, soprattutto esemplificative, che, almeno nelle intenzioni, aiutino ad impadronirsi, per non perderla mai più, dell’idea basica che la trasmissione e la struttura linguistica e scritturale della comunicazione e della documentalità giuridiche sia sotto più riguardi assimilabile a quella letteraria, poetica ed artistica.</w:t>
      </w:r>
    </w:p>
    <w:p w:rsidR="00D34104" w:rsidRPr="00407A58" w:rsidRDefault="00D34104" w:rsidP="00D34104">
      <w:pPr>
        <w:ind w:left="284" w:right="276" w:firstLine="425"/>
        <w:contextualSpacing/>
        <w:jc w:val="both"/>
        <w:rPr>
          <w:sz w:val="28"/>
        </w:rPr>
      </w:pPr>
      <w:r w:rsidRPr="00407A58">
        <w:rPr>
          <w:sz w:val="28"/>
        </w:rPr>
        <w:t>I rapporti tra diritto e altre manifestazioni di valorialità artistica, dalla antichità più profonda ad oggi – può dirsi a buona ragione – sono sempre stati strettissimi.</w:t>
      </w:r>
    </w:p>
    <w:p w:rsidR="00D34104" w:rsidRPr="00407A58" w:rsidRDefault="00D34104" w:rsidP="00D34104">
      <w:pPr>
        <w:ind w:left="284" w:right="276" w:firstLine="425"/>
        <w:contextualSpacing/>
        <w:jc w:val="both"/>
        <w:rPr>
          <w:sz w:val="28"/>
        </w:rPr>
      </w:pPr>
      <w:r w:rsidRPr="00407A58">
        <w:rPr>
          <w:sz w:val="28"/>
        </w:rPr>
        <w:t>Pensiero normativo e pensiero narrativo, si fondano entrambi sulla costruzione e sulla giustificazione di racconti. Entrambi trattano di storie.</w:t>
      </w:r>
    </w:p>
    <w:p w:rsidR="00D34104" w:rsidRPr="00407A58" w:rsidRDefault="00D34104" w:rsidP="00D34104">
      <w:pPr>
        <w:ind w:left="284" w:right="276" w:firstLine="425"/>
        <w:contextualSpacing/>
        <w:jc w:val="both"/>
        <w:rPr>
          <w:sz w:val="28"/>
        </w:rPr>
      </w:pPr>
      <w:r w:rsidRPr="00407A58">
        <w:rPr>
          <w:sz w:val="28"/>
        </w:rPr>
        <w:t>Per il primo la soluzione è la giustificazione di un assetto regolativo o decisionale, per il secondo la crescita assiologia ed educativa, quella che nel gergo dei novellieri si chiama da sempre la…</w:t>
      </w:r>
      <w:r w:rsidRPr="00DA4DE1">
        <w:rPr>
          <w:i/>
          <w:sz w:val="28"/>
        </w:rPr>
        <w:t xml:space="preserve"> morale della favola</w:t>
      </w:r>
      <w:r w:rsidRPr="00407A58">
        <w:rPr>
          <w:sz w:val="28"/>
        </w:rPr>
        <w:t>.</w:t>
      </w:r>
    </w:p>
    <w:p w:rsidR="00D34104" w:rsidRPr="00407A58" w:rsidRDefault="00D34104" w:rsidP="00D34104">
      <w:pPr>
        <w:ind w:left="284" w:right="276" w:firstLine="425"/>
        <w:contextualSpacing/>
        <w:jc w:val="both"/>
        <w:rPr>
          <w:sz w:val="28"/>
        </w:rPr>
      </w:pPr>
      <w:r w:rsidRPr="00407A58">
        <w:rPr>
          <w:sz w:val="28"/>
        </w:rPr>
        <w:t xml:space="preserve">Nei contesti accademici d’oltreoceano, anche questo si è visto, la materia che affronta lo studio comparato di questi diversi ambiti – </w:t>
      </w:r>
      <w:r w:rsidRPr="00DA4DE1">
        <w:rPr>
          <w:i/>
          <w:sz w:val="28"/>
        </w:rPr>
        <w:t>Law and Humanities</w:t>
      </w:r>
      <w:r w:rsidRPr="00407A58">
        <w:rPr>
          <w:sz w:val="28"/>
        </w:rPr>
        <w:t xml:space="preserve"> – è ormai stabilmente inserita nei </w:t>
      </w:r>
      <w:r w:rsidRPr="00DA4DE1">
        <w:rPr>
          <w:i/>
          <w:sz w:val="28"/>
        </w:rPr>
        <w:t>curricula</w:t>
      </w:r>
      <w:r w:rsidRPr="00407A58">
        <w:rPr>
          <w:sz w:val="28"/>
        </w:rPr>
        <w:t xml:space="preserve"> dei </w:t>
      </w:r>
      <w:r w:rsidRPr="00DA4DE1">
        <w:rPr>
          <w:i/>
          <w:sz w:val="28"/>
        </w:rPr>
        <w:t>Colleges</w:t>
      </w:r>
      <w:r w:rsidRPr="00407A58">
        <w:rPr>
          <w:sz w:val="28"/>
        </w:rPr>
        <w:t xml:space="preserve"> e delle </w:t>
      </w:r>
      <w:r w:rsidRPr="00DA4DE1">
        <w:rPr>
          <w:i/>
          <w:sz w:val="28"/>
        </w:rPr>
        <w:t>Law Schools</w:t>
      </w:r>
      <w:r w:rsidRPr="00407A58">
        <w:rPr>
          <w:sz w:val="28"/>
        </w:rPr>
        <w:t xml:space="preserve"> più prestigiosi.</w:t>
      </w:r>
    </w:p>
    <w:p w:rsidR="00D34104" w:rsidRPr="00407A58" w:rsidRDefault="00D34104" w:rsidP="00D34104">
      <w:pPr>
        <w:ind w:left="284" w:right="276" w:firstLine="425"/>
        <w:contextualSpacing/>
        <w:jc w:val="both"/>
        <w:rPr>
          <w:sz w:val="28"/>
        </w:rPr>
      </w:pPr>
      <w:r w:rsidRPr="00407A58">
        <w:rPr>
          <w:sz w:val="28"/>
        </w:rPr>
        <w:t xml:space="preserve">Nel nostro paese siamo ancora un po’ indietro, ma sarebbe ingeneroso non segnalare come siano stati fatti moltissimi e rilevanti passi in avanti e anche da noi esistano ormai cattedre universitarie, talvolta affidate a giuristi veramente di gran nome, appositamente istituite per l’insegnamento ufficiale soprattutto della materia di </w:t>
      </w:r>
      <w:r w:rsidRPr="00DA4DE1">
        <w:rPr>
          <w:i/>
          <w:sz w:val="28"/>
        </w:rPr>
        <w:t>Diritto e Letteratura</w:t>
      </w:r>
      <w:r w:rsidRPr="00407A58">
        <w:rPr>
          <w:sz w:val="28"/>
        </w:rPr>
        <w:t>.</w:t>
      </w:r>
    </w:p>
    <w:p w:rsidR="00D34104" w:rsidRPr="00407A58" w:rsidRDefault="00D34104" w:rsidP="00D34104">
      <w:pPr>
        <w:ind w:left="284" w:right="276" w:firstLine="425"/>
        <w:contextualSpacing/>
        <w:jc w:val="both"/>
        <w:rPr>
          <w:sz w:val="28"/>
        </w:rPr>
      </w:pPr>
      <w:r w:rsidRPr="00407A58">
        <w:rPr>
          <w:sz w:val="28"/>
        </w:rPr>
        <w:t xml:space="preserve">Ove si parli, invece, di temi didattici o anche solo approfondimenti dedicati ad altri e vicini settori di studio, parimenti importanti e ricchi di spunti e suggestioni di proficuo interesse, come </w:t>
      </w:r>
      <w:r w:rsidRPr="00DA4DE1">
        <w:rPr>
          <w:i/>
          <w:sz w:val="28"/>
        </w:rPr>
        <w:t>Diritto e Musica</w:t>
      </w:r>
      <w:r w:rsidRPr="00407A58">
        <w:rPr>
          <w:sz w:val="28"/>
        </w:rPr>
        <w:t xml:space="preserve">, </w:t>
      </w:r>
      <w:r w:rsidRPr="00DA4DE1">
        <w:rPr>
          <w:i/>
          <w:sz w:val="28"/>
        </w:rPr>
        <w:t>Diritto e Cinema</w:t>
      </w:r>
      <w:r w:rsidRPr="00407A58">
        <w:rPr>
          <w:sz w:val="28"/>
        </w:rPr>
        <w:t xml:space="preserve">, </w:t>
      </w:r>
      <w:r w:rsidRPr="00DA4DE1">
        <w:rPr>
          <w:i/>
          <w:sz w:val="28"/>
        </w:rPr>
        <w:t>Diritto e Fumetti</w:t>
      </w:r>
      <w:r w:rsidRPr="00407A58">
        <w:rPr>
          <w:sz w:val="28"/>
        </w:rPr>
        <w:t xml:space="preserve"> la situazione italiana segna il passo ed il </w:t>
      </w:r>
      <w:r w:rsidRPr="00DA4DE1">
        <w:rPr>
          <w:i/>
          <w:sz w:val="28"/>
        </w:rPr>
        <w:t>gap</w:t>
      </w:r>
      <w:r w:rsidRPr="00407A58">
        <w:rPr>
          <w:sz w:val="28"/>
        </w:rPr>
        <w:t xml:space="preserve"> con il contesto culturale di altri paesi, anche europei, si avverte netto.</w:t>
      </w:r>
    </w:p>
    <w:p w:rsidR="00D34104" w:rsidRPr="00407A58" w:rsidRDefault="00D34104" w:rsidP="00D34104">
      <w:pPr>
        <w:ind w:left="284" w:right="276" w:firstLine="425"/>
        <w:contextualSpacing/>
        <w:jc w:val="both"/>
        <w:rPr>
          <w:sz w:val="28"/>
        </w:rPr>
      </w:pPr>
      <w:r w:rsidRPr="00407A58">
        <w:rPr>
          <w:sz w:val="28"/>
        </w:rPr>
        <w:t xml:space="preserve">Magari ne parleremo un’altra volta, convinti comunque come siamo che si possa capire molto di determinati orizzonti del diritto, naturalmente senza trascurare gli insegnamenti tradizionali, anche da un </w:t>
      </w:r>
      <w:r w:rsidRPr="00DA4DE1">
        <w:rPr>
          <w:i/>
          <w:sz w:val="28"/>
        </w:rPr>
        <w:t>legal movie</w:t>
      </w:r>
      <w:r w:rsidRPr="00407A58">
        <w:rPr>
          <w:sz w:val="28"/>
        </w:rPr>
        <w:t xml:space="preserve">, da una </w:t>
      </w:r>
      <w:r w:rsidRPr="00DA4DE1">
        <w:rPr>
          <w:i/>
          <w:sz w:val="28"/>
        </w:rPr>
        <w:t>canzone d’autore</w:t>
      </w:r>
      <w:r w:rsidRPr="00407A58">
        <w:rPr>
          <w:sz w:val="28"/>
        </w:rPr>
        <w:t xml:space="preserve">, da una </w:t>
      </w:r>
      <w:r w:rsidRPr="00DA4DE1">
        <w:rPr>
          <w:i/>
          <w:sz w:val="28"/>
        </w:rPr>
        <w:t>graphic-novel</w:t>
      </w:r>
      <w:r w:rsidRPr="00407A58">
        <w:rPr>
          <w:sz w:val="28"/>
        </w:rPr>
        <w:t>.</w:t>
      </w:r>
    </w:p>
    <w:p w:rsidR="00D34104" w:rsidRPr="00407A58" w:rsidRDefault="00D34104" w:rsidP="00D34104">
      <w:pPr>
        <w:ind w:left="284" w:right="276" w:firstLine="425"/>
        <w:contextualSpacing/>
        <w:jc w:val="both"/>
        <w:rPr>
          <w:sz w:val="28"/>
        </w:rPr>
      </w:pPr>
      <w:r w:rsidRPr="00407A58">
        <w:rPr>
          <w:sz w:val="28"/>
        </w:rPr>
        <w:lastRenderedPageBreak/>
        <w:t>Non si ripeteranno ovviamente gli esempi già illustrati nel testo; la speranza tuttavia è quella di avere in qualche modo instillato questa opinione in chi abbia voluto leggere il libro.</w:t>
      </w:r>
    </w:p>
    <w:p w:rsidR="00D34104" w:rsidRPr="00DA4DE1" w:rsidRDefault="00D34104" w:rsidP="00D34104">
      <w:pPr>
        <w:ind w:left="284" w:right="276" w:firstLine="425"/>
        <w:contextualSpacing/>
        <w:jc w:val="both"/>
        <w:rPr>
          <w:sz w:val="28"/>
        </w:rPr>
      </w:pPr>
      <w:r w:rsidRPr="00407A58">
        <w:rPr>
          <w:sz w:val="28"/>
        </w:rPr>
        <w:t xml:space="preserve">In termini percentuali il maggior numero di lezioni di questo corso, come non sarà sfuggito, è dedicato più o meno direttamente ai rapporti tra </w:t>
      </w:r>
      <w:r w:rsidRPr="00DA4DE1">
        <w:rPr>
          <w:i/>
          <w:sz w:val="28"/>
        </w:rPr>
        <w:t>Diritto e</w:t>
      </w:r>
      <w:r w:rsidRPr="00407A58">
        <w:rPr>
          <w:sz w:val="28"/>
        </w:rPr>
        <w:t xml:space="preserve"> </w:t>
      </w:r>
      <w:r w:rsidRPr="00DA4DE1">
        <w:rPr>
          <w:i/>
          <w:sz w:val="28"/>
        </w:rPr>
        <w:t>Letteratura favolistica e fiabesca</w:t>
      </w:r>
      <w:r w:rsidRPr="00DA4DE1">
        <w:rPr>
          <w:sz w:val="28"/>
        </w:rPr>
        <w:t>.</w:t>
      </w:r>
    </w:p>
    <w:p w:rsidR="00D34104" w:rsidRPr="00DA4DE1" w:rsidRDefault="00D34104" w:rsidP="00D34104">
      <w:pPr>
        <w:ind w:left="284" w:right="276" w:firstLine="425"/>
        <w:contextualSpacing/>
        <w:jc w:val="both"/>
        <w:rPr>
          <w:sz w:val="28"/>
        </w:rPr>
      </w:pPr>
      <w:r w:rsidRPr="00DA4DE1">
        <w:rPr>
          <w:sz w:val="28"/>
        </w:rPr>
        <w:t>Negli Stati Uniti d’America soprattutto è un tema affrontato da decenni.</w:t>
      </w:r>
    </w:p>
    <w:p w:rsidR="00D34104" w:rsidRPr="00DA4DE1" w:rsidRDefault="00D34104" w:rsidP="00D34104">
      <w:pPr>
        <w:ind w:left="284" w:right="276" w:firstLine="425"/>
        <w:contextualSpacing/>
        <w:jc w:val="both"/>
        <w:rPr>
          <w:sz w:val="28"/>
        </w:rPr>
      </w:pPr>
      <w:r w:rsidRPr="00DA4DE1">
        <w:rPr>
          <w:sz w:val="28"/>
        </w:rPr>
        <w:t xml:space="preserve">In quel paese da sempre all’avanguardia anche accademicamente non fosse altro che per i mezzi ingentissimi di cui quegli atenei dispongono, mezzi certamente capaci di convogliare enormi risorse destinate a progetti di ricerca che altrove parrebbero, a torto, marginali, non sono pochi i corsi esplicitamente dedicati alla materia, generalmente nota come </w:t>
      </w:r>
      <w:r w:rsidRPr="00DA4DE1">
        <w:rPr>
          <w:i/>
          <w:sz w:val="28"/>
        </w:rPr>
        <w:t xml:space="preserve">Law and fables </w:t>
      </w:r>
      <w:r w:rsidRPr="00DA4DE1">
        <w:rPr>
          <w:sz w:val="28"/>
        </w:rPr>
        <w:t xml:space="preserve">o, talvolta, </w:t>
      </w:r>
      <w:r w:rsidRPr="00DA4DE1">
        <w:rPr>
          <w:i/>
          <w:sz w:val="28"/>
        </w:rPr>
        <w:t>Law and fairies</w:t>
      </w:r>
      <w:r w:rsidRPr="00DA4DE1">
        <w:rPr>
          <w:sz w:val="28"/>
        </w:rPr>
        <w:t xml:space="preserve"> (la parola </w:t>
      </w:r>
      <w:r w:rsidRPr="00DA4DE1">
        <w:rPr>
          <w:i/>
          <w:sz w:val="28"/>
        </w:rPr>
        <w:t>fairy</w:t>
      </w:r>
      <w:r w:rsidRPr="00DA4DE1">
        <w:rPr>
          <w:sz w:val="28"/>
        </w:rPr>
        <w:t xml:space="preserve"> designa comunemente le creature magiche che popolano questo genere letterario).</w:t>
      </w:r>
    </w:p>
    <w:p w:rsidR="00D34104" w:rsidRPr="00DA4DE1" w:rsidRDefault="00D34104" w:rsidP="00D34104">
      <w:pPr>
        <w:ind w:left="284" w:right="276" w:firstLine="425"/>
        <w:contextualSpacing/>
        <w:jc w:val="both"/>
        <w:rPr>
          <w:sz w:val="28"/>
        </w:rPr>
      </w:pPr>
      <w:r w:rsidRPr="00DA4DE1">
        <w:rPr>
          <w:sz w:val="28"/>
        </w:rPr>
        <w:t>Le bibliografie americane in materia sono ricchissime.</w:t>
      </w:r>
    </w:p>
    <w:p w:rsidR="00D34104" w:rsidRPr="00DA4DE1" w:rsidRDefault="00D34104" w:rsidP="00D34104">
      <w:pPr>
        <w:ind w:left="284" w:right="276" w:firstLine="425"/>
        <w:contextualSpacing/>
        <w:jc w:val="both"/>
        <w:rPr>
          <w:sz w:val="28"/>
        </w:rPr>
      </w:pPr>
      <w:r w:rsidRPr="00DA4DE1">
        <w:rPr>
          <w:sz w:val="28"/>
        </w:rPr>
        <w:t>Sono stati scritti volumi e volumi, da parte di fior di giuristi, che hanno studiato le tradizioni favolistiche di tutto il mondo, alla ricerca di spunti di diritto, di argomentazioni giuridiche, di utili comparazioni.</w:t>
      </w:r>
    </w:p>
    <w:p w:rsidR="00D34104" w:rsidRPr="00DA4DE1" w:rsidRDefault="00D34104" w:rsidP="00D34104">
      <w:pPr>
        <w:ind w:left="284" w:right="276" w:firstLine="425"/>
        <w:contextualSpacing/>
        <w:jc w:val="both"/>
        <w:rPr>
          <w:sz w:val="28"/>
        </w:rPr>
      </w:pPr>
      <w:r w:rsidRPr="00DA4DE1">
        <w:rPr>
          <w:sz w:val="28"/>
        </w:rPr>
        <w:t>Le raccolte di Esopo e di Fedro sono state letteralmente sviscerate, favola per favola, individuandovi filoni interi di diritto privato, di diritto commerciale, di aziendalistica, addirittura interpretando alcune storiche sentenze delle più prestigiose corti americane alla luce degli insegnamenti delle favole.</w:t>
      </w:r>
    </w:p>
    <w:p w:rsidR="00D34104" w:rsidRPr="00DA4DE1" w:rsidRDefault="00D34104" w:rsidP="00D34104">
      <w:pPr>
        <w:ind w:left="284" w:right="276" w:firstLine="425"/>
        <w:contextualSpacing/>
        <w:jc w:val="both"/>
        <w:rPr>
          <w:sz w:val="28"/>
        </w:rPr>
      </w:pPr>
      <w:r w:rsidRPr="00DA4DE1">
        <w:rPr>
          <w:sz w:val="28"/>
        </w:rPr>
        <w:t>Gli animali antropomorfi delle novelle, insomma, sono stati sovente visti come abili organizzatori di cose di legge o comunque come soggetti dalle cui condotte trarre spunto, nel bene e nel male, per interpretare al meglio normative ed istituti comuni della tradizione giuridica diffusa.</w:t>
      </w:r>
    </w:p>
    <w:p w:rsidR="00D34104" w:rsidRPr="00DA4DE1" w:rsidRDefault="00D34104" w:rsidP="00D34104">
      <w:pPr>
        <w:ind w:left="284" w:right="276" w:firstLine="425"/>
        <w:contextualSpacing/>
        <w:jc w:val="both"/>
        <w:rPr>
          <w:sz w:val="28"/>
        </w:rPr>
      </w:pPr>
      <w:r w:rsidRPr="00DA4DE1">
        <w:rPr>
          <w:sz w:val="28"/>
        </w:rPr>
        <w:t>Trattando della favolistica antica molti esempi sono già stati fatti di queste significative tangenze e non si ripercorreranno certo in queste pagine conclusive.</w:t>
      </w:r>
    </w:p>
    <w:p w:rsidR="00D34104" w:rsidRPr="00DA4DE1" w:rsidRDefault="00D34104" w:rsidP="00D34104">
      <w:pPr>
        <w:ind w:left="284" w:right="276" w:firstLine="425"/>
        <w:contextualSpacing/>
        <w:jc w:val="both"/>
        <w:rPr>
          <w:sz w:val="28"/>
        </w:rPr>
      </w:pPr>
      <w:r w:rsidRPr="00DA4DE1">
        <w:rPr>
          <w:sz w:val="28"/>
        </w:rPr>
        <w:t>E’ poco ma sicuro che i favolisti del passato classico avessero ben presente come la loro letteratura gnomico-pedagogica si prestasse assai bene a fruttuose incursioni nel campo del diritto, alcune memorabilmente passate alla storia.</w:t>
      </w:r>
    </w:p>
    <w:p w:rsidR="00D34104" w:rsidRPr="00DA4DE1" w:rsidRDefault="00D34104" w:rsidP="00D34104">
      <w:pPr>
        <w:ind w:left="284" w:right="276" w:firstLine="425"/>
        <w:contextualSpacing/>
        <w:jc w:val="both"/>
        <w:rPr>
          <w:sz w:val="28"/>
        </w:rPr>
      </w:pPr>
      <w:r w:rsidRPr="00DA4DE1">
        <w:rPr>
          <w:sz w:val="28"/>
        </w:rPr>
        <w:t xml:space="preserve">Davvero eclatante è il caso della così detta </w:t>
      </w:r>
      <w:r w:rsidRPr="00FC1CF1">
        <w:rPr>
          <w:i/>
          <w:sz w:val="28"/>
        </w:rPr>
        <w:t>società leonina</w:t>
      </w:r>
      <w:r w:rsidRPr="00DA4DE1">
        <w:rPr>
          <w:sz w:val="28"/>
        </w:rPr>
        <w:t>, oggi divenuta espressione denotativa di una ben precisa situazione di diritto commerciale che, ben conosciuta anche in diritto romano, deve tuttavia la propria denominazione ad un’intuizione favolistica di cui vi è traccia in Esopo, precisa esternazione in Fedro e cenni anche nel loro grande epigono francese seicentesco Jean de La Fontaine (1621-1695).</w:t>
      </w:r>
    </w:p>
    <w:p w:rsidR="00D34104" w:rsidRPr="00DA4DE1" w:rsidRDefault="00D34104" w:rsidP="00D34104">
      <w:pPr>
        <w:ind w:left="284" w:right="276" w:firstLine="425"/>
        <w:contextualSpacing/>
        <w:jc w:val="both"/>
        <w:rPr>
          <w:sz w:val="28"/>
        </w:rPr>
      </w:pPr>
      <w:r w:rsidRPr="00DA4DE1">
        <w:rPr>
          <w:sz w:val="28"/>
        </w:rPr>
        <w:t>Fedro in una delle sue favole</w:t>
      </w:r>
      <w:r w:rsidRPr="00DA4DE1">
        <w:rPr>
          <w:rStyle w:val="Rimandonotaapidipagina"/>
          <w:sz w:val="28"/>
        </w:rPr>
        <w:footnoteReference w:id="76"/>
      </w:r>
      <w:r w:rsidRPr="00DA4DE1">
        <w:rPr>
          <w:sz w:val="28"/>
        </w:rPr>
        <w:t xml:space="preserve"> aveva raccontato che:</w:t>
      </w:r>
    </w:p>
    <w:p w:rsidR="00D34104" w:rsidRPr="00DA4DE1" w:rsidRDefault="00D34104" w:rsidP="00D34104">
      <w:pPr>
        <w:ind w:left="284" w:right="276" w:firstLine="425"/>
        <w:contextualSpacing/>
        <w:jc w:val="both"/>
        <w:rPr>
          <w:sz w:val="28"/>
        </w:rPr>
      </w:pPr>
      <w:r w:rsidRPr="00DA4DE1">
        <w:rPr>
          <w:sz w:val="28"/>
        </w:rPr>
        <w:t xml:space="preserve">  </w:t>
      </w:r>
    </w:p>
    <w:p w:rsidR="00D34104" w:rsidRPr="0003087B" w:rsidRDefault="00D34104" w:rsidP="00D34104">
      <w:pPr>
        <w:ind w:left="1134" w:right="1694"/>
        <w:contextualSpacing/>
        <w:jc w:val="both"/>
        <w:rPr>
          <w:sz w:val="28"/>
        </w:rPr>
      </w:pPr>
      <w:r w:rsidRPr="0003087B">
        <w:rPr>
          <w:rFonts w:cs="Arial-ItalicMT"/>
          <w:iCs/>
          <w:lang w:bidi="it-IT"/>
        </w:rPr>
        <w:t>Si radunarono insieme, per andare a cacciare, la pecora, la capra, la giovenca e il leone. Presero un cervo. Nello spartire la preda ciascuno degli altri pretendeva di avere la propria parte come il leone. Ma il re della foresta disse: “Noi divideremo il cervo in quattro parti; la prima</w:t>
      </w:r>
      <w:r w:rsidRPr="00CC12F4">
        <w:rPr>
          <w:rFonts w:cs="Arial-ItalicMT"/>
          <w:iCs/>
          <w:color w:val="333333"/>
          <w:lang w:bidi="it-IT"/>
        </w:rPr>
        <w:t xml:space="preserve"> </w:t>
      </w:r>
      <w:r w:rsidRPr="0003087B">
        <w:rPr>
          <w:rFonts w:cs="Arial-ItalicMT"/>
          <w:iCs/>
          <w:lang w:bidi="it-IT"/>
        </w:rPr>
        <w:lastRenderedPageBreak/>
        <w:t>deve essere mia, perché grande è l’onore che mi è dovuto. La seconda deve essere mia, perché ho più forza di voi. La terza altrettanto, perché il mio contributo è stato il maggiore. Resta la quarta parte, disse il leone, ma chi di voi la prenderà sappia che non lo considererò mio amico…! Quando gli altri animali udirono queste parole, impauriti si allontanarono e non ebbero niente della preda. Così lei sola, la malvagia arroganza, si portò via tutta la carne.</w:t>
      </w:r>
    </w:p>
    <w:p w:rsidR="00D34104" w:rsidRPr="00CC12F4" w:rsidRDefault="00D34104" w:rsidP="00D34104">
      <w:pPr>
        <w:ind w:left="1134" w:right="1694"/>
        <w:contextualSpacing/>
        <w:jc w:val="both"/>
        <w:rPr>
          <w:sz w:val="28"/>
        </w:rPr>
      </w:pPr>
    </w:p>
    <w:p w:rsidR="00D34104" w:rsidRPr="00CC12F4" w:rsidRDefault="00D34104" w:rsidP="00D34104">
      <w:pPr>
        <w:ind w:left="284" w:right="276" w:firstLine="425"/>
        <w:contextualSpacing/>
        <w:jc w:val="both"/>
        <w:rPr>
          <w:sz w:val="28"/>
        </w:rPr>
      </w:pPr>
      <w:r w:rsidRPr="00CC12F4">
        <w:rPr>
          <w:sz w:val="28"/>
        </w:rPr>
        <w:t xml:space="preserve">Anche Esopo aveva trattato l’argomento in due favole, la numero 207 e la numero 209 della numerazione tradizionale. </w:t>
      </w:r>
    </w:p>
    <w:p w:rsidR="00D34104" w:rsidRPr="00CC12F4" w:rsidRDefault="00D34104" w:rsidP="00D34104">
      <w:pPr>
        <w:ind w:left="284" w:right="276" w:firstLine="425"/>
        <w:contextualSpacing/>
        <w:jc w:val="both"/>
        <w:rPr>
          <w:sz w:val="28"/>
        </w:rPr>
      </w:pPr>
      <w:r w:rsidRPr="00CC12F4">
        <w:rPr>
          <w:sz w:val="28"/>
        </w:rPr>
        <w:t>Jean de La Fontaine nelle sue riprese (favola n. VI del libro 1°), con garbo l’aveva trasposta in versi che tradotti in italiano suonano piacevoli e musicali:</w:t>
      </w:r>
    </w:p>
    <w:p w:rsidR="00D34104" w:rsidRPr="00CC12F4" w:rsidRDefault="00D34104" w:rsidP="00D34104">
      <w:pPr>
        <w:ind w:left="284" w:right="276" w:firstLine="425"/>
        <w:contextualSpacing/>
        <w:jc w:val="both"/>
        <w:rPr>
          <w:sz w:val="28"/>
        </w:rPr>
      </w:pP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Si narra che una volta stringesser comunella</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la Pecora, la Mucca, la Capra lor sorella,</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col gran signor del luogo che detto era Leone,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a questa condizione: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che ognun insieme i danni e gli utili mettesse.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Ben stabiliti i patti avvenne che cadesse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un cervo nella fossa un dì della capretta,</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che onesta manda a chiedere i suoi compagni in fretta.</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Giunto il Leone, esclama: - Faremo quattro parti -.</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E subito coll'unghie straccia la bestia in quarti.</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La prima se la piglia e ciò per la ragione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ch'egli è Messer Leone.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Un'altra parte - aggiunge - ancor spettami in sorte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perché sono il più forte.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La terza me la piglio perché sono il Leone,</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 xml:space="preserve">e se la quarta alcun osasse disputarmi </w:t>
      </w:r>
    </w:p>
    <w:p w:rsidR="00D34104" w:rsidRPr="00CC12F4" w:rsidRDefault="00D34104" w:rsidP="00D34104">
      <w:pPr>
        <w:widowControl w:val="0"/>
        <w:autoSpaceDE w:val="0"/>
        <w:autoSpaceDN w:val="0"/>
        <w:adjustRightInd w:val="0"/>
        <w:jc w:val="center"/>
        <w:rPr>
          <w:rFonts w:cs="Verdana"/>
          <w:szCs w:val="22"/>
          <w:lang w:bidi="it-IT"/>
        </w:rPr>
      </w:pPr>
      <w:r w:rsidRPr="00CC12F4">
        <w:rPr>
          <w:rFonts w:cs="Verdana"/>
          <w:szCs w:val="22"/>
          <w:lang w:bidi="it-IT"/>
        </w:rPr>
        <w:t>lo mangio in un boccone.</w:t>
      </w:r>
    </w:p>
    <w:p w:rsidR="00D34104" w:rsidRPr="00CC12F4" w:rsidRDefault="00D34104" w:rsidP="00D34104">
      <w:pPr>
        <w:widowControl w:val="0"/>
        <w:autoSpaceDE w:val="0"/>
        <w:autoSpaceDN w:val="0"/>
        <w:adjustRightInd w:val="0"/>
        <w:jc w:val="center"/>
        <w:rPr>
          <w:rFonts w:ascii="Verdana" w:hAnsi="Verdana" w:cs="Verdana"/>
          <w:color w:val="586074"/>
          <w:sz w:val="22"/>
          <w:szCs w:val="22"/>
          <w:lang w:bidi="it-IT"/>
        </w:rPr>
      </w:pPr>
    </w:p>
    <w:p w:rsidR="00D34104" w:rsidRPr="00CC12F4" w:rsidRDefault="00D34104" w:rsidP="00D34104">
      <w:pPr>
        <w:ind w:left="284" w:right="276" w:firstLine="425"/>
        <w:contextualSpacing/>
        <w:jc w:val="both"/>
        <w:rPr>
          <w:sz w:val="28"/>
        </w:rPr>
      </w:pPr>
      <w:r w:rsidRPr="00CC12F4">
        <w:rPr>
          <w:sz w:val="28"/>
        </w:rPr>
        <w:t xml:space="preserve">Non ci si può fidare mai, è questo il </w:t>
      </w:r>
      <w:r w:rsidRPr="00CC12F4">
        <w:rPr>
          <w:i/>
          <w:sz w:val="28"/>
        </w:rPr>
        <w:t>promitio</w:t>
      </w:r>
      <w:r w:rsidRPr="00CC12F4">
        <w:rPr>
          <w:sz w:val="28"/>
        </w:rPr>
        <w:t xml:space="preserve"> della narrazione, di una società con chi è più potente di noi. </w:t>
      </w:r>
    </w:p>
    <w:p w:rsidR="00D34104" w:rsidRPr="00CC12F4" w:rsidRDefault="00D34104" w:rsidP="00D34104">
      <w:pPr>
        <w:ind w:left="284" w:right="276" w:firstLine="425"/>
        <w:contextualSpacing/>
        <w:jc w:val="both"/>
        <w:rPr>
          <w:i/>
          <w:sz w:val="28"/>
        </w:rPr>
      </w:pPr>
      <w:r w:rsidRPr="00CC12F4">
        <w:rPr>
          <w:sz w:val="28"/>
        </w:rPr>
        <w:t xml:space="preserve">Recependosi l’insegnamento favolistico, in diritto, già a partire dalla elaborazione romanistica si è sempre usata, per tratteggiare una situazione societaria ove uno o più soci siano aprioristicamente esclusi dai guadagni o dalle perdite, la locuzione di </w:t>
      </w:r>
      <w:r w:rsidRPr="00CC12F4">
        <w:rPr>
          <w:i/>
          <w:sz w:val="28"/>
        </w:rPr>
        <w:t>Societas leonina</w:t>
      </w:r>
      <w:r w:rsidRPr="00CC12F4">
        <w:rPr>
          <w:rStyle w:val="Rimandonotaapidipagina"/>
          <w:sz w:val="28"/>
        </w:rPr>
        <w:footnoteReference w:id="77"/>
      </w:r>
      <w:r w:rsidRPr="00CC12F4">
        <w:rPr>
          <w:i/>
          <w:sz w:val="28"/>
        </w:rPr>
        <w:t>.</w:t>
      </w:r>
    </w:p>
    <w:p w:rsidR="00D34104" w:rsidRPr="00CC12F4" w:rsidRDefault="00D34104" w:rsidP="00D34104">
      <w:pPr>
        <w:ind w:left="284" w:right="276" w:firstLine="425"/>
        <w:contextualSpacing/>
        <w:jc w:val="both"/>
        <w:rPr>
          <w:sz w:val="28"/>
        </w:rPr>
      </w:pPr>
      <w:r w:rsidRPr="00CC12F4">
        <w:rPr>
          <w:sz w:val="28"/>
        </w:rPr>
        <w:t>Non vi è alcun costrutto a mettere su una</w:t>
      </w:r>
      <w:r w:rsidRPr="00CC12F4">
        <w:rPr>
          <w:i/>
          <w:sz w:val="28"/>
        </w:rPr>
        <w:t xml:space="preserve"> compagnia</w:t>
      </w:r>
      <w:r w:rsidRPr="00CC12F4">
        <w:rPr>
          <w:sz w:val="28"/>
        </w:rPr>
        <w:t xml:space="preserve"> di tal genere e pertanto il così detto </w:t>
      </w:r>
      <w:r w:rsidRPr="00CC12F4">
        <w:rPr>
          <w:i/>
          <w:sz w:val="28"/>
        </w:rPr>
        <w:t>patto leonino</w:t>
      </w:r>
      <w:r w:rsidRPr="00CC12F4">
        <w:rPr>
          <w:sz w:val="28"/>
        </w:rPr>
        <w:t>, è invalidabile anche nei moderni sistemi di diritto privato</w:t>
      </w:r>
      <w:r w:rsidRPr="00CC12F4">
        <w:rPr>
          <w:rStyle w:val="Rimandonotaapidipagina"/>
          <w:sz w:val="28"/>
        </w:rPr>
        <w:footnoteReference w:id="78"/>
      </w:r>
      <w:r w:rsidRPr="00CC12F4">
        <w:rPr>
          <w:sz w:val="28"/>
        </w:rPr>
        <w:t>.</w:t>
      </w:r>
    </w:p>
    <w:p w:rsidR="00D34104" w:rsidRPr="00CC12F4" w:rsidRDefault="00D34104" w:rsidP="00D34104">
      <w:pPr>
        <w:ind w:left="284" w:right="276" w:firstLine="425"/>
        <w:contextualSpacing/>
        <w:jc w:val="both"/>
        <w:rPr>
          <w:sz w:val="28"/>
        </w:rPr>
      </w:pPr>
      <w:r w:rsidRPr="00CC12F4">
        <w:rPr>
          <w:sz w:val="28"/>
        </w:rPr>
        <w:t>Altri esempi sono stati già fatti nel testo, altre osservazioni sono contenute lungo la trama delle lezioni.</w:t>
      </w:r>
    </w:p>
    <w:p w:rsidR="00D34104" w:rsidRPr="00CC12F4" w:rsidRDefault="00D34104" w:rsidP="00D34104">
      <w:pPr>
        <w:ind w:left="284" w:right="276" w:firstLine="425"/>
        <w:contextualSpacing/>
        <w:jc w:val="both"/>
        <w:rPr>
          <w:sz w:val="28"/>
        </w:rPr>
      </w:pPr>
      <w:r w:rsidRPr="00CC12F4">
        <w:rPr>
          <w:sz w:val="28"/>
        </w:rPr>
        <w:lastRenderedPageBreak/>
        <w:t>In fondo, ed il discorso vale a maggior ragione quando si abbandoni la favola e si passi alla fiaba, alla novella, al racconto, è proprio la componente folklorica, di tradizione popolare, di intrinseco romanticismo, a rendere questo genere di produzione letteraria una miniera inesauribile di spunti anche giuridici.</w:t>
      </w:r>
    </w:p>
    <w:p w:rsidR="00D34104" w:rsidRPr="00CC12F4" w:rsidRDefault="00D34104" w:rsidP="00D34104">
      <w:pPr>
        <w:ind w:left="284" w:right="276" w:firstLine="425"/>
        <w:contextualSpacing/>
        <w:jc w:val="both"/>
        <w:rPr>
          <w:sz w:val="28"/>
        </w:rPr>
      </w:pPr>
      <w:r w:rsidRPr="00CC12F4">
        <w:rPr>
          <w:sz w:val="28"/>
        </w:rPr>
        <w:t>I fratelli Grimm erano giuristi puri. Cercavano di sistemare, quando si imbatterono nel pozzo senza fondo della cultura fiabesca alto-germanica, la storia dei diritti locali dei mille staterelli in cui era divisa, al tempo, la loro patria.</w:t>
      </w:r>
    </w:p>
    <w:p w:rsidR="00D34104" w:rsidRPr="00CC12F4" w:rsidRDefault="00D34104" w:rsidP="00D34104">
      <w:pPr>
        <w:ind w:left="284" w:right="276" w:firstLine="425"/>
        <w:contextualSpacing/>
        <w:jc w:val="both"/>
        <w:rPr>
          <w:sz w:val="28"/>
        </w:rPr>
      </w:pPr>
      <w:r w:rsidRPr="00CC12F4">
        <w:rPr>
          <w:sz w:val="28"/>
        </w:rPr>
        <w:t>Presto entrambi erano giunti all’inevitabile conclusione, tanto più logica quanto più si rifletta sull’intrinseco vitalismo che completa sempre ogni manifestazione normativa, che il diritto di un popolo, come la sua lingua e la sua storia, si trova nei racconti degli anziani non meno che nei testi di legge.</w:t>
      </w:r>
    </w:p>
    <w:p w:rsidR="00D34104" w:rsidRPr="00CC12F4" w:rsidRDefault="00D34104" w:rsidP="00D34104">
      <w:pPr>
        <w:ind w:left="284" w:right="276" w:firstLine="425"/>
        <w:contextualSpacing/>
        <w:jc w:val="both"/>
        <w:rPr>
          <w:sz w:val="28"/>
        </w:rPr>
      </w:pPr>
      <w:r w:rsidRPr="00CC12F4">
        <w:rPr>
          <w:sz w:val="28"/>
        </w:rPr>
        <w:t xml:space="preserve">Era nata così la raccolta delle </w:t>
      </w:r>
      <w:r w:rsidRPr="00CC12F4">
        <w:rPr>
          <w:i/>
          <w:sz w:val="28"/>
        </w:rPr>
        <w:t>fiabe dei piccini e del focolare</w:t>
      </w:r>
      <w:r w:rsidRPr="00CC12F4">
        <w:rPr>
          <w:sz w:val="28"/>
        </w:rPr>
        <w:t>.</w:t>
      </w:r>
    </w:p>
    <w:p w:rsidR="00D34104" w:rsidRPr="00DA4DE1" w:rsidRDefault="00D34104" w:rsidP="00D34104">
      <w:pPr>
        <w:ind w:left="284" w:right="276" w:firstLine="425"/>
        <w:contextualSpacing/>
        <w:jc w:val="both"/>
        <w:rPr>
          <w:sz w:val="28"/>
        </w:rPr>
      </w:pPr>
      <w:r w:rsidRPr="00CC12F4">
        <w:rPr>
          <w:sz w:val="28"/>
        </w:rPr>
        <w:t xml:space="preserve">Il resto lo ha quasi sempre fatto la bravura degli scrittori, la perizia dei novellieri, la magia della parola raccontata che, sicuramente più di un trattato di diritto, della sentenza di un giudice o del tessuto normativo di un codice, ha potuto godere di quella libertà espositiva e didascalica che consente oggi di apprezzare senz’altro, e non poco, la materia di </w:t>
      </w:r>
      <w:r w:rsidRPr="00DA4DE1">
        <w:rPr>
          <w:i/>
          <w:sz w:val="28"/>
        </w:rPr>
        <w:t>Diritto e</w:t>
      </w:r>
      <w:r w:rsidRPr="00407A58">
        <w:rPr>
          <w:sz w:val="28"/>
        </w:rPr>
        <w:t xml:space="preserve"> </w:t>
      </w:r>
      <w:r w:rsidRPr="00DA4DE1">
        <w:rPr>
          <w:i/>
          <w:sz w:val="28"/>
        </w:rPr>
        <w:t>Letteratura favolistica e fiabesca</w:t>
      </w:r>
      <w:r w:rsidRPr="00DA4DE1">
        <w:rPr>
          <w:sz w:val="28"/>
        </w:rPr>
        <w:t>, il luogo cioè dove, proprio come nel castello descritto da Italo Calvino</w:t>
      </w:r>
      <w:r w:rsidRPr="00DA4DE1">
        <w:rPr>
          <w:rStyle w:val="Rimandonotaapidipagina"/>
          <w:sz w:val="28"/>
        </w:rPr>
        <w:footnoteReference w:id="79"/>
      </w:r>
      <w:r w:rsidRPr="00DA4DE1">
        <w:rPr>
          <w:sz w:val="28"/>
        </w:rPr>
        <w:t>, si incrociano tutti i destini dell’uomo, anche quelli di chi confidi ancora nella giustizia tra simili.</w:t>
      </w:r>
    </w:p>
    <w:p w:rsidR="00D34104" w:rsidRPr="00CC12F4" w:rsidRDefault="00D34104" w:rsidP="00D34104">
      <w:pPr>
        <w:ind w:left="284" w:right="276" w:firstLine="425"/>
        <w:contextualSpacing/>
        <w:jc w:val="both"/>
        <w:rPr>
          <w:sz w:val="28"/>
        </w:rPr>
      </w:pPr>
      <w:r w:rsidRPr="00CC12F4">
        <w:rPr>
          <w:sz w:val="28"/>
        </w:rPr>
        <w:t>Lo scrittore d’altra parte, quando è grande e degno d’esser letto, ha capacità espositive e fascinatorie usualmente non richieste al giurista.</w:t>
      </w:r>
    </w:p>
    <w:p w:rsidR="00D34104" w:rsidRPr="00CC12F4" w:rsidRDefault="00D34104" w:rsidP="00D34104">
      <w:pPr>
        <w:ind w:left="284" w:right="276" w:firstLine="425"/>
        <w:contextualSpacing/>
        <w:jc w:val="both"/>
        <w:rPr>
          <w:sz w:val="28"/>
        </w:rPr>
      </w:pPr>
      <w:r w:rsidRPr="00CC12F4">
        <w:rPr>
          <w:sz w:val="28"/>
        </w:rPr>
        <w:t>Cosa possa essere e diventare il diritto in una società auspicabilmente migliore della nostra, possiamo leggerlo in una grande storia che tutti abbiamo conosciuto da piccoli, che senza sforzo ci insegna in forma di novella quale debba essere la funzione promozionale della norma.</w:t>
      </w:r>
    </w:p>
    <w:p w:rsidR="00D34104" w:rsidRPr="00CC12F4" w:rsidRDefault="00D34104" w:rsidP="00D34104">
      <w:pPr>
        <w:ind w:left="284" w:right="276" w:firstLine="425"/>
        <w:contextualSpacing/>
        <w:jc w:val="both"/>
        <w:rPr>
          <w:sz w:val="28"/>
        </w:rPr>
      </w:pPr>
      <w:r w:rsidRPr="00CC12F4">
        <w:rPr>
          <w:sz w:val="28"/>
        </w:rPr>
        <w:t xml:space="preserve">Jonhatan Swift (1667-1745), ne </w:t>
      </w:r>
      <w:r w:rsidRPr="00CC12F4">
        <w:rPr>
          <w:i/>
          <w:sz w:val="28"/>
        </w:rPr>
        <w:t>I Viaggi di Gulliver</w:t>
      </w:r>
      <w:r w:rsidRPr="00CC12F4">
        <w:rPr>
          <w:sz w:val="28"/>
        </w:rPr>
        <w:t xml:space="preserve">, mette benissimo in guardia dai limiti di una concezione giuridica solo sanzionatoria e illustra i pregi, al contrario, di un ordinamento che riconosca e attribuisca meriti e premi a coloro i quali il diritto lo rispettino davvero. </w:t>
      </w:r>
    </w:p>
    <w:p w:rsidR="00D34104" w:rsidRPr="00DA4DE1" w:rsidRDefault="00D34104" w:rsidP="00D34104">
      <w:pPr>
        <w:ind w:left="284" w:right="276" w:firstLine="425"/>
        <w:contextualSpacing/>
        <w:jc w:val="both"/>
        <w:rPr>
          <w:sz w:val="28"/>
        </w:rPr>
      </w:pPr>
      <w:r w:rsidRPr="00CC12F4">
        <w:rPr>
          <w:sz w:val="28"/>
        </w:rPr>
        <w:t xml:space="preserve">“Ricompense e castighi”, osservava Lemuel Gulliver parlando della terra dei </w:t>
      </w:r>
      <w:r w:rsidRPr="0003087B">
        <w:rPr>
          <w:i/>
          <w:sz w:val="28"/>
        </w:rPr>
        <w:t>lillipuziani</w:t>
      </w:r>
      <w:r w:rsidRPr="00CC12F4">
        <w:rPr>
          <w:sz w:val="28"/>
        </w:rPr>
        <w:t>, “costituiscono l’asse attorno al quale gira la ruota dello stato, eppure non mi è capitato mai di vedere questa massima messa in pratica come a Lilliput. Chiunque è in grado di esibire prove sufficienti di settantatrè lune filate di rispetto alle leggi statali, ha diritto a privilegi, unitamente a una certa somma di denaro da prelevare da un fondo destinato a questo fine. L’immagine della Giustizia che viene raffigurata nei loro tribunali ha una borsa di monete d’oro, aperta, nella mano destra e una spada nel fodero nella sinistra, per dimostrare che essa è più incline alla ricompensa che alla punizione”</w:t>
      </w:r>
      <w:r w:rsidRPr="00CC12F4">
        <w:rPr>
          <w:rStyle w:val="Rimandonotaapidipagina"/>
          <w:sz w:val="28"/>
        </w:rPr>
        <w:footnoteReference w:id="80"/>
      </w:r>
      <w:r w:rsidRPr="00CC12F4">
        <w:rPr>
          <w:sz w:val="28"/>
        </w:rPr>
        <w:t>.</w:t>
      </w:r>
      <w:r w:rsidRPr="00DA4DE1">
        <w:rPr>
          <w:sz w:val="28"/>
        </w:rPr>
        <w:t xml:space="preserve"> </w:t>
      </w:r>
    </w:p>
    <w:p w:rsidR="00D34104" w:rsidRPr="0003087B" w:rsidRDefault="00D34104" w:rsidP="00D34104">
      <w:pPr>
        <w:ind w:left="284" w:right="276" w:firstLine="425"/>
        <w:contextualSpacing/>
        <w:jc w:val="both"/>
        <w:rPr>
          <w:sz w:val="28"/>
        </w:rPr>
      </w:pPr>
      <w:r w:rsidRPr="00DA4DE1">
        <w:rPr>
          <w:sz w:val="28"/>
        </w:rPr>
        <w:lastRenderedPageBreak/>
        <w:t xml:space="preserve">Il </w:t>
      </w:r>
      <w:r w:rsidRPr="0003087B">
        <w:rPr>
          <w:i/>
          <w:sz w:val="28"/>
        </w:rPr>
        <w:t>pathos</w:t>
      </w:r>
      <w:r w:rsidRPr="00DA4DE1">
        <w:rPr>
          <w:sz w:val="28"/>
        </w:rPr>
        <w:t xml:space="preserve"> narrativo, calato in atmosfera fiabesca, è perfettamente funzionale in questo caso al messaggio illustrativo, che è politico e pedagogico ad un tem</w:t>
      </w:r>
      <w:r w:rsidRPr="0003087B">
        <w:rPr>
          <w:sz w:val="28"/>
        </w:rPr>
        <w:t>po, di una dimensione altra rispetto alla realtà, utopica forse, ma coltivabile nella speranza.</w:t>
      </w:r>
    </w:p>
    <w:p w:rsidR="00D34104" w:rsidRPr="0003087B" w:rsidRDefault="00D34104" w:rsidP="00D34104">
      <w:pPr>
        <w:ind w:left="284" w:right="276" w:firstLine="425"/>
        <w:contextualSpacing/>
        <w:jc w:val="both"/>
        <w:rPr>
          <w:sz w:val="28"/>
        </w:rPr>
      </w:pPr>
      <w:r w:rsidRPr="0003087B">
        <w:rPr>
          <w:sz w:val="28"/>
        </w:rPr>
        <w:t xml:space="preserve">La catena narrativa allora, la famosa </w:t>
      </w:r>
      <w:r w:rsidRPr="0003087B">
        <w:rPr>
          <w:i/>
          <w:sz w:val="28"/>
        </w:rPr>
        <w:t>chain novel</w:t>
      </w:r>
      <w:r w:rsidRPr="0003087B">
        <w:rPr>
          <w:sz w:val="28"/>
        </w:rPr>
        <w:t xml:space="preserve"> di cui ha a lungo parlato un giurista dello spessore assoluto del compianto Ronald Dworkin, si salda definitivamente all’anello che chiude il cerchio, e che è dato dall’osservazione che se il diritto è vita dell’uomo è lecito che i giuristi, più che altri intellettuali di diverso sapere, da sempre avvertano la vocazione al racconto e, adusi come sono a maneggiar brocardi, metafore e finzioni, anche alla fiaba vera e propria.</w:t>
      </w:r>
    </w:p>
    <w:p w:rsidR="00D34104" w:rsidRPr="0003087B" w:rsidRDefault="00D34104" w:rsidP="00D34104">
      <w:pPr>
        <w:ind w:left="284" w:right="276" w:firstLine="425"/>
        <w:contextualSpacing/>
        <w:jc w:val="both"/>
        <w:rPr>
          <w:sz w:val="28"/>
        </w:rPr>
      </w:pPr>
      <w:r w:rsidRPr="0003087B">
        <w:rPr>
          <w:sz w:val="28"/>
        </w:rPr>
        <w:t>Anche in Italia ed anche tra i grandi o i grandissimi non mancano certo gli esempi di giuristi novellieri.</w:t>
      </w:r>
    </w:p>
    <w:p w:rsidR="00D34104" w:rsidRPr="0003087B" w:rsidRDefault="00D34104" w:rsidP="00D34104">
      <w:pPr>
        <w:ind w:left="284" w:right="276" w:firstLine="425"/>
        <w:contextualSpacing/>
        <w:jc w:val="both"/>
        <w:rPr>
          <w:sz w:val="28"/>
        </w:rPr>
      </w:pPr>
      <w:r w:rsidRPr="0003087B">
        <w:rPr>
          <w:sz w:val="28"/>
        </w:rPr>
        <w:t>Che dire ad esempio di Piero Calamandrei (1889-1956), autentico titano degli studi processuali, eppure a lungo cultore letterario e favolista di vaglia?</w:t>
      </w:r>
    </w:p>
    <w:p w:rsidR="00D34104" w:rsidRPr="0003087B" w:rsidRDefault="00D34104" w:rsidP="00D34104">
      <w:pPr>
        <w:ind w:left="284" w:right="276" w:firstLine="425"/>
        <w:contextualSpacing/>
        <w:jc w:val="both"/>
        <w:rPr>
          <w:sz w:val="28"/>
        </w:rPr>
      </w:pPr>
      <w:r w:rsidRPr="0003087B">
        <w:rPr>
          <w:sz w:val="28"/>
        </w:rPr>
        <w:t>Tutti lo ammirano, ed a ragione, per i monumentali studi sui procedimenti cautelari nel processo civile, per gli approfondimenti fondamentali in materia di giudizio in cassazione e per tanto altro ancora; pochi ne apprezzano le sapide fiabe, dense di spunti teorico generali, neppure troppo nascosti, in materia giuridica.</w:t>
      </w:r>
    </w:p>
    <w:p w:rsidR="00D34104" w:rsidRPr="0003087B" w:rsidRDefault="00D34104" w:rsidP="00D34104">
      <w:pPr>
        <w:ind w:left="284" w:right="276" w:firstLine="425"/>
        <w:contextualSpacing/>
        <w:jc w:val="both"/>
        <w:rPr>
          <w:rFonts w:cs="Georgia"/>
          <w:sz w:val="28"/>
          <w:szCs w:val="32"/>
          <w:lang w:bidi="it-IT"/>
        </w:rPr>
      </w:pPr>
      <w:r w:rsidRPr="0003087B">
        <w:rPr>
          <w:sz w:val="28"/>
        </w:rPr>
        <w:t>Da giovane, il maestro toscano, in più di un lavoro accademico aveva messo in guardia</w:t>
      </w:r>
      <w:r w:rsidRPr="0003087B">
        <w:rPr>
          <w:rFonts w:cs="Georgia"/>
          <w:sz w:val="28"/>
          <w:szCs w:val="32"/>
          <w:lang w:bidi="it-IT"/>
        </w:rPr>
        <w:t xml:space="preserve"> contro le esagerazioni cui erano pervenuti anche in Italia i seguaci intransigenti del metodo tecnico-giuridico, i quali, ritenendo estranea al campo del giurista ogni indagine che non mirasse all’astratta costruzione dogmatica </w:t>
      </w:r>
      <w:r w:rsidRPr="0003087B">
        <w:rPr>
          <w:rFonts w:cs="Georgia"/>
          <w:sz w:val="28"/>
          <w:szCs w:val="32"/>
          <w:lang w:bidi="it-IT"/>
        </w:rPr>
        <w:lastRenderedPageBreak/>
        <w:t xml:space="preserve">degli istituti positivi, avevano sminuito la disciplina ad una specie di gioco tecnico altrettanto ingegnoso quanto inconcludente. </w:t>
      </w:r>
    </w:p>
    <w:p w:rsidR="00D34104" w:rsidRPr="0003087B" w:rsidRDefault="00D34104" w:rsidP="00D34104">
      <w:pPr>
        <w:ind w:left="284" w:right="276" w:firstLine="425"/>
        <w:contextualSpacing/>
        <w:jc w:val="both"/>
        <w:rPr>
          <w:rFonts w:cs="Georgia"/>
          <w:sz w:val="28"/>
          <w:szCs w:val="32"/>
          <w:lang w:bidi="it-IT"/>
        </w:rPr>
      </w:pPr>
      <w:r w:rsidRPr="0003087B">
        <w:rPr>
          <w:rFonts w:cs="Georgia"/>
          <w:sz w:val="28"/>
          <w:szCs w:val="32"/>
          <w:lang w:bidi="it-IT"/>
        </w:rPr>
        <w:t xml:space="preserve">Anche a voler ammettere la validità e le benemerenze dell’indirizzo dogmatico, era pur certo per Calamandrei come esso non potesse pretendere di negare che il giurista, dopo aver studiato da un punto di vista prettamente concettuale gli istituti vigenti </w:t>
      </w:r>
      <w:r w:rsidRPr="0003087B">
        <w:rPr>
          <w:rFonts w:cs="Georgia-Italic"/>
          <w:i/>
          <w:iCs/>
          <w:sz w:val="28"/>
          <w:szCs w:val="32"/>
          <w:lang w:bidi="it-IT"/>
        </w:rPr>
        <w:t>de iure condito</w:t>
      </w:r>
      <w:r w:rsidRPr="0003087B">
        <w:rPr>
          <w:rFonts w:cs="Georgia"/>
          <w:sz w:val="28"/>
          <w:szCs w:val="32"/>
          <w:lang w:bidi="it-IT"/>
        </w:rPr>
        <w:t xml:space="preserve"> non dovesse poi coscientemente mettere gli stessi istituti in relazione ai fini sociali che essi devono raggiungere e, ricercando in che misura essi siano in pratica mezzi adeguati al raggiungimento di questi fini, farne eventualmente la critica </w:t>
      </w:r>
      <w:r w:rsidRPr="0003087B">
        <w:rPr>
          <w:rFonts w:cs="Georgia-Italic"/>
          <w:i/>
          <w:iCs/>
          <w:sz w:val="28"/>
          <w:szCs w:val="32"/>
          <w:lang w:bidi="it-IT"/>
        </w:rPr>
        <w:t>de iure condendo</w:t>
      </w:r>
      <w:r w:rsidRPr="0003087B">
        <w:rPr>
          <w:rFonts w:cs="Georgia"/>
          <w:sz w:val="28"/>
          <w:szCs w:val="32"/>
          <w:lang w:bidi="it-IT"/>
        </w:rPr>
        <w:t xml:space="preserve">. </w:t>
      </w:r>
    </w:p>
    <w:p w:rsidR="00D34104" w:rsidRPr="0003087B" w:rsidRDefault="00D34104" w:rsidP="00D34104">
      <w:pPr>
        <w:ind w:left="284" w:right="276" w:firstLine="425"/>
        <w:contextualSpacing/>
        <w:jc w:val="both"/>
        <w:rPr>
          <w:rFonts w:cs="Georgia"/>
          <w:sz w:val="28"/>
          <w:szCs w:val="32"/>
          <w:lang w:bidi="it-IT"/>
        </w:rPr>
      </w:pPr>
      <w:r w:rsidRPr="0003087B">
        <w:rPr>
          <w:rFonts w:cs="Georgia"/>
          <w:sz w:val="28"/>
          <w:szCs w:val="32"/>
          <w:lang w:bidi="it-IT"/>
        </w:rPr>
        <w:t>La scienza del diritto insomma, ove rinunci ad ogni valutazione critica delle proprie istituzioni, si auto-condanna ad essere vuota accademia, tagliata fuori dalla vita delle relazioni tra gli uomini, che è continuo movimento.</w:t>
      </w:r>
    </w:p>
    <w:p w:rsidR="00D34104" w:rsidRPr="00865FBE" w:rsidRDefault="00D34104" w:rsidP="00D34104">
      <w:pPr>
        <w:ind w:left="284" w:right="276" w:firstLine="425"/>
        <w:contextualSpacing/>
        <w:jc w:val="both"/>
        <w:rPr>
          <w:rFonts w:cs="Georgia"/>
          <w:sz w:val="28"/>
          <w:szCs w:val="32"/>
          <w:lang w:bidi="it-IT"/>
        </w:rPr>
      </w:pPr>
      <w:r w:rsidRPr="0003087B">
        <w:rPr>
          <w:rFonts w:cs="Georgia"/>
          <w:sz w:val="28"/>
          <w:szCs w:val="32"/>
          <w:lang w:bidi="it-IT"/>
        </w:rPr>
        <w:t xml:space="preserve">Se questo era </w:t>
      </w:r>
      <w:r w:rsidRPr="00865FBE">
        <w:rPr>
          <w:rFonts w:cs="Georgia"/>
          <w:sz w:val="28"/>
          <w:szCs w:val="32"/>
          <w:lang w:bidi="it-IT"/>
        </w:rPr>
        <w:t xml:space="preserve">lo stimolante </w:t>
      </w:r>
      <w:r w:rsidRPr="00865FBE">
        <w:rPr>
          <w:rFonts w:cs="Georgia"/>
          <w:i/>
          <w:sz w:val="28"/>
          <w:szCs w:val="32"/>
          <w:lang w:bidi="it-IT"/>
        </w:rPr>
        <w:t xml:space="preserve">milieu </w:t>
      </w:r>
      <w:r w:rsidRPr="00865FBE">
        <w:rPr>
          <w:rFonts w:cs="Georgia"/>
          <w:sz w:val="28"/>
          <w:szCs w:val="32"/>
          <w:lang w:bidi="it-IT"/>
        </w:rPr>
        <w:t>dottrinario coltivato dallo studioso almeno nella fase più feconda del proprio pensiero, nessuna meraviglia se la sua importante produzione di fiabe si muovesse quasi entro la prospettiva di un giusnaturalismo di ragione, condito dal calore delle buone idee e dall’umanità degli eterni principi morali del sano buon senso.</w:t>
      </w:r>
    </w:p>
    <w:p w:rsidR="00D34104" w:rsidRPr="00865FBE" w:rsidRDefault="00D34104" w:rsidP="00D34104">
      <w:pPr>
        <w:widowControl w:val="0"/>
        <w:autoSpaceDE w:val="0"/>
        <w:autoSpaceDN w:val="0"/>
        <w:adjustRightInd w:val="0"/>
        <w:ind w:left="284" w:right="276" w:firstLine="425"/>
        <w:jc w:val="both"/>
        <w:rPr>
          <w:rFonts w:eastAsia="AppleGothic"/>
          <w:sz w:val="28"/>
          <w:lang w:eastAsia="ko-KR"/>
        </w:rPr>
      </w:pPr>
      <w:r w:rsidRPr="00865FBE">
        <w:rPr>
          <w:rFonts w:cs="Georgia"/>
          <w:sz w:val="28"/>
          <w:szCs w:val="32"/>
          <w:lang w:bidi="it-IT"/>
        </w:rPr>
        <w:t xml:space="preserve">E’ il caso della novellina intitolata </w:t>
      </w:r>
      <w:r w:rsidRPr="00865FBE">
        <w:rPr>
          <w:rFonts w:cs="Georgia"/>
          <w:i/>
          <w:sz w:val="28"/>
          <w:szCs w:val="32"/>
          <w:lang w:bidi="it-IT"/>
        </w:rPr>
        <w:t>La burla di Primavera al re Barbogio</w:t>
      </w:r>
      <w:r w:rsidRPr="00865FBE">
        <w:rPr>
          <w:rStyle w:val="Rimandonotaapidipagina"/>
          <w:rFonts w:cs="Georgia"/>
          <w:sz w:val="28"/>
          <w:szCs w:val="32"/>
          <w:lang w:bidi="it-IT"/>
        </w:rPr>
        <w:footnoteReference w:id="81"/>
      </w:r>
      <w:r w:rsidRPr="00865FBE">
        <w:rPr>
          <w:rFonts w:cs="Georgia"/>
          <w:sz w:val="28"/>
          <w:szCs w:val="32"/>
          <w:lang w:bidi="it-IT"/>
        </w:rPr>
        <w:t xml:space="preserve">, una delle più emblematiche del giurista fiorentino, in cui veniva </w:t>
      </w:r>
      <w:r w:rsidRPr="00865FBE">
        <w:rPr>
          <w:rFonts w:eastAsia="AppleGothic"/>
          <w:sz w:val="28"/>
          <w:lang w:eastAsia="ko-KR"/>
        </w:rPr>
        <w:t xml:space="preserve">stigmatizzata come espressione di una sorta di totalitarismo giuridico </w:t>
      </w:r>
      <w:r w:rsidRPr="00865FBE">
        <w:rPr>
          <w:rFonts w:eastAsia="AppleGothic"/>
          <w:i/>
          <w:sz w:val="28"/>
          <w:lang w:eastAsia="ko-KR"/>
        </w:rPr>
        <w:t>ante litteram</w:t>
      </w:r>
      <w:r w:rsidRPr="00865FBE">
        <w:rPr>
          <w:rFonts w:eastAsia="AppleGothic"/>
          <w:sz w:val="28"/>
          <w:lang w:eastAsia="ko-KR"/>
        </w:rPr>
        <w:t>, la condotta di quel sovrano che aveva preteso di eliminare, per il doloroso lutto dovuto alla morte del proprio uccellino, tutti i fiori ed i colori del mondo.</w:t>
      </w:r>
    </w:p>
    <w:p w:rsidR="00D34104" w:rsidRPr="00865FBE" w:rsidRDefault="00D34104" w:rsidP="00D34104">
      <w:pPr>
        <w:widowControl w:val="0"/>
        <w:autoSpaceDE w:val="0"/>
        <w:autoSpaceDN w:val="0"/>
        <w:adjustRightInd w:val="0"/>
        <w:ind w:left="284" w:right="276" w:firstLine="425"/>
        <w:jc w:val="both"/>
        <w:rPr>
          <w:rFonts w:eastAsia="AppleGothic"/>
          <w:sz w:val="28"/>
          <w:lang w:eastAsia="ko-KR"/>
        </w:rPr>
      </w:pPr>
      <w:r w:rsidRPr="00865FBE">
        <w:rPr>
          <w:rFonts w:cs="Georgia"/>
          <w:sz w:val="28"/>
          <w:szCs w:val="32"/>
          <w:lang w:bidi="it-IT"/>
        </w:rPr>
        <w:t xml:space="preserve">Barbogio, sorta di antesignano dittatore tanto fatuo quanto ingenuo, aveva addirittura emesso un severo editto normativo che diceva così: </w:t>
      </w:r>
    </w:p>
    <w:p w:rsidR="00D34104" w:rsidRPr="00865FBE" w:rsidRDefault="00D34104" w:rsidP="00D34104">
      <w:pPr>
        <w:ind w:left="284" w:right="276" w:firstLine="425"/>
        <w:contextualSpacing/>
        <w:jc w:val="both"/>
        <w:rPr>
          <w:rFonts w:cs="Georgia"/>
          <w:sz w:val="28"/>
          <w:szCs w:val="32"/>
          <w:lang w:bidi="it-IT"/>
        </w:rPr>
      </w:pP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Affinché nel mondo tutto</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sia palese il nostro lutto</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per la fine miserevole</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di quel pappagalluccio tanto agevole</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che il dolce nome avea di Caracò,</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Noi, re Barbogio,</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decretiam che senza indugio</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ogni suddito sia ligio,</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al seguente bando regio:</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da questa desolata terra</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siano senza eccezione esclusi i fiori,</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di giardino o di serra,</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dei monti o dei piani,</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di tutti gli odori,</w:t>
      </w:r>
    </w:p>
    <w:p w:rsidR="00D34104" w:rsidRPr="00865FBE" w:rsidRDefault="00D34104" w:rsidP="00D34104">
      <w:pPr>
        <w:ind w:left="284" w:right="276" w:firstLine="425"/>
        <w:contextualSpacing/>
        <w:jc w:val="center"/>
        <w:rPr>
          <w:rFonts w:cs="Georgia"/>
          <w:szCs w:val="32"/>
          <w:lang w:bidi="it-IT"/>
        </w:rPr>
      </w:pPr>
      <w:r w:rsidRPr="00865FBE">
        <w:rPr>
          <w:rFonts w:cs="Georgia"/>
          <w:szCs w:val="32"/>
          <w:lang w:bidi="it-IT"/>
        </w:rPr>
        <w:t>di tutti i colori…</w:t>
      </w:r>
    </w:p>
    <w:p w:rsidR="00D34104" w:rsidRPr="00865FBE" w:rsidRDefault="00D34104" w:rsidP="00D34104">
      <w:pPr>
        <w:ind w:left="284" w:right="276" w:firstLine="425"/>
        <w:contextualSpacing/>
        <w:jc w:val="both"/>
        <w:rPr>
          <w:rFonts w:cs="Georgia"/>
          <w:sz w:val="28"/>
          <w:szCs w:val="32"/>
          <w:lang w:bidi="it-IT"/>
        </w:rPr>
      </w:pPr>
    </w:p>
    <w:p w:rsidR="00D34104" w:rsidRPr="00865FBE" w:rsidRDefault="00D34104" w:rsidP="00D34104">
      <w:pPr>
        <w:ind w:left="284" w:right="276" w:firstLine="425"/>
        <w:contextualSpacing/>
        <w:jc w:val="both"/>
        <w:rPr>
          <w:rFonts w:cs="Georgia"/>
          <w:sz w:val="28"/>
          <w:szCs w:val="32"/>
          <w:lang w:bidi="it-IT"/>
        </w:rPr>
      </w:pPr>
      <w:r w:rsidRPr="00865FBE">
        <w:rPr>
          <w:rFonts w:cs="Georgia"/>
          <w:sz w:val="28"/>
          <w:szCs w:val="32"/>
          <w:lang w:bidi="it-IT"/>
        </w:rPr>
        <w:t xml:space="preserve">Il bando, metafora della legge sciocca, era stato emesso sul far dell’inverno e con soddisfazione il re, girando in campagna, aveva avuto la sensazione che la </w:t>
      </w:r>
      <w:r w:rsidRPr="00865FBE">
        <w:rPr>
          <w:rFonts w:cs="Georgia"/>
          <w:sz w:val="28"/>
          <w:szCs w:val="32"/>
          <w:lang w:bidi="it-IT"/>
        </w:rPr>
        <w:lastRenderedPageBreak/>
        <w:t>propria legge fosse adeguatamente rispettata, tanta era la desolazione ed il grigiore dei campi freddi e spogli.</w:t>
      </w:r>
    </w:p>
    <w:p w:rsidR="00D34104" w:rsidRPr="00865FBE" w:rsidRDefault="00D34104" w:rsidP="00D34104">
      <w:pPr>
        <w:ind w:left="284" w:right="276" w:firstLine="425"/>
        <w:contextualSpacing/>
        <w:jc w:val="both"/>
        <w:rPr>
          <w:rFonts w:cs="Georgia"/>
          <w:sz w:val="28"/>
          <w:szCs w:val="32"/>
          <w:lang w:bidi="it-IT"/>
        </w:rPr>
      </w:pPr>
      <w:r w:rsidRPr="00865FBE">
        <w:rPr>
          <w:rFonts w:cs="Georgia"/>
          <w:sz w:val="28"/>
          <w:szCs w:val="32"/>
          <w:lang w:bidi="it-IT"/>
        </w:rPr>
        <w:t>L’arrivo della primavera, coi suoi profumi i suoi colori e i suoi molti fiori, aveva tuttavia sconvolto il sovrano che, subito prima di rinsavire e sciogliersi anch’egli in una liberatoria risata, aveva finalmente capito che la natura fa sempre il suo corso e non può certo essere fermata …per atto normativo.</w:t>
      </w:r>
    </w:p>
    <w:p w:rsidR="00D34104" w:rsidRPr="0003087B" w:rsidRDefault="00D34104" w:rsidP="00D34104">
      <w:pPr>
        <w:pStyle w:val="Testonotaapidipagina"/>
        <w:ind w:left="284" w:right="276" w:firstLine="425"/>
        <w:jc w:val="both"/>
        <w:rPr>
          <w:sz w:val="28"/>
        </w:rPr>
      </w:pPr>
      <w:r w:rsidRPr="00865FBE">
        <w:rPr>
          <w:rFonts w:cs="Georgia"/>
          <w:sz w:val="28"/>
          <w:szCs w:val="32"/>
          <w:lang w:bidi="it-IT"/>
        </w:rPr>
        <w:t xml:space="preserve"> </w:t>
      </w:r>
      <w:r w:rsidRPr="0003087B">
        <w:rPr>
          <w:sz w:val="28"/>
        </w:rPr>
        <w:t xml:space="preserve">Il caso di Piero Calamandrei favolista, nel nostro paese è il più eclatante ma non certo l’unico. </w:t>
      </w:r>
    </w:p>
    <w:p w:rsidR="00D34104" w:rsidRPr="0003087B" w:rsidRDefault="00D34104" w:rsidP="00D34104">
      <w:pPr>
        <w:pStyle w:val="Testonotaapidipagina"/>
        <w:ind w:left="284" w:right="276" w:firstLine="425"/>
        <w:jc w:val="both"/>
        <w:rPr>
          <w:sz w:val="28"/>
        </w:rPr>
      </w:pPr>
      <w:r w:rsidRPr="0003087B">
        <w:rPr>
          <w:sz w:val="28"/>
        </w:rPr>
        <w:t>Una menzione particolare spetta, tra i giuristi novellieri, anche ad Ugo Betti (1892-1953), letterato e drammaturgo di rinomanza internazionale, ma anche magistrato di professione, per oltre un trentennio, presso il Tribunale di Roma. Di Betti si è soliti ricordare la passione e l’impegno civili trasfusi nei noti drammi giudiziari ancora oggi molto rappresentati (</w:t>
      </w:r>
      <w:r w:rsidRPr="0003087B">
        <w:rPr>
          <w:i/>
          <w:sz w:val="28"/>
        </w:rPr>
        <w:t>Ispezione</w:t>
      </w:r>
      <w:r w:rsidRPr="0003087B">
        <w:rPr>
          <w:sz w:val="28"/>
        </w:rPr>
        <w:t xml:space="preserve">, </w:t>
      </w:r>
      <w:r w:rsidRPr="0003087B">
        <w:rPr>
          <w:i/>
          <w:sz w:val="28"/>
        </w:rPr>
        <w:t>Corruzione al Palazzo di giustizia</w:t>
      </w:r>
      <w:r w:rsidRPr="0003087B">
        <w:rPr>
          <w:sz w:val="28"/>
        </w:rPr>
        <w:t xml:space="preserve">…). </w:t>
      </w:r>
    </w:p>
    <w:p w:rsidR="00D34104" w:rsidRPr="0003087B" w:rsidRDefault="00D34104" w:rsidP="00D34104">
      <w:pPr>
        <w:pStyle w:val="Testonotaapidipagina"/>
        <w:ind w:left="284" w:right="276" w:firstLine="425"/>
        <w:jc w:val="both"/>
        <w:rPr>
          <w:sz w:val="28"/>
        </w:rPr>
      </w:pPr>
      <w:r w:rsidRPr="0003087B">
        <w:rPr>
          <w:sz w:val="28"/>
        </w:rPr>
        <w:t xml:space="preserve">E’ interessante, nello studio dell’opera letteraria bettiana, evidenziare come lo scrittore fosse il fratello maggiore di un altro </w:t>
      </w:r>
      <w:r w:rsidRPr="0003087B">
        <w:rPr>
          <w:i/>
          <w:sz w:val="28"/>
        </w:rPr>
        <w:t>Betti</w:t>
      </w:r>
      <w:r w:rsidRPr="0003087B">
        <w:rPr>
          <w:sz w:val="28"/>
        </w:rPr>
        <w:t xml:space="preserve">, quell’Emilio (1890-1968), cultore di diritto romano e civile, ed elaboratore di una monumentale </w:t>
      </w:r>
      <w:r w:rsidRPr="0003087B">
        <w:rPr>
          <w:i/>
          <w:sz w:val="28"/>
        </w:rPr>
        <w:t>teoria interpretativa</w:t>
      </w:r>
      <w:r w:rsidRPr="0003087B">
        <w:rPr>
          <w:sz w:val="28"/>
        </w:rPr>
        <w:t xml:space="preserve"> (anche) </w:t>
      </w:r>
      <w:r w:rsidRPr="0003087B">
        <w:rPr>
          <w:i/>
          <w:sz w:val="28"/>
        </w:rPr>
        <w:t>del diritto</w:t>
      </w:r>
      <w:r w:rsidRPr="0003087B">
        <w:rPr>
          <w:sz w:val="28"/>
        </w:rPr>
        <w:t xml:space="preserve">. </w:t>
      </w:r>
    </w:p>
    <w:p w:rsidR="00D34104" w:rsidRPr="0003087B" w:rsidRDefault="00D34104" w:rsidP="00D34104">
      <w:pPr>
        <w:pStyle w:val="Testonotaapidipagina"/>
        <w:ind w:left="284" w:right="276" w:firstLine="425"/>
        <w:jc w:val="both"/>
        <w:rPr>
          <w:sz w:val="28"/>
        </w:rPr>
      </w:pPr>
      <w:r w:rsidRPr="0003087B">
        <w:rPr>
          <w:sz w:val="28"/>
        </w:rPr>
        <w:t xml:space="preserve">I due fratelli, entrambi a vario titolo giusperiti, erano assai affiatati tra di loro e le reciproche relazioni di frequentazione e di studio avevano finito con l’influenzare le rispettive opere. Ugo, magistrato e dunque tecnico del diritto vivente, anche in età matura era solito frequentare le lezioni che il fratello Emilio, accademicamente assai affermato, teneva all’università di Roma. I due si confrontavano ad ampio spettro. Sappiamo, così, che uno dei più fortunati drammi giudiziari di Ugo, </w:t>
      </w:r>
      <w:r w:rsidRPr="0003087B">
        <w:rPr>
          <w:i/>
          <w:sz w:val="28"/>
        </w:rPr>
        <w:t>Frana allo scalo nord</w:t>
      </w:r>
      <w:r w:rsidRPr="0003087B">
        <w:rPr>
          <w:sz w:val="28"/>
        </w:rPr>
        <w:t xml:space="preserve"> (del 1932) aveva alla base uno studio teorico di diritto privato che, prima della stesura teatrale, era stato appositamente elaborato da Emilio, col titolo </w:t>
      </w:r>
      <w:r w:rsidRPr="0003087B">
        <w:rPr>
          <w:i/>
          <w:sz w:val="28"/>
        </w:rPr>
        <w:t>Considerazioni sulla forza maggiore come limite di responsabilità del vettore ferroviario</w:t>
      </w:r>
      <w:r w:rsidRPr="0003087B">
        <w:rPr>
          <w:sz w:val="28"/>
        </w:rPr>
        <w:t xml:space="preserve">. A sua volta </w:t>
      </w:r>
      <w:r w:rsidRPr="0003087B">
        <w:rPr>
          <w:i/>
          <w:sz w:val="28"/>
        </w:rPr>
        <w:t>il professor</w:t>
      </w:r>
      <w:r w:rsidRPr="0003087B">
        <w:rPr>
          <w:sz w:val="28"/>
        </w:rPr>
        <w:t xml:space="preserve"> Emilio, nell’elaborazione della sua fondamentale teoria ermeneutica del diritto, aveva avuto ben presente l’esperienza del fratello giudice e dunque l’esperienza del diritto quotidiano che si fa vita, anzi che è esso stesso </w:t>
      </w:r>
      <w:r w:rsidRPr="0003087B">
        <w:rPr>
          <w:i/>
          <w:sz w:val="28"/>
        </w:rPr>
        <w:t>la</w:t>
      </w:r>
      <w:r w:rsidRPr="0003087B">
        <w:rPr>
          <w:sz w:val="28"/>
        </w:rPr>
        <w:t xml:space="preserve"> vita</w:t>
      </w:r>
      <w:r w:rsidRPr="0003087B">
        <w:rPr>
          <w:rStyle w:val="Rimandonotaapidipagina"/>
          <w:sz w:val="28"/>
        </w:rPr>
        <w:footnoteReference w:id="82"/>
      </w:r>
      <w:r w:rsidRPr="0003087B">
        <w:rPr>
          <w:sz w:val="28"/>
        </w:rPr>
        <w:t>. Al di là di tutto questo, Ugo Betti, cosa che non tutti sanno, fu anche fecondissimo autore di fiabe e racconti densi di temi giuridici (delitto, pena, colpa, responsabilità, giudizio, introspezione, sistema penitenziario…) trattati con accenti pirandelliani, spirito disincantato e naturale competenza professionale</w:t>
      </w:r>
      <w:r w:rsidRPr="0003087B">
        <w:rPr>
          <w:rStyle w:val="Rimandonotaapidipagina"/>
          <w:sz w:val="28"/>
        </w:rPr>
        <w:footnoteReference w:id="83"/>
      </w:r>
      <w:r w:rsidRPr="0003087B">
        <w:rPr>
          <w:sz w:val="28"/>
        </w:rPr>
        <w:t xml:space="preserve">. </w:t>
      </w:r>
    </w:p>
    <w:p w:rsidR="00D34104" w:rsidRPr="0003087B" w:rsidRDefault="00D34104" w:rsidP="00D34104">
      <w:pPr>
        <w:pStyle w:val="Testonotaapidipagina"/>
        <w:ind w:left="284" w:right="276" w:firstLine="425"/>
        <w:jc w:val="both"/>
        <w:rPr>
          <w:sz w:val="28"/>
        </w:rPr>
      </w:pPr>
      <w:r w:rsidRPr="0003087B">
        <w:rPr>
          <w:sz w:val="28"/>
        </w:rPr>
        <w:t>Una lettura utilissima, anche per la piacevolezza della prosa bettiana.</w:t>
      </w:r>
    </w:p>
    <w:p w:rsidR="00D34104" w:rsidRPr="0003087B" w:rsidRDefault="00D34104" w:rsidP="00D34104">
      <w:pPr>
        <w:pStyle w:val="Testonotaapidipagina"/>
        <w:ind w:left="284" w:right="276" w:firstLine="425"/>
        <w:jc w:val="both"/>
        <w:rPr>
          <w:sz w:val="28"/>
        </w:rPr>
      </w:pPr>
      <w:r w:rsidRPr="0003087B">
        <w:rPr>
          <w:sz w:val="28"/>
        </w:rPr>
        <w:lastRenderedPageBreak/>
        <w:t>Può essere interessante ricordare, davvero in conclusione, che mentre esistono in commercio raccolte di storie, accomunate dalla matrice giuridica relativa alle professionalità dei rispettivi autori</w:t>
      </w:r>
      <w:r w:rsidRPr="0003087B">
        <w:rPr>
          <w:rStyle w:val="Rimandonotaapidipagina"/>
          <w:sz w:val="28"/>
        </w:rPr>
        <w:footnoteReference w:id="84"/>
      </w:r>
      <w:r w:rsidRPr="0003087B">
        <w:rPr>
          <w:sz w:val="28"/>
        </w:rPr>
        <w:t>, non risulta vi siano, per converso, fiabe scritte da scienziati, ingegneri o medici</w:t>
      </w:r>
      <w:r w:rsidRPr="0003087B">
        <w:rPr>
          <w:rStyle w:val="Rimandonotaapidipagina"/>
          <w:sz w:val="28"/>
        </w:rPr>
        <w:footnoteReference w:id="85"/>
      </w:r>
      <w:r w:rsidRPr="0003087B">
        <w:rPr>
          <w:sz w:val="28"/>
        </w:rPr>
        <w:t>.</w:t>
      </w:r>
    </w:p>
    <w:p w:rsidR="00D34104" w:rsidRPr="0003087B" w:rsidRDefault="00D34104" w:rsidP="00D34104">
      <w:pPr>
        <w:pStyle w:val="Testonotaapidipagina"/>
        <w:ind w:left="284" w:right="276" w:firstLine="425"/>
        <w:jc w:val="both"/>
        <w:rPr>
          <w:sz w:val="28"/>
        </w:rPr>
      </w:pPr>
      <w:r w:rsidRPr="0003087B">
        <w:rPr>
          <w:sz w:val="28"/>
        </w:rPr>
        <w:t>Vorrà pur dire qualcosa…</w:t>
      </w:r>
    </w:p>
    <w:p w:rsidR="00D34104" w:rsidRPr="0003087B" w:rsidRDefault="00D34104" w:rsidP="00D34104">
      <w:pPr>
        <w:pStyle w:val="Testonotaapidipagina"/>
        <w:ind w:left="284" w:right="276" w:firstLine="425"/>
        <w:jc w:val="both"/>
        <w:rPr>
          <w:sz w:val="28"/>
        </w:rPr>
      </w:pPr>
      <w:r w:rsidRPr="0003087B">
        <w:rPr>
          <w:sz w:val="28"/>
        </w:rPr>
        <w:t>Anche in questo le nostre materie, a gran voce, continuano a reclamare, nel tempo, la loro peculiare originalità.</w:t>
      </w:r>
    </w:p>
    <w:p w:rsidR="00D34104" w:rsidRPr="00DA4DE1" w:rsidRDefault="00D34104" w:rsidP="00D34104">
      <w:pPr>
        <w:pStyle w:val="Testonotaapidipagina"/>
        <w:ind w:left="284" w:right="276" w:firstLine="425"/>
        <w:jc w:val="both"/>
        <w:rPr>
          <w:sz w:val="28"/>
        </w:rPr>
      </w:pPr>
    </w:p>
    <w:p w:rsidR="00D34104" w:rsidRPr="00392365" w:rsidRDefault="00D34104" w:rsidP="00D34104">
      <w:pPr>
        <w:ind w:left="284" w:right="276" w:firstLine="425"/>
        <w:jc w:val="center"/>
        <w:rPr>
          <w:b/>
          <w:sz w:val="28"/>
        </w:rPr>
      </w:pPr>
    </w:p>
    <w:p w:rsidR="00D34104" w:rsidRPr="00392365" w:rsidRDefault="00D34104" w:rsidP="00D34104">
      <w:pPr>
        <w:ind w:left="284" w:right="276" w:firstLine="425"/>
        <w:jc w:val="center"/>
        <w:rPr>
          <w:b/>
          <w:sz w:val="28"/>
        </w:rPr>
      </w:pPr>
    </w:p>
    <w:p w:rsidR="00822F70" w:rsidRDefault="00203C10">
      <w:bookmarkStart w:id="0" w:name="_GoBack"/>
      <w:bookmarkEnd w:id="0"/>
    </w:p>
    <w:sectPr w:rsidR="00822F70" w:rsidSect="009003CB">
      <w:footerReference w:type="even" r:id="rId14"/>
      <w:footerReference w:type="default" r:id="rId15"/>
      <w:pgSz w:w="11900" w:h="16840"/>
      <w:pgMar w:top="1417" w:right="1134" w:bottom="1134" w:left="1134" w:header="708" w:footer="708" w:gutter="0"/>
      <w:cols w:space="708"/>
      <w:docGrid w:linePitch="4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C10" w:rsidRDefault="00203C10" w:rsidP="00503727">
      <w:r>
        <w:separator/>
      </w:r>
    </w:p>
  </w:endnote>
  <w:endnote w:type="continuationSeparator" w:id="0">
    <w:p w:rsidR="00203C10" w:rsidRDefault="00203C10" w:rsidP="0050372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DengXian">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AppleGothic">
    <w:charset w:val="81"/>
    <w:family w:val="auto"/>
    <w:pitch w:val="variable"/>
    <w:sig w:usb0="00000001" w:usb1="09060000" w:usb2="00000010" w:usb3="00000000" w:csb0="00080000" w:csb1="00000000"/>
  </w:font>
  <w:font w:name="Arial-BoldMT">
    <w:charset w:val="00"/>
    <w:family w:val="auto"/>
    <w:pitch w:val="variable"/>
    <w:sig w:usb0="E0002AFF" w:usb1="C0007843" w:usb2="00000009" w:usb3="00000000" w:csb0="000001FF" w:csb1="00000000"/>
  </w:font>
  <w:font w:name="ArialMT">
    <w:charset w:val="00"/>
    <w:family w:val="auto"/>
    <w:pitch w:val="variable"/>
    <w:sig w:usb0="E0002AFF" w:usb1="C0007843" w:usb2="00000009" w:usb3="00000000" w:csb0="000001FF" w:csb1="00000000"/>
  </w:font>
  <w:font w:name="Apple LiGothic Medium">
    <w:charset w:val="51"/>
    <w:family w:val="auto"/>
    <w:pitch w:val="variable"/>
    <w:sig w:usb0="01000000" w:usb1="00000000" w:usb2="08040001" w:usb3="00000000" w:csb0="00100000" w:csb1="00000000"/>
  </w:font>
  <w:font w:name="Georgia">
    <w:panose1 w:val="02040502050405020303"/>
    <w:charset w:val="00"/>
    <w:family w:val="roman"/>
    <w:pitch w:val="variable"/>
    <w:sig w:usb0="00000287" w:usb1="00000000" w:usb2="00000000" w:usb3="00000000" w:csb0="0000009F" w:csb1="00000000"/>
  </w:font>
  <w:font w:name="Georgia-Italic">
    <w:charset w:val="00"/>
    <w:family w:val="auto"/>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Oblique">
    <w:altName w:val="Times New Roman"/>
    <w:charset w:val="00"/>
    <w:family w:val="auto"/>
    <w:pitch w:val="variable"/>
    <w:sig w:usb0="00000001"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Bold">
    <w:charset w:val="00"/>
    <w:family w:val="auto"/>
    <w:pitch w:val="variable"/>
    <w:sig w:usb0="E00002FF" w:usb1="5000785B" w:usb2="00000000" w:usb3="00000000" w:csb0="0000019F" w:csb1="00000000"/>
  </w:font>
  <w:font w:name="TrebuchetMS-Italic">
    <w:charset w:val="00"/>
    <w:family w:val="auto"/>
    <w:pitch w:val="variable"/>
    <w:sig w:usb0="00000287" w:usb1="00000000" w:usb2="00000000" w:usb3="00000000" w:csb0="0000009F" w:csb1="00000000"/>
  </w:font>
  <w:font w:name="Lucida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fornianFB">
    <w:altName w:val="Times New Roman"/>
    <w:panose1 w:val="00000000000000000000"/>
    <w:charset w:val="4D"/>
    <w:family w:val="auto"/>
    <w:notTrueType/>
    <w:pitch w:val="default"/>
    <w:sig w:usb0="00000003" w:usb1="00000000" w:usb2="00000000" w:usb3="00000000" w:csb0="00000001" w:csb1="00000000"/>
  </w:font>
  <w:font w:name="Times-Roman">
    <w:charset w:val="00"/>
    <w:family w:val="auto"/>
    <w:pitch w:val="variable"/>
    <w:sig w:usb0="00000003" w:usb1="00000000" w:usb2="00000000" w:usb3="00000000" w:csb0="00000001" w:csb1="00000000"/>
  </w:font>
  <w:font w:name="TrebuchetMS">
    <w:charset w:val="00"/>
    <w:family w:val="auto"/>
    <w:pitch w:val="variable"/>
    <w:sig w:usb0="00000287" w:usb1="00000000" w:usb2="00000000" w:usb3="00000000" w:csb0="0000009F" w:csb1="00000000"/>
  </w:font>
  <w:font w:name="Times-Bold">
    <w:charset w:val="00"/>
    <w:family w:val="auto"/>
    <w:pitch w:val="variable"/>
    <w:sig w:usb0="00000003" w:usb1="00000000" w:usb2="00000000" w:usb3="00000000" w:csb0="00000001" w:csb1="00000000"/>
  </w:font>
  <w:font w:name="TTE2B226D8t00">
    <w:altName w:val="Times New Roman"/>
    <w:panose1 w:val="00000000000000000000"/>
    <w:charset w:val="4D"/>
    <w:family w:val="auto"/>
    <w:notTrueType/>
    <w:pitch w:val="default"/>
    <w:sig w:usb0="00000003" w:usb1="00000000" w:usb2="00000000" w:usb3="00000000" w:csb0="00000001" w:csb1="00000000"/>
  </w:font>
  <w:font w:name="HelveticaNeue">
    <w:charset w:val="00"/>
    <w:family w:val="auto"/>
    <w:pitch w:val="variable"/>
    <w:sig w:usb0="E50002FF" w:usb1="500079DB" w:usb2="00000010" w:usb3="00000000" w:csb0="00000001" w:csb1="00000000"/>
  </w:font>
  <w:font w:name="IM_FELL_DW_Pica_Roman">
    <w:altName w:val="Times New Roman"/>
    <w:panose1 w:val="00000000000000000000"/>
    <w:charset w:val="4D"/>
    <w:family w:val="auto"/>
    <w:notTrueType/>
    <w:pitch w:val="default"/>
    <w:sig w:usb0="00000003" w:usb1="00000000" w:usb2="00000000" w:usb3="00000000" w:csb0="00000001" w:csb1="00000000"/>
  </w:font>
  <w:font w:name="Arial-ItalicMT">
    <w:charset w:val="00"/>
    <w:family w:val="auto"/>
    <w:pitch w:val="variable"/>
    <w:sig w:usb0="E0000AFF" w:usb1="00007843" w:usb2="00000001" w:usb3="00000000" w:csb0="000001B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104" w:rsidRDefault="009A0BE8" w:rsidP="00174458">
    <w:pPr>
      <w:pStyle w:val="Pidipagina"/>
      <w:framePr w:wrap="none" w:vAnchor="text" w:hAnchor="margin" w:xAlign="right" w:y="1"/>
      <w:rPr>
        <w:rStyle w:val="Numeropagina"/>
      </w:rPr>
    </w:pPr>
    <w:r>
      <w:rPr>
        <w:rStyle w:val="Numeropagina"/>
      </w:rPr>
      <w:fldChar w:fldCharType="begin"/>
    </w:r>
    <w:r w:rsidR="00D34104">
      <w:rPr>
        <w:rStyle w:val="Numeropagina"/>
      </w:rPr>
      <w:instrText xml:space="preserve">PAGE  </w:instrText>
    </w:r>
    <w:r>
      <w:rPr>
        <w:rStyle w:val="Numeropagina"/>
      </w:rPr>
      <w:fldChar w:fldCharType="end"/>
    </w:r>
  </w:p>
  <w:p w:rsidR="00D34104" w:rsidRDefault="00D34104" w:rsidP="00D34104">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104" w:rsidRDefault="009A0BE8" w:rsidP="00174458">
    <w:pPr>
      <w:pStyle w:val="Pidipagina"/>
      <w:framePr w:wrap="none" w:vAnchor="text" w:hAnchor="margin" w:xAlign="right" w:y="1"/>
      <w:rPr>
        <w:rStyle w:val="Numeropagina"/>
      </w:rPr>
    </w:pPr>
    <w:r>
      <w:rPr>
        <w:rStyle w:val="Numeropagina"/>
      </w:rPr>
      <w:fldChar w:fldCharType="begin"/>
    </w:r>
    <w:r w:rsidR="00D34104">
      <w:rPr>
        <w:rStyle w:val="Numeropagina"/>
      </w:rPr>
      <w:instrText xml:space="preserve">PAGE  </w:instrText>
    </w:r>
    <w:r>
      <w:rPr>
        <w:rStyle w:val="Numeropagina"/>
      </w:rPr>
      <w:fldChar w:fldCharType="separate"/>
    </w:r>
    <w:r w:rsidR="00B606FD">
      <w:rPr>
        <w:rStyle w:val="Numeropagina"/>
        <w:noProof/>
      </w:rPr>
      <w:t>3</w:t>
    </w:r>
    <w:r>
      <w:rPr>
        <w:rStyle w:val="Numeropagina"/>
      </w:rPr>
      <w:fldChar w:fldCharType="end"/>
    </w:r>
  </w:p>
  <w:p w:rsidR="00D34104" w:rsidRDefault="00D34104" w:rsidP="00D34104">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C10" w:rsidRDefault="00203C10" w:rsidP="00503727">
      <w:r>
        <w:separator/>
      </w:r>
    </w:p>
  </w:footnote>
  <w:footnote w:type="continuationSeparator" w:id="0">
    <w:p w:rsidR="00203C10" w:rsidRDefault="00203C10" w:rsidP="00503727">
      <w:r>
        <w:continuationSeparator/>
      </w:r>
    </w:p>
  </w:footnote>
  <w:footnote w:id="1">
    <w:p w:rsidR="00503727" w:rsidRPr="00F92F65" w:rsidRDefault="00503727" w:rsidP="00503727">
      <w:pPr>
        <w:pStyle w:val="Testonotaapidipagina"/>
        <w:ind w:left="284" w:right="276" w:firstLine="425"/>
        <w:jc w:val="both"/>
        <w:rPr>
          <w:sz w:val="22"/>
        </w:rPr>
      </w:pPr>
      <w:r w:rsidRPr="00F92F65">
        <w:rPr>
          <w:rStyle w:val="Rimandonotaapidipagina"/>
          <w:sz w:val="22"/>
        </w:rPr>
        <w:footnoteRef/>
      </w:r>
      <w:r w:rsidRPr="00F92F65">
        <w:rPr>
          <w:sz w:val="22"/>
        </w:rPr>
        <w:t xml:space="preserve"> Sulla crisi contemporanea del diritto e delle sue strutture intese in senso classico la letteratura divulgativa è sterminata. Impossibile anche solo abbozzarne un catalogo. Volendo limitare allo strettissimo le citazioni, si sono scelti un paio di testi di introduzione, capaci anche di fungere da ottimo viatico per personali approfondimenti; si tratta di Morris L. Ghezzi, </w:t>
      </w:r>
      <w:r w:rsidRPr="00F92F65">
        <w:rPr>
          <w:i/>
          <w:sz w:val="22"/>
        </w:rPr>
        <w:t>Le ceneri del diritto. La dissoluzione dello Stato democratico in Italia</w:t>
      </w:r>
      <w:r w:rsidRPr="00F92F65">
        <w:rPr>
          <w:sz w:val="22"/>
        </w:rPr>
        <w:t xml:space="preserve">, Mimesis, Milano 2007 e di Alejandro Nieto, </w:t>
      </w:r>
      <w:r w:rsidRPr="00F92F65">
        <w:rPr>
          <w:i/>
          <w:sz w:val="22"/>
        </w:rPr>
        <w:t>Critica della ragion giuridica</w:t>
      </w:r>
      <w:r w:rsidRPr="00F92F65">
        <w:rPr>
          <w:sz w:val="22"/>
        </w:rPr>
        <w:t xml:space="preserve">, Franco Angeli, Milano 2012. Mi permetto, per le molte pagine dedicate ai sommovimenti della coscienza giuridica contemporanea e alle nuove prospettive di adattamento del diritto alla vita come scorre oggi, di rinviare anche al mio </w:t>
      </w:r>
      <w:r w:rsidRPr="00F92F65">
        <w:rPr>
          <w:i/>
          <w:sz w:val="22"/>
        </w:rPr>
        <w:t xml:space="preserve">Introduzione alla cultura del postmodernismo giuridico, </w:t>
      </w:r>
      <w:r w:rsidRPr="00F92F65">
        <w:rPr>
          <w:sz w:val="22"/>
        </w:rPr>
        <w:t xml:space="preserve">Aracne, Roma 2012. </w:t>
      </w:r>
    </w:p>
    <w:p w:rsidR="00503727" w:rsidRPr="00F92F65" w:rsidRDefault="00503727" w:rsidP="00503727">
      <w:pPr>
        <w:pStyle w:val="Testonotaapidipagina"/>
        <w:ind w:left="284" w:right="276" w:firstLine="425"/>
        <w:jc w:val="both"/>
        <w:rPr>
          <w:sz w:val="22"/>
        </w:rPr>
      </w:pPr>
      <w:r w:rsidRPr="00F92F65">
        <w:rPr>
          <w:sz w:val="22"/>
        </w:rPr>
        <w:t>Per la lettura di pagine che affrontano il tema dell’</w:t>
      </w:r>
      <w:r w:rsidRPr="00D36748">
        <w:rPr>
          <w:i/>
          <w:sz w:val="22"/>
        </w:rPr>
        <w:t>emorragia di senso del diritto come noi oggi</w:t>
      </w:r>
      <w:r w:rsidRPr="00F92F65">
        <w:rPr>
          <w:sz w:val="22"/>
        </w:rPr>
        <w:t xml:space="preserve"> (ancora) </w:t>
      </w:r>
      <w:r w:rsidRPr="00D36748">
        <w:rPr>
          <w:i/>
          <w:sz w:val="22"/>
        </w:rPr>
        <w:t>lo conosciamo</w:t>
      </w:r>
      <w:r w:rsidRPr="00F92F65">
        <w:rPr>
          <w:sz w:val="22"/>
        </w:rPr>
        <w:t xml:space="preserve">, e acutamente - nell’ambito di una ricerca alta che dura da anni - vedono nella tensione di etica, educazione e narrazione alcuni possibili alternative sostanziali all’interpretazione formale delle categorie giuridiche tradizionali, in chiave di antidoto possibile al depauperamento che il diritto oggi vive, si rimanda a Felice Casucci, </w:t>
      </w:r>
      <w:r w:rsidRPr="00D36748">
        <w:rPr>
          <w:i/>
          <w:sz w:val="22"/>
        </w:rPr>
        <w:t>“La verità, vi prego, sull’amore”. A proposito dell’educazione giuridica</w:t>
      </w:r>
      <w:r w:rsidRPr="00F92F65">
        <w:rPr>
          <w:sz w:val="22"/>
        </w:rPr>
        <w:t xml:space="preserve">, in Agata C. Amato Mangiameli, Carla Faralli e Maria Paola Mittica (a cura di), </w:t>
      </w:r>
      <w:r w:rsidRPr="00D36748">
        <w:rPr>
          <w:i/>
          <w:sz w:val="22"/>
        </w:rPr>
        <w:t>Arte e limite. La misura del diritto</w:t>
      </w:r>
      <w:r w:rsidRPr="00F92F65">
        <w:rPr>
          <w:sz w:val="22"/>
        </w:rPr>
        <w:t xml:space="preserve">, Aracne, Roma 2012, p. 177 e ss. </w:t>
      </w:r>
    </w:p>
  </w:footnote>
  <w:footnote w:id="2">
    <w:p w:rsidR="00503727" w:rsidRPr="00F92F65" w:rsidRDefault="00503727" w:rsidP="00503727">
      <w:pPr>
        <w:pStyle w:val="Testonotaapidipagina"/>
        <w:ind w:left="284" w:right="276" w:firstLine="425"/>
        <w:jc w:val="both"/>
        <w:rPr>
          <w:sz w:val="22"/>
        </w:rPr>
      </w:pPr>
      <w:r w:rsidRPr="00F92F65">
        <w:rPr>
          <w:rStyle w:val="Rimandonotaapidipagina"/>
          <w:sz w:val="22"/>
        </w:rPr>
        <w:footnoteRef/>
      </w:r>
      <w:r w:rsidRPr="00F92F65">
        <w:rPr>
          <w:sz w:val="22"/>
        </w:rPr>
        <w:t xml:space="preserve"> Sono profetiche e illuminanti a questo proposito le parole, sempre chiare, di Umberto Galimberti. Notava il filosofo monzese, soffermandovisi in quella che rimane ad oggi una delle sue opere più dense, come: “ l’età della tecnica ha abolito questo scenario ‘umanistico’, e le domande di senso che sorgono restano inevase, non perché la tecnica non sia ancora abbastanza perfezionata, ma perché non rientra nel suo programma trovar risposte a simili domande. La tecnica infatti non tende a uno scopo, non promuove un senso, non apre scenari di salvezza, non redime, non svela la verità: la tecnica </w:t>
      </w:r>
      <w:r w:rsidRPr="00F92F65">
        <w:rPr>
          <w:i/>
          <w:sz w:val="22"/>
        </w:rPr>
        <w:t>funziona</w:t>
      </w:r>
      <w:r w:rsidRPr="00F92F65">
        <w:rPr>
          <w:sz w:val="22"/>
        </w:rPr>
        <w:t xml:space="preserve">”; cfr. Umberto Galimberti, </w:t>
      </w:r>
      <w:r w:rsidRPr="00F92F65">
        <w:rPr>
          <w:i/>
          <w:sz w:val="22"/>
        </w:rPr>
        <w:t>Psiche e techne</w:t>
      </w:r>
      <w:r w:rsidRPr="00F92F65">
        <w:rPr>
          <w:sz w:val="22"/>
        </w:rPr>
        <w:t xml:space="preserve">, Feltrinelli, Milano 1999, p. 33. Questo luogo della riflessione galimbertiana è opportunamente ripreso costruttivamente da Daniele M. Cananzi in </w:t>
      </w:r>
      <w:r w:rsidRPr="00F92F65">
        <w:rPr>
          <w:i/>
          <w:sz w:val="22"/>
        </w:rPr>
        <w:t>Prolegomeni di una estetica del diritto</w:t>
      </w:r>
      <w:r w:rsidRPr="00F92F65">
        <w:rPr>
          <w:sz w:val="22"/>
        </w:rPr>
        <w:t>, Edizioni Nuova Cultura, Roma 2008, p. 106.</w:t>
      </w:r>
    </w:p>
  </w:footnote>
  <w:footnote w:id="3">
    <w:p w:rsidR="00503727" w:rsidRPr="00DF7CB8" w:rsidRDefault="00503727" w:rsidP="00503727">
      <w:pPr>
        <w:ind w:left="284" w:right="276" w:firstLine="425"/>
        <w:jc w:val="both"/>
        <w:rPr>
          <w:rFonts w:eastAsia="AppleGothic"/>
          <w:sz w:val="22"/>
          <w:lang w:eastAsia="ko-KR"/>
        </w:rPr>
      </w:pPr>
      <w:r w:rsidRPr="00DF7CB8">
        <w:rPr>
          <w:rStyle w:val="Rimandonotaapidipagina"/>
          <w:sz w:val="22"/>
        </w:rPr>
        <w:footnoteRef/>
      </w:r>
      <w:r w:rsidRPr="00DF7CB8">
        <w:rPr>
          <w:sz w:val="22"/>
        </w:rPr>
        <w:t xml:space="preserve"> </w:t>
      </w:r>
      <w:r w:rsidRPr="00DF7CB8">
        <w:rPr>
          <w:rFonts w:eastAsia="AppleGothic"/>
          <w:sz w:val="22"/>
          <w:lang w:eastAsia="ko-KR"/>
        </w:rPr>
        <w:t>Da decenni ormai, d’altra parte, specie nei paesi del mondo anglosassone, si va diffondendo, certamente nell’ambito culturale dei così detti</w:t>
      </w:r>
      <w:r w:rsidRPr="00DF7CB8">
        <w:rPr>
          <w:rFonts w:eastAsia="AppleGothic"/>
          <w:i/>
          <w:sz w:val="22"/>
          <w:lang w:eastAsia="ko-KR"/>
        </w:rPr>
        <w:t xml:space="preserve"> Postmodern Legal Movements</w:t>
      </w:r>
      <w:r w:rsidRPr="00DF7CB8">
        <w:rPr>
          <w:rFonts w:eastAsia="AppleGothic"/>
          <w:sz w:val="22"/>
          <w:lang w:eastAsia="ko-KR"/>
        </w:rPr>
        <w:t xml:space="preserve">, un filone di studio teorico giuridico noto appunto col nome di </w:t>
      </w:r>
      <w:r w:rsidRPr="00DF7CB8">
        <w:rPr>
          <w:rFonts w:eastAsia="AppleGothic"/>
          <w:i/>
          <w:sz w:val="22"/>
          <w:lang w:eastAsia="ko-KR"/>
        </w:rPr>
        <w:t>Law and Literature</w:t>
      </w:r>
      <w:r w:rsidRPr="00DF7CB8">
        <w:rPr>
          <w:rFonts w:eastAsia="AppleGothic"/>
          <w:sz w:val="22"/>
          <w:lang w:eastAsia="ko-KR"/>
        </w:rPr>
        <w:t>: esso costituisce la migliore e più appropriata risposta alle esigenze dette.</w:t>
      </w:r>
    </w:p>
    <w:p w:rsidR="00503727" w:rsidRPr="00DF7CB8" w:rsidRDefault="00503727" w:rsidP="00503727">
      <w:pPr>
        <w:ind w:left="284" w:right="276" w:firstLine="425"/>
        <w:jc w:val="both"/>
        <w:rPr>
          <w:rFonts w:eastAsia="AppleGothic"/>
          <w:sz w:val="22"/>
          <w:lang w:eastAsia="ko-KR"/>
        </w:rPr>
      </w:pPr>
      <w:r w:rsidRPr="00DF7CB8">
        <w:rPr>
          <w:rFonts w:eastAsia="AppleGothic"/>
          <w:sz w:val="22"/>
          <w:lang w:eastAsia="ko-KR"/>
        </w:rPr>
        <w:t xml:space="preserve">Questa denominazione, fortunata quanto diffusa, suole farsi risalire ad un libro di James Boyd White (n. 1938) - giurista, pensatore e critico letterario statunitense - non a caso intitolato </w:t>
      </w:r>
      <w:r w:rsidRPr="00DF7CB8">
        <w:rPr>
          <w:rFonts w:eastAsia="AppleGothic"/>
          <w:i/>
          <w:sz w:val="22"/>
          <w:lang w:eastAsia="ko-KR"/>
        </w:rPr>
        <w:t>The Legal Imagination</w:t>
      </w:r>
      <w:r w:rsidRPr="00DF7CB8">
        <w:rPr>
          <w:rFonts w:eastAsia="AppleGothic"/>
          <w:sz w:val="22"/>
          <w:lang w:eastAsia="ko-KR"/>
        </w:rPr>
        <w:t>, Little, Brown and Company, Boston 1973, più volte ristampato.</w:t>
      </w:r>
    </w:p>
    <w:p w:rsidR="00503727" w:rsidRPr="00921744" w:rsidRDefault="00503727" w:rsidP="00503727">
      <w:pPr>
        <w:ind w:left="284" w:right="276" w:firstLine="425"/>
        <w:jc w:val="both"/>
        <w:rPr>
          <w:rFonts w:eastAsia="AppleGothic"/>
          <w:sz w:val="22"/>
          <w:lang w:eastAsia="ko-KR"/>
        </w:rPr>
      </w:pPr>
      <w:r w:rsidRPr="00DF7CB8">
        <w:rPr>
          <w:rFonts w:eastAsia="AppleGothic"/>
          <w:sz w:val="22"/>
          <w:lang w:eastAsia="ko-KR"/>
        </w:rPr>
        <w:t xml:space="preserve">In quel volume si avanzava l’idea in base alla quale lo studio della letteratura dovrebbe far parte a pieno titolo dell’istruzione giuridica, in quanto gli studi letterari avrebbero qualcosa di particolare da dire sul </w:t>
      </w:r>
      <w:r w:rsidRPr="00921744">
        <w:rPr>
          <w:rFonts w:eastAsia="AppleGothic"/>
          <w:sz w:val="22"/>
          <w:lang w:eastAsia="ko-KR"/>
        </w:rPr>
        <w:t>diritto e sull’interpretazione giudiziale.</w:t>
      </w:r>
    </w:p>
    <w:p w:rsidR="00503727" w:rsidRPr="00921744" w:rsidRDefault="00503727" w:rsidP="00503727">
      <w:pPr>
        <w:ind w:left="284" w:right="276" w:firstLine="425"/>
        <w:jc w:val="both"/>
        <w:rPr>
          <w:rFonts w:eastAsia="AppleGothic"/>
          <w:sz w:val="22"/>
          <w:lang w:eastAsia="ko-KR"/>
        </w:rPr>
      </w:pPr>
      <w:r w:rsidRPr="00921744">
        <w:rPr>
          <w:rFonts w:eastAsia="AppleGothic"/>
          <w:sz w:val="22"/>
          <w:lang w:eastAsia="ko-KR"/>
        </w:rPr>
        <w:t>Il movimento si prefiggeva e si prefigge pertanto di analizzare, detto in linea di estrema e riduttiva sintesi, il rapporto tra diritto e letteratura</w:t>
      </w:r>
      <w:r w:rsidRPr="00921744">
        <w:rPr>
          <w:rStyle w:val="Rimandonotaapidipagina"/>
          <w:rFonts w:eastAsia="AppleGothic"/>
          <w:sz w:val="22"/>
          <w:lang w:eastAsia="ko-KR"/>
        </w:rPr>
        <w:footnoteRef/>
      </w:r>
      <w:r w:rsidRPr="00921744">
        <w:rPr>
          <w:rFonts w:eastAsia="AppleGothic"/>
          <w:sz w:val="22"/>
          <w:lang w:eastAsia="ko-KR"/>
        </w:rPr>
        <w:t xml:space="preserve">, nel senso di verificare se e come i testi letterari possano essere fruiti anche come strumenti di conoscenza giuridica. </w:t>
      </w:r>
    </w:p>
    <w:p w:rsidR="00503727" w:rsidRPr="00921744" w:rsidRDefault="00503727" w:rsidP="00503727">
      <w:pPr>
        <w:ind w:left="284" w:right="276" w:firstLine="425"/>
        <w:jc w:val="both"/>
        <w:rPr>
          <w:rFonts w:eastAsia="AppleGothic"/>
          <w:i/>
          <w:sz w:val="22"/>
          <w:lang w:eastAsia="ko-KR"/>
        </w:rPr>
      </w:pPr>
      <w:r w:rsidRPr="00921744">
        <w:rPr>
          <w:rFonts w:eastAsia="AppleGothic"/>
          <w:sz w:val="22"/>
          <w:lang w:eastAsia="ko-KR"/>
        </w:rPr>
        <w:t xml:space="preserve">In fondo, sostengono i cultori di questa simbiosi, il diritto non è altro che una forma privilegiata di comunicazione e, in quanto tale, esso divulga, o comunque è in grado di divulgare i propri valori sotto forma di narrazione, quando non addirittura sotto forma di produzione estetica od artistica </w:t>
      </w:r>
      <w:r w:rsidRPr="00921744">
        <w:rPr>
          <w:rFonts w:eastAsia="AppleGothic"/>
          <w:i/>
          <w:sz w:val="22"/>
          <w:lang w:eastAsia="ko-KR"/>
        </w:rPr>
        <w:t>tout court.</w:t>
      </w:r>
    </w:p>
    <w:p w:rsidR="00503727" w:rsidRPr="00921744" w:rsidRDefault="00503727" w:rsidP="00503727">
      <w:pPr>
        <w:ind w:left="284" w:right="276" w:firstLine="425"/>
        <w:jc w:val="both"/>
        <w:rPr>
          <w:rFonts w:eastAsia="AppleGothic"/>
          <w:sz w:val="22"/>
          <w:lang w:eastAsia="ko-KR"/>
        </w:rPr>
      </w:pPr>
      <w:r w:rsidRPr="00921744">
        <w:rPr>
          <w:rFonts w:eastAsia="AppleGothic"/>
          <w:sz w:val="22"/>
          <w:lang w:eastAsia="ko-KR"/>
        </w:rPr>
        <w:t xml:space="preserve"> A tal proposito è davvero recentissima la presa di coscienza di un intrinseco, possibile rapporto tra comunicazione dei </w:t>
      </w:r>
      <w:r w:rsidRPr="00921744">
        <w:rPr>
          <w:rFonts w:eastAsia="AppleGothic"/>
          <w:i/>
          <w:sz w:val="22"/>
          <w:lang w:eastAsia="ko-KR"/>
        </w:rPr>
        <w:t>significati</w:t>
      </w:r>
      <w:r w:rsidRPr="00921744">
        <w:rPr>
          <w:rFonts w:eastAsia="AppleGothic"/>
          <w:sz w:val="22"/>
          <w:lang w:eastAsia="ko-KR"/>
        </w:rPr>
        <w:t xml:space="preserve"> giuridici e dimensione estetica dei relativi </w:t>
      </w:r>
      <w:r w:rsidRPr="00921744">
        <w:rPr>
          <w:rFonts w:eastAsia="AppleGothic"/>
          <w:i/>
          <w:sz w:val="22"/>
          <w:lang w:eastAsia="ko-KR"/>
        </w:rPr>
        <w:t>significanti</w:t>
      </w:r>
      <w:r w:rsidRPr="00921744">
        <w:rPr>
          <w:rFonts w:eastAsia="AppleGothic"/>
          <w:sz w:val="22"/>
          <w:lang w:eastAsia="ko-KR"/>
        </w:rPr>
        <w:t xml:space="preserve">. </w:t>
      </w:r>
    </w:p>
    <w:p w:rsidR="00503727" w:rsidRPr="00921744" w:rsidRDefault="00503727" w:rsidP="00503727">
      <w:pPr>
        <w:ind w:left="284" w:right="276" w:firstLine="425"/>
        <w:jc w:val="both"/>
        <w:rPr>
          <w:rFonts w:eastAsia="AppleGothic"/>
          <w:sz w:val="22"/>
          <w:lang w:eastAsia="ko-KR"/>
        </w:rPr>
      </w:pPr>
      <w:r w:rsidRPr="00921744">
        <w:rPr>
          <w:rFonts w:eastAsia="AppleGothic"/>
          <w:sz w:val="22"/>
          <w:lang w:eastAsia="ko-KR"/>
        </w:rPr>
        <w:t>Simboli, segni ed icone in genere, deputati in prima istanza alla trasmissione di valori artistici o edonistici, possono ben assurgere in quest’ottica al rango di diffusori di cultura giuridica.</w:t>
      </w:r>
    </w:p>
    <w:p w:rsidR="00503727" w:rsidRPr="00921744" w:rsidRDefault="00503727" w:rsidP="00503727">
      <w:pPr>
        <w:ind w:left="284" w:right="276" w:firstLine="425"/>
        <w:jc w:val="both"/>
        <w:rPr>
          <w:rFonts w:eastAsia="AppleGothic"/>
          <w:sz w:val="22"/>
          <w:lang w:eastAsia="ko-KR"/>
        </w:rPr>
      </w:pPr>
      <w:r w:rsidRPr="00921744">
        <w:rPr>
          <w:rFonts w:eastAsia="AppleGothic"/>
          <w:sz w:val="22"/>
          <w:lang w:eastAsia="ko-KR"/>
        </w:rPr>
        <w:t xml:space="preserve">Il testo letterario, il testo poetico addirittura, così come quello di diritto, sono soggetti allo stesso modo a fatti di </w:t>
      </w:r>
      <w:r w:rsidRPr="00921744">
        <w:rPr>
          <w:rFonts w:eastAsia="AppleGothic"/>
          <w:i/>
          <w:sz w:val="22"/>
          <w:lang w:eastAsia="ko-KR"/>
        </w:rPr>
        <w:t>precomprensione</w:t>
      </w:r>
      <w:r w:rsidRPr="00921744">
        <w:rPr>
          <w:rFonts w:eastAsia="AppleGothic"/>
          <w:sz w:val="22"/>
          <w:lang w:eastAsia="ko-KR"/>
        </w:rPr>
        <w:t xml:space="preserve"> e di interpretazione logica, talvolta con gli stessi strumenti formalistici - per esempio per i filosofi del diritto analitici - di certa critica letteraria d’avanguardia.</w:t>
      </w:r>
    </w:p>
    <w:p w:rsidR="00503727" w:rsidRPr="00921744" w:rsidRDefault="00503727" w:rsidP="00503727">
      <w:pPr>
        <w:ind w:left="284" w:right="276" w:firstLine="425"/>
        <w:jc w:val="both"/>
        <w:rPr>
          <w:rFonts w:eastAsia="AppleGothic"/>
          <w:sz w:val="22"/>
          <w:lang w:eastAsia="ko-KR"/>
        </w:rPr>
      </w:pPr>
      <w:r w:rsidRPr="00921744">
        <w:rPr>
          <w:rFonts w:eastAsia="AppleGothic"/>
          <w:sz w:val="22"/>
          <w:lang w:eastAsia="ko-KR"/>
        </w:rPr>
        <w:t>Diritto e letteratura hanno in comune, dalla loro parte, il valore aggiunto della larga propagabilità in virtù della (relativa) semplicità dello strumento espressivo dei rispettivi oggetti da divulgare.</w:t>
      </w:r>
    </w:p>
    <w:p w:rsidR="00503727" w:rsidRPr="00921744" w:rsidRDefault="00503727" w:rsidP="00503727">
      <w:pPr>
        <w:pStyle w:val="Testonotaapidipagina"/>
        <w:ind w:left="284" w:right="276" w:firstLine="425"/>
        <w:jc w:val="both"/>
        <w:rPr>
          <w:sz w:val="22"/>
        </w:rPr>
      </w:pPr>
      <w:r w:rsidRPr="00921744">
        <w:rPr>
          <w:rFonts w:eastAsia="AppleGothic"/>
          <w:sz w:val="22"/>
          <w:lang w:eastAsia="ko-KR"/>
        </w:rPr>
        <w:t xml:space="preserve">Tanto la diffusione dei testi giuridici e dei contesti normativi, quanto la divulgazione di quelli letterari, si basano in larga parte sulla sensibilità, sulla coscienza e sulla attitudine percettiva dei soggetti che ne sono fruitori e destinatari. Per un’introduzione generale a quest’area di studio, molto godibile e ricca di suggestioni, cfr. Richard A. Posner, </w:t>
      </w:r>
      <w:r w:rsidRPr="00921744">
        <w:rPr>
          <w:rFonts w:eastAsia="AppleGothic"/>
          <w:i/>
          <w:sz w:val="22"/>
          <w:lang w:eastAsia="ko-KR"/>
        </w:rPr>
        <w:t>Law and Literature</w:t>
      </w:r>
      <w:r w:rsidRPr="00921744">
        <w:rPr>
          <w:rFonts w:eastAsia="AppleGothic"/>
          <w:sz w:val="22"/>
          <w:lang w:eastAsia="ko-KR"/>
        </w:rPr>
        <w:t xml:space="preserve">, Harvard University Press, Harvard Massachussets 1998: uno dei testi di riferimento assoluto per chi volesse approfondire l’argomento. Anche nel nostro paese la bibliografia sugli studi di </w:t>
      </w:r>
      <w:r w:rsidRPr="00785177">
        <w:rPr>
          <w:rFonts w:eastAsia="AppleGothic"/>
          <w:i/>
          <w:sz w:val="22"/>
          <w:lang w:eastAsia="ko-KR"/>
        </w:rPr>
        <w:t>Diritto e Letteratura</w:t>
      </w:r>
      <w:r w:rsidRPr="00921744">
        <w:rPr>
          <w:rFonts w:eastAsia="AppleGothic"/>
          <w:sz w:val="22"/>
          <w:lang w:eastAsia="ko-KR"/>
        </w:rPr>
        <w:t xml:space="preserve"> comincia ad essere imponente. Ce ne siamo già occupati nel nostro</w:t>
      </w:r>
      <w:r w:rsidRPr="00785177">
        <w:rPr>
          <w:rFonts w:eastAsia="AppleGothic"/>
          <w:i/>
          <w:sz w:val="22"/>
          <w:lang w:eastAsia="ko-KR"/>
        </w:rPr>
        <w:t xml:space="preserve"> Introduzione alla cultura del postmodernismo giuridico. Lezioni di storia e cultura del diritto</w:t>
      </w:r>
      <w:r w:rsidRPr="00921744">
        <w:rPr>
          <w:rFonts w:eastAsia="AppleGothic"/>
          <w:sz w:val="22"/>
          <w:lang w:eastAsia="ko-KR"/>
        </w:rPr>
        <w:t xml:space="preserve">, Aracne, Roma 2012, p. 63 e s., con ampia bibliografia. In lingua italiana comunque, la guida orientava principale all’affascinante materia è ancora Arianna Sansone, </w:t>
      </w:r>
      <w:r w:rsidRPr="00785177">
        <w:rPr>
          <w:rFonts w:eastAsia="AppleGothic"/>
          <w:i/>
          <w:sz w:val="22"/>
          <w:lang w:eastAsia="ko-KR"/>
        </w:rPr>
        <w:t>Diritto e letteratura. Un’introduzione generale</w:t>
      </w:r>
      <w:r w:rsidRPr="00921744">
        <w:rPr>
          <w:rFonts w:eastAsia="AppleGothic"/>
          <w:sz w:val="22"/>
          <w:lang w:eastAsia="ko-KR"/>
        </w:rPr>
        <w:t>, Giuffré, Milano 2001.</w:t>
      </w:r>
      <w:r w:rsidRPr="00921744">
        <w:rPr>
          <w:sz w:val="22"/>
        </w:rPr>
        <w:t xml:space="preserve"> Infine, nel solco di un pensiero ormai autorevole, consolidatosi da anni nella ricerca delle relazioni tra educazione morale, cultura politico-giuridica e studi umanistici in genere si suggerisce la lettura del libro di Martha C. Nussbaum, </w:t>
      </w:r>
      <w:r w:rsidRPr="0014752F">
        <w:rPr>
          <w:i/>
          <w:sz w:val="22"/>
        </w:rPr>
        <w:t>Non per profitto. Perché le democrazie hanno bisogno della cultura umanistica</w:t>
      </w:r>
      <w:r w:rsidRPr="00921744">
        <w:rPr>
          <w:sz w:val="22"/>
        </w:rPr>
        <w:t>, il Mulino, Bologna 2013.</w:t>
      </w:r>
    </w:p>
  </w:footnote>
  <w:footnote w:id="4">
    <w:p w:rsidR="00503727" w:rsidRPr="00921744" w:rsidRDefault="00503727" w:rsidP="00503727">
      <w:pPr>
        <w:pStyle w:val="Testonotaapidipagina"/>
        <w:ind w:left="284" w:right="276" w:firstLine="425"/>
        <w:jc w:val="both"/>
        <w:rPr>
          <w:sz w:val="22"/>
        </w:rPr>
      </w:pPr>
      <w:r w:rsidRPr="00921744">
        <w:rPr>
          <w:rStyle w:val="Rimandonotaapidipagina"/>
          <w:sz w:val="22"/>
        </w:rPr>
        <w:footnoteRef/>
      </w:r>
      <w:r w:rsidRPr="00921744">
        <w:rPr>
          <w:sz w:val="22"/>
        </w:rPr>
        <w:t xml:space="preserve"> Cfr. Jurgen Habermas, </w:t>
      </w:r>
      <w:r w:rsidRPr="00921744">
        <w:rPr>
          <w:i/>
          <w:sz w:val="22"/>
        </w:rPr>
        <w:t>Dopo l’utopia. Il pensiero critico ed il mondo d’oggi</w:t>
      </w:r>
      <w:r w:rsidRPr="00921744">
        <w:rPr>
          <w:sz w:val="22"/>
        </w:rPr>
        <w:t xml:space="preserve">, Marsilio, Venezia 1992, p. 19. Per l’individuazione di questo nucleo del pensiero </w:t>
      </w:r>
      <w:r w:rsidRPr="00921744">
        <w:rPr>
          <w:i/>
          <w:sz w:val="22"/>
        </w:rPr>
        <w:t>habermasiano</w:t>
      </w:r>
      <w:r w:rsidRPr="00921744">
        <w:rPr>
          <w:sz w:val="22"/>
        </w:rPr>
        <w:t xml:space="preserve">, vedi Maria Zanichelli, </w:t>
      </w:r>
      <w:r w:rsidRPr="00921744">
        <w:rPr>
          <w:i/>
          <w:sz w:val="22"/>
        </w:rPr>
        <w:t>Il discorso sui diritti. Un atlante teorico</w:t>
      </w:r>
      <w:r w:rsidRPr="00921744">
        <w:rPr>
          <w:sz w:val="22"/>
        </w:rPr>
        <w:t xml:space="preserve">, Cedam, Padova 2004, p. 179. </w:t>
      </w:r>
    </w:p>
  </w:footnote>
  <w:footnote w:id="5">
    <w:p w:rsidR="00503727" w:rsidRPr="000F53F2" w:rsidRDefault="00503727" w:rsidP="00503727">
      <w:pPr>
        <w:pStyle w:val="Testonotaapidipagina"/>
        <w:ind w:left="284" w:right="276" w:firstLine="425"/>
        <w:jc w:val="both"/>
        <w:rPr>
          <w:sz w:val="22"/>
        </w:rPr>
      </w:pPr>
      <w:r w:rsidRPr="000F53F2">
        <w:rPr>
          <w:rStyle w:val="Rimandonotaapidipagina"/>
          <w:sz w:val="22"/>
        </w:rPr>
        <w:footnoteRef/>
      </w:r>
      <w:r w:rsidRPr="000F53F2">
        <w:rPr>
          <w:sz w:val="22"/>
        </w:rPr>
        <w:t xml:space="preserve"> Inevitabile il rinvio, sul punto, a Mario A. Cattaneo, </w:t>
      </w:r>
      <w:r w:rsidRPr="000F53F2">
        <w:rPr>
          <w:i/>
          <w:sz w:val="22"/>
        </w:rPr>
        <w:t>Riflessioni sull’umanesimo giuridico</w:t>
      </w:r>
      <w:r w:rsidRPr="000F53F2">
        <w:rPr>
          <w:sz w:val="22"/>
        </w:rPr>
        <w:t xml:space="preserve">, Edizioni Scientifiche Italiane, Napoli 2004. </w:t>
      </w:r>
    </w:p>
  </w:footnote>
  <w:footnote w:id="6">
    <w:p w:rsidR="00503727" w:rsidRPr="000F53F2" w:rsidRDefault="00503727" w:rsidP="00503727">
      <w:pPr>
        <w:pStyle w:val="Testonotaapidipagina"/>
        <w:ind w:left="284" w:right="276" w:firstLine="425"/>
        <w:jc w:val="both"/>
        <w:rPr>
          <w:sz w:val="22"/>
        </w:rPr>
      </w:pPr>
      <w:r w:rsidRPr="000F53F2">
        <w:rPr>
          <w:rStyle w:val="Rimandonotaapidipagina"/>
          <w:sz w:val="22"/>
        </w:rPr>
        <w:footnoteRef/>
      </w:r>
      <w:r w:rsidRPr="000F53F2">
        <w:rPr>
          <w:sz w:val="22"/>
        </w:rPr>
        <w:t xml:space="preserve"> Sono splendide le pagine dedicate al tema dei rapporti tra interpretazione del diritto e dialogo tra soggetti interessati da parte di Renzo Bertalot, appartato ma autorevole filosofo del diritto e della religione, in </w:t>
      </w:r>
      <w:r w:rsidRPr="000F53F2">
        <w:rPr>
          <w:i/>
          <w:sz w:val="22"/>
        </w:rPr>
        <w:t>Interpretazione e dialogo nell’esperienza giuridica</w:t>
      </w:r>
      <w:r w:rsidRPr="000F53F2">
        <w:rPr>
          <w:sz w:val="22"/>
        </w:rPr>
        <w:t xml:space="preserve">, in </w:t>
      </w:r>
      <w:r w:rsidRPr="000F53F2">
        <w:rPr>
          <w:i/>
          <w:sz w:val="22"/>
        </w:rPr>
        <w:t>Atti del IV colloquio sull’interpretazione</w:t>
      </w:r>
      <w:r w:rsidRPr="000F53F2">
        <w:rPr>
          <w:sz w:val="22"/>
        </w:rPr>
        <w:t xml:space="preserve">, Macerata 29-30 marzo 1982, a cura di Giuseppe Galli, Marietti, Torino 1985, p. 23 e ss. </w:t>
      </w:r>
    </w:p>
  </w:footnote>
  <w:footnote w:id="7">
    <w:p w:rsidR="00503727" w:rsidRPr="000F53F2" w:rsidRDefault="00503727" w:rsidP="00503727">
      <w:pPr>
        <w:pStyle w:val="Testonotaapidipagina"/>
        <w:ind w:left="284" w:right="276" w:firstLine="425"/>
        <w:jc w:val="both"/>
        <w:rPr>
          <w:sz w:val="22"/>
        </w:rPr>
      </w:pPr>
      <w:r w:rsidRPr="000F53F2">
        <w:rPr>
          <w:rStyle w:val="Rimandonotaapidipagina"/>
          <w:sz w:val="22"/>
        </w:rPr>
        <w:footnoteRef/>
      </w:r>
      <w:r w:rsidRPr="000F53F2">
        <w:rPr>
          <w:sz w:val="22"/>
        </w:rPr>
        <w:t xml:space="preserve"> La grande lezione giuridico speculativa di Rosmini è affidata alla ponderosa</w:t>
      </w:r>
      <w:r w:rsidRPr="000F53F2">
        <w:rPr>
          <w:rFonts w:cs="Arial-BoldMT"/>
          <w:bCs/>
          <w:color w:val="222222"/>
          <w:sz w:val="22"/>
          <w:szCs w:val="26"/>
          <w:lang w:bidi="it-IT"/>
        </w:rPr>
        <w:t xml:space="preserve"> </w:t>
      </w:r>
      <w:r w:rsidRPr="000F53F2">
        <w:rPr>
          <w:rFonts w:cs="Arial-BoldMT"/>
          <w:bCs/>
          <w:i/>
          <w:color w:val="222222"/>
          <w:sz w:val="22"/>
          <w:szCs w:val="26"/>
          <w:lang w:bidi="it-IT"/>
        </w:rPr>
        <w:t>Filosofia del Diritto</w:t>
      </w:r>
      <w:r w:rsidRPr="000F53F2">
        <w:rPr>
          <w:rFonts w:cs="ArialMT"/>
          <w:color w:val="222222"/>
          <w:sz w:val="22"/>
          <w:szCs w:val="26"/>
          <w:lang w:bidi="it-IT"/>
        </w:rPr>
        <w:t xml:space="preserve">, Ed. Boniardi-Pogliani, Milano 1841-43, 2 voll. L’opera è stata rielaborata e riedita a cura di Rinaldo Orecchia, per i tipi di </w:t>
      </w:r>
      <w:r w:rsidRPr="000F53F2">
        <w:rPr>
          <w:rFonts w:cs="Arial-BoldMT"/>
          <w:bCs/>
          <w:color w:val="222222"/>
          <w:sz w:val="22"/>
          <w:szCs w:val="26"/>
          <w:lang w:bidi="it-IT"/>
        </w:rPr>
        <w:t>Cedam</w:t>
      </w:r>
      <w:r w:rsidRPr="000F53F2">
        <w:rPr>
          <w:rFonts w:cs="ArialMT"/>
          <w:color w:val="222222"/>
          <w:sz w:val="22"/>
          <w:szCs w:val="26"/>
          <w:lang w:bidi="it-IT"/>
        </w:rPr>
        <w:t>, Padova 1967-1969, in sei grandi tomi.</w:t>
      </w:r>
    </w:p>
  </w:footnote>
  <w:footnote w:id="8">
    <w:p w:rsidR="00503727" w:rsidRPr="00C52249" w:rsidRDefault="00503727" w:rsidP="00503727">
      <w:pPr>
        <w:ind w:left="284" w:right="276" w:firstLine="425"/>
        <w:jc w:val="both"/>
        <w:rPr>
          <w:sz w:val="22"/>
        </w:rPr>
      </w:pPr>
      <w:r w:rsidRPr="00C52249">
        <w:rPr>
          <w:rStyle w:val="Rimandonotaapidipagina"/>
          <w:sz w:val="22"/>
        </w:rPr>
        <w:footnoteRef/>
      </w:r>
      <w:r w:rsidRPr="00C52249">
        <w:rPr>
          <w:sz w:val="22"/>
        </w:rPr>
        <w:t xml:space="preserve"> Di Giuseppe Capograssi, per la similitudine speculativa riportata nel testo, si veda almeno, </w:t>
      </w:r>
      <w:r w:rsidRPr="00C52249">
        <w:rPr>
          <w:i/>
          <w:sz w:val="22"/>
        </w:rPr>
        <w:t>Il diritto dopo la catastrofe</w:t>
      </w:r>
      <w:r w:rsidRPr="00C52249">
        <w:rPr>
          <w:sz w:val="22"/>
        </w:rPr>
        <w:t xml:space="preserve">, in </w:t>
      </w:r>
      <w:r w:rsidRPr="00C52249">
        <w:rPr>
          <w:rFonts w:cs="ArialMT"/>
          <w:color w:val="222222"/>
          <w:sz w:val="22"/>
          <w:szCs w:val="26"/>
          <w:lang w:bidi="it-IT"/>
        </w:rPr>
        <w:t xml:space="preserve">AA.VV., </w:t>
      </w:r>
      <w:r w:rsidRPr="00C52249">
        <w:rPr>
          <w:rFonts w:cs="ArialMT"/>
          <w:i/>
          <w:color w:val="222222"/>
          <w:sz w:val="22"/>
          <w:szCs w:val="26"/>
          <w:lang w:bidi="it-IT"/>
        </w:rPr>
        <w:t>Scritti giuridici in onore di Francesco Carnelutti</w:t>
      </w:r>
      <w:r w:rsidRPr="00C52249">
        <w:rPr>
          <w:rFonts w:cs="ArialMT"/>
          <w:color w:val="222222"/>
          <w:sz w:val="22"/>
          <w:szCs w:val="26"/>
          <w:lang w:bidi="it-IT"/>
        </w:rPr>
        <w:t xml:space="preserve">, Cedam, Padova 1950, vol. I, p. 295 e ss., ora anche in Giuseppe Capograssi, </w:t>
      </w:r>
      <w:r w:rsidRPr="00C52249">
        <w:rPr>
          <w:rFonts w:cs="ArialMT"/>
          <w:i/>
          <w:color w:val="222222"/>
          <w:sz w:val="22"/>
          <w:szCs w:val="26"/>
          <w:lang w:bidi="it-IT"/>
        </w:rPr>
        <w:t>Opere</w:t>
      </w:r>
      <w:r w:rsidRPr="00C52249">
        <w:rPr>
          <w:rFonts w:cs="ArialMT"/>
          <w:color w:val="222222"/>
          <w:sz w:val="22"/>
          <w:szCs w:val="26"/>
          <w:lang w:bidi="it-IT"/>
        </w:rPr>
        <w:t xml:space="preserve">, vol. V, Giuffrè, Milano 1959, soprattutto p. 185 e ss. Su questi aspetti della lezione capograssiana vedi </w:t>
      </w:r>
      <w:r w:rsidRPr="00C52249">
        <w:rPr>
          <w:rFonts w:eastAsia="Apple LiGothic Medium"/>
          <w:sz w:val="22"/>
          <w:lang w:eastAsia="zh-TW"/>
        </w:rPr>
        <w:t xml:space="preserve">diffusamente Maria G. Esposito, </w:t>
      </w:r>
      <w:r w:rsidRPr="00C52249">
        <w:rPr>
          <w:rFonts w:eastAsia="Apple LiGothic Medium"/>
          <w:i/>
          <w:sz w:val="22"/>
          <w:lang w:eastAsia="zh-TW"/>
        </w:rPr>
        <w:t>Diritto e vita. La lezione di Capograssi</w:t>
      </w:r>
      <w:r w:rsidRPr="00C52249">
        <w:rPr>
          <w:rFonts w:eastAsia="Apple LiGothic Medium"/>
          <w:sz w:val="22"/>
          <w:lang w:eastAsia="zh-TW"/>
        </w:rPr>
        <w:t xml:space="preserve">, Giuffrè, Milano 1997. </w:t>
      </w:r>
      <w:r w:rsidRPr="00C52249">
        <w:rPr>
          <w:sz w:val="22"/>
          <w:szCs w:val="22"/>
        </w:rPr>
        <w:t xml:space="preserve">Si vedano, altresì, le accurate riflessioni di Cesare Massimo Bianca in </w:t>
      </w:r>
      <w:r w:rsidRPr="00C52249">
        <w:rPr>
          <w:i/>
          <w:iCs/>
          <w:sz w:val="22"/>
          <w:szCs w:val="22"/>
        </w:rPr>
        <w:t>Diritto civile</w:t>
      </w:r>
      <w:r w:rsidRPr="00C52249">
        <w:rPr>
          <w:sz w:val="22"/>
          <w:szCs w:val="22"/>
        </w:rPr>
        <w:t xml:space="preserve">, vol. I, Giuffrè, Milano 2002, p. 136 e ss., ove l’autore, memore della lezione di Sergio Cotta - del quale si veda la voce </w:t>
      </w:r>
      <w:r w:rsidRPr="00C52249">
        <w:rPr>
          <w:i/>
          <w:iCs/>
          <w:sz w:val="22"/>
          <w:szCs w:val="22"/>
        </w:rPr>
        <w:t>Soggetto di diritto</w:t>
      </w:r>
      <w:r w:rsidRPr="00C52249">
        <w:rPr>
          <w:sz w:val="22"/>
          <w:szCs w:val="22"/>
        </w:rPr>
        <w:t xml:space="preserve">, in </w:t>
      </w:r>
      <w:r w:rsidRPr="00C52249">
        <w:rPr>
          <w:i/>
          <w:iCs/>
          <w:sz w:val="22"/>
          <w:szCs w:val="22"/>
        </w:rPr>
        <w:t>Enc. dir.</w:t>
      </w:r>
      <w:r w:rsidRPr="00C52249">
        <w:rPr>
          <w:sz w:val="22"/>
          <w:szCs w:val="22"/>
        </w:rPr>
        <w:t xml:space="preserve">, vol. XLII, Giuffrè, Milano 1990, p. 1225 e ss. - specificava come l’ordinamento giuridico debba essere “preordinato in funzione dell’uomo”: l’uomo non è quindi “lo strumento dei fini dello Stato ma è piuttosto esso medesimo fine ultimo delle norme giuridiche”. </w:t>
      </w:r>
    </w:p>
  </w:footnote>
  <w:footnote w:id="9">
    <w:p w:rsidR="00503727" w:rsidRPr="00C52249" w:rsidRDefault="00503727" w:rsidP="00503727">
      <w:pPr>
        <w:tabs>
          <w:tab w:val="left" w:pos="9356"/>
        </w:tabs>
        <w:ind w:left="284" w:right="276" w:firstLine="425"/>
        <w:jc w:val="both"/>
        <w:rPr>
          <w:sz w:val="22"/>
        </w:rPr>
      </w:pPr>
      <w:r w:rsidRPr="00C52249">
        <w:rPr>
          <w:rStyle w:val="Rimandonotaapidipagina"/>
          <w:sz w:val="22"/>
        </w:rPr>
        <w:footnoteRef/>
      </w:r>
      <w:r w:rsidRPr="00C52249">
        <w:rPr>
          <w:sz w:val="22"/>
        </w:rPr>
        <w:t xml:space="preserve"> E’ il caso del lavoro di Luigi Ferrajoli, </w:t>
      </w:r>
      <w:r w:rsidRPr="00C52249">
        <w:rPr>
          <w:i/>
          <w:sz w:val="22"/>
        </w:rPr>
        <w:t>Principia iuris. Teoria del diritto e della democrazia</w:t>
      </w:r>
      <w:r w:rsidRPr="00C52249">
        <w:rPr>
          <w:sz w:val="22"/>
        </w:rPr>
        <w:t xml:space="preserve">, 2 voll., Laterza, Roma-Bari 2007, un’opera ponderosa - come è nelle corde dell’autore - interamente dedicata alla formalizzazione assiomatica di tutte le coordinate fondative delle unità principiali del diritto e, come conseguenza, dell’ordinamento democratico. </w:t>
      </w:r>
    </w:p>
  </w:footnote>
  <w:footnote w:id="10">
    <w:p w:rsidR="00503727" w:rsidRPr="00C52249" w:rsidRDefault="00503727" w:rsidP="00503727">
      <w:pPr>
        <w:pStyle w:val="Testonotaapidipagina"/>
        <w:tabs>
          <w:tab w:val="left" w:pos="9356"/>
        </w:tabs>
        <w:ind w:left="284" w:right="276" w:firstLine="425"/>
        <w:jc w:val="both"/>
        <w:rPr>
          <w:sz w:val="22"/>
        </w:rPr>
      </w:pPr>
      <w:r w:rsidRPr="00C52249">
        <w:rPr>
          <w:rStyle w:val="Rimandonotaapidipagina"/>
          <w:sz w:val="22"/>
        </w:rPr>
        <w:footnoteRef/>
      </w:r>
      <w:r w:rsidRPr="00C52249">
        <w:rPr>
          <w:sz w:val="22"/>
        </w:rPr>
        <w:t xml:space="preserve"> Con efficacia Daniele M. Cananzi scrive che: “…l’essenza del diritto fenomenologicamente cercata può essere interrogata </w:t>
      </w:r>
      <w:r w:rsidRPr="00C52249">
        <w:rPr>
          <w:i/>
          <w:sz w:val="22"/>
        </w:rPr>
        <w:t>solo</w:t>
      </w:r>
      <w:r w:rsidRPr="00C52249">
        <w:rPr>
          <w:sz w:val="22"/>
        </w:rPr>
        <w:t xml:space="preserve"> attraverso ‘ciò che si manifesta’…”, in Daniele M. Cananzi, </w:t>
      </w:r>
      <w:r w:rsidRPr="00C52249">
        <w:rPr>
          <w:i/>
          <w:sz w:val="22"/>
        </w:rPr>
        <w:t>Prolegomeni di una estetica del diritto</w:t>
      </w:r>
      <w:r w:rsidRPr="00C52249">
        <w:rPr>
          <w:sz w:val="22"/>
        </w:rPr>
        <w:t>, Edizioni Nuova Cultura, Roma 2008, p. 15.</w:t>
      </w:r>
    </w:p>
  </w:footnote>
  <w:footnote w:id="11">
    <w:p w:rsidR="00503727" w:rsidRPr="00143094" w:rsidRDefault="00503727" w:rsidP="00503727">
      <w:pPr>
        <w:pStyle w:val="Testonotaapidipagina"/>
        <w:tabs>
          <w:tab w:val="left" w:pos="9356"/>
        </w:tabs>
        <w:ind w:left="284" w:right="276" w:firstLine="425"/>
        <w:jc w:val="both"/>
        <w:rPr>
          <w:sz w:val="22"/>
        </w:rPr>
      </w:pPr>
      <w:r w:rsidRPr="00BE68E7">
        <w:rPr>
          <w:rStyle w:val="Rimandonotaapidipagina"/>
          <w:sz w:val="22"/>
        </w:rPr>
        <w:footnoteRef/>
      </w:r>
      <w:r w:rsidRPr="00BE68E7">
        <w:rPr>
          <w:sz w:val="22"/>
        </w:rPr>
        <w:t xml:space="preserve"> Questa era, in linea di estrema sintesi, la concezione del diritto che, in chiave volutamente immaginifica, aveva proposto uno</w:t>
      </w:r>
      <w:r w:rsidRPr="002A7C31">
        <w:rPr>
          <w:sz w:val="22"/>
        </w:rPr>
        <w:t xml:space="preserve"> dei più interessanti giuristi nordamericani degli anni passati, quel Robert Cover (1943-1986) prematuramente strappato agli studi quando le proprie teorie sui rapporti tra </w:t>
      </w:r>
      <w:r w:rsidRPr="002A7C31">
        <w:rPr>
          <w:i/>
          <w:sz w:val="22"/>
        </w:rPr>
        <w:t>norma</w:t>
      </w:r>
      <w:r w:rsidRPr="002A7C31">
        <w:rPr>
          <w:sz w:val="22"/>
        </w:rPr>
        <w:t xml:space="preserve"> e </w:t>
      </w:r>
      <w:r w:rsidRPr="002A7C31">
        <w:rPr>
          <w:i/>
          <w:sz w:val="22"/>
        </w:rPr>
        <w:t>narrazione</w:t>
      </w:r>
      <w:r w:rsidRPr="002A7C31">
        <w:rPr>
          <w:sz w:val="22"/>
        </w:rPr>
        <w:t xml:space="preserve"> erano in piena fase di compiuta elaborazione. Il testo fondamentale di questo studioso, docente di culto negli anni Sessanta dello scorso secolo all’università di Yale, è oggi finalmente disponibile anche in italiano: cfr. Robert Cover, </w:t>
      </w:r>
      <w:r w:rsidRPr="002A7C31">
        <w:rPr>
          <w:i/>
          <w:sz w:val="22"/>
        </w:rPr>
        <w:t>Nomos e narrazione. Una concezione ebraica del diritto</w:t>
      </w:r>
      <w:r w:rsidRPr="002A7C31">
        <w:rPr>
          <w:sz w:val="22"/>
        </w:rPr>
        <w:t xml:space="preserve">, Giappichelli, Torino 2008. Vi si sostiene, detto in pochissime e povere parole ad onta di una trama argomentativa molto ricca e articolata, la correttezza di una concezione che, valorizzando tutte le fonti culturali di un popolo, sviluppi un concetto di diritto inteso quale strumento educativo di crescita relazionale che, mettendo in comunicazione dialettica il presente con le aspettative di un futuro positivo, possa eliminare diseguaglianze, disparità, irresponsabilità. Nella visione di Cover la narratività caratteristica della dialettica e delle forme letterarie in genere è il ponte tra il mondo ontico dei fatti e quello deontico delle norme impersonali, generali e astratte. La comunicazione letteraria dei fatti della Storia e della vita crea le così dette </w:t>
      </w:r>
      <w:r w:rsidRPr="002A7C31">
        <w:rPr>
          <w:i/>
          <w:sz w:val="22"/>
        </w:rPr>
        <w:t>norme paideiche</w:t>
      </w:r>
      <w:r w:rsidRPr="002A7C31">
        <w:rPr>
          <w:sz w:val="22"/>
        </w:rPr>
        <w:t xml:space="preserve"> o pedagogiche, comunemente riconosciute e vissute senza problemi in quanto tali. Il formalismo giuridico e la giurisprudenza dei tribunali non necessariamente creano diritto, sovente amministrano soltanto la violenza statale, sacrificando all’interpretazione </w:t>
      </w:r>
      <w:r w:rsidRPr="002A7C31">
        <w:rPr>
          <w:i/>
          <w:sz w:val="22"/>
        </w:rPr>
        <w:t xml:space="preserve">stricto </w:t>
      </w:r>
      <w:r w:rsidRPr="00143094">
        <w:rPr>
          <w:i/>
          <w:sz w:val="22"/>
        </w:rPr>
        <w:t>jure</w:t>
      </w:r>
      <w:r w:rsidRPr="00143094">
        <w:rPr>
          <w:sz w:val="22"/>
        </w:rPr>
        <w:t xml:space="preserve"> tutte le altre possibili, cfr. Alberto Vespaziani, </w:t>
      </w:r>
      <w:r w:rsidRPr="00143094">
        <w:rPr>
          <w:i/>
          <w:sz w:val="22"/>
        </w:rPr>
        <w:t>Costituzionalità e narratività</w:t>
      </w:r>
      <w:r w:rsidRPr="00143094">
        <w:rPr>
          <w:sz w:val="22"/>
        </w:rPr>
        <w:t xml:space="preserve">, in Carla Faralli e Maria Paola Mittica (a cura di), </w:t>
      </w:r>
      <w:r w:rsidRPr="00143094">
        <w:rPr>
          <w:i/>
          <w:sz w:val="22"/>
        </w:rPr>
        <w:t>Diritto e Letteratura. Prospettive di ricerca</w:t>
      </w:r>
      <w:r w:rsidRPr="00143094">
        <w:rPr>
          <w:sz w:val="22"/>
        </w:rPr>
        <w:t xml:space="preserve">, Aracne, Roma 2010, p. 126 e ss. </w:t>
      </w:r>
    </w:p>
  </w:footnote>
  <w:footnote w:id="12">
    <w:p w:rsidR="00503727" w:rsidRPr="00F83D9B" w:rsidRDefault="00503727" w:rsidP="00503727">
      <w:pPr>
        <w:tabs>
          <w:tab w:val="left" w:pos="9356"/>
        </w:tabs>
        <w:ind w:left="284" w:right="276" w:firstLine="425"/>
        <w:jc w:val="both"/>
        <w:rPr>
          <w:sz w:val="22"/>
        </w:rPr>
      </w:pPr>
      <w:r w:rsidRPr="00143094">
        <w:rPr>
          <w:rStyle w:val="Rimandonotaapidipagina"/>
          <w:sz w:val="22"/>
        </w:rPr>
        <w:footnoteRef/>
      </w:r>
      <w:r w:rsidRPr="00143094">
        <w:rPr>
          <w:sz w:val="22"/>
        </w:rPr>
        <w:t xml:space="preserve"> Alberto Vespaziani, del quale siamo tributari per queste osservazioni, ha raccolto i suoi studi in materia nel volume </w:t>
      </w:r>
      <w:r w:rsidRPr="00143094">
        <w:rPr>
          <w:i/>
          <w:sz w:val="22"/>
        </w:rPr>
        <w:t>Costituzione, comparazione, narrazione. Saggi di Diritto e Letteratura</w:t>
      </w:r>
      <w:r w:rsidRPr="00143094">
        <w:rPr>
          <w:sz w:val="22"/>
        </w:rPr>
        <w:t xml:space="preserve">, Giappichelli, Torino 2012. E’ lettura agile e gradevolissima, vivamente consigliata. Con la sua consueta profondità Pier Giuseppe Monateri, privatista comparatista di livello europeo da tempo convertitosi all’insegnamento di </w:t>
      </w:r>
      <w:r w:rsidRPr="00285777">
        <w:rPr>
          <w:i/>
          <w:sz w:val="22"/>
        </w:rPr>
        <w:t>Legge e Letteratura</w:t>
      </w:r>
      <w:r w:rsidRPr="00285777">
        <w:rPr>
          <w:sz w:val="22"/>
        </w:rPr>
        <w:t xml:space="preserve">, ha segnalato come la novità dello studio di Robert Cover consista soprattutto nell’avere nobilitato la tradizione giuridica di </w:t>
      </w:r>
      <w:r w:rsidRPr="00285777">
        <w:rPr>
          <w:i/>
          <w:sz w:val="22"/>
        </w:rPr>
        <w:t>common law</w:t>
      </w:r>
      <w:r w:rsidRPr="00285777">
        <w:rPr>
          <w:sz w:val="22"/>
        </w:rPr>
        <w:t xml:space="preserve">, esaltando le possibilità della tradizione angloamericana, offerta dall’impianto di oralità sostanziale su cui essa si fonda, di annullare lo iato tra norma e sua possibilità valoriale interpretativa. Sarebbe proprio questo il </w:t>
      </w:r>
      <w:r w:rsidRPr="00285777">
        <w:rPr>
          <w:i/>
          <w:sz w:val="22"/>
        </w:rPr>
        <w:t>sublime</w:t>
      </w:r>
      <w:r w:rsidRPr="00285777">
        <w:rPr>
          <w:sz w:val="22"/>
        </w:rPr>
        <w:t xml:space="preserve"> di quella tradizione, la capacità di ricreare una sorta di nuovo romanticismo giuridico improntato al culto dell’essenza quasi letteraria della giuridicità orale e delle sue capacità realizzative. Monateri - cfr. Pier Giuseppe Monateri, </w:t>
      </w:r>
      <w:r w:rsidRPr="00285777">
        <w:rPr>
          <w:i/>
          <w:sz w:val="22"/>
        </w:rPr>
        <w:t>Geopolitica del diritto</w:t>
      </w:r>
      <w:r w:rsidRPr="00285777">
        <w:rPr>
          <w:sz w:val="22"/>
        </w:rPr>
        <w:t xml:space="preserve">, Laterza, Roma-Bari 2013, p. 160 - parla di </w:t>
      </w:r>
      <w:r w:rsidRPr="00285777">
        <w:rPr>
          <w:i/>
          <w:sz w:val="22"/>
        </w:rPr>
        <w:t>uncanny presence</w:t>
      </w:r>
      <w:r w:rsidRPr="00285777">
        <w:rPr>
          <w:sz w:val="22"/>
        </w:rPr>
        <w:t xml:space="preserve"> (inusuale, misteriosa presenza) della legge, mai completamente “scrittibile”, la cui perfettibilità, in quei sistemi, è infinita e trova compimento solo nella decisione del giudice. Questa magia di inesprimibilità che, in fondo, del diritto è la bellezza, è stata colta </w:t>
      </w:r>
      <w:r w:rsidRPr="00F83D9B">
        <w:rPr>
          <w:sz w:val="22"/>
        </w:rPr>
        <w:t xml:space="preserve">perfettamente, come spesso avviene, dal Poeta. Per questo Monateri opportunamente ricorda i versi della nota lirica </w:t>
      </w:r>
      <w:r w:rsidRPr="00F83D9B">
        <w:rPr>
          <w:i/>
          <w:sz w:val="22"/>
        </w:rPr>
        <w:t>Law Like Love</w:t>
      </w:r>
      <w:r w:rsidRPr="00F83D9B">
        <w:rPr>
          <w:sz w:val="22"/>
        </w:rPr>
        <w:t xml:space="preserve"> (</w:t>
      </w:r>
      <w:r w:rsidRPr="00074FC2">
        <w:rPr>
          <w:i/>
          <w:sz w:val="22"/>
        </w:rPr>
        <w:t>La legge come l’amore</w:t>
      </w:r>
      <w:r w:rsidRPr="00F83D9B">
        <w:rPr>
          <w:sz w:val="22"/>
        </w:rPr>
        <w:t xml:space="preserve">; Wystan H. Auden, </w:t>
      </w:r>
      <w:r w:rsidRPr="00B14F7F">
        <w:rPr>
          <w:i/>
          <w:sz w:val="22"/>
        </w:rPr>
        <w:t>Collected Shorter Poems 1927-1957</w:t>
      </w:r>
      <w:r w:rsidRPr="00F83D9B">
        <w:rPr>
          <w:sz w:val="22"/>
        </w:rPr>
        <w:t>, Random House, New York 1966) di Wystan H. Auden (1907-1973) il grande poeta inglese, che scriveva:</w:t>
      </w:r>
    </w:p>
    <w:p w:rsidR="00503727" w:rsidRPr="00F83D9B" w:rsidRDefault="00503727" w:rsidP="00503727">
      <w:pPr>
        <w:tabs>
          <w:tab w:val="left" w:pos="9356"/>
        </w:tabs>
        <w:ind w:left="284" w:right="276" w:firstLine="425"/>
        <w:jc w:val="both"/>
        <w:rPr>
          <w:sz w:val="22"/>
        </w:rPr>
      </w:pPr>
    </w:p>
    <w:p w:rsidR="00503727" w:rsidRPr="00B606FD" w:rsidRDefault="00503727" w:rsidP="00503727">
      <w:pPr>
        <w:tabs>
          <w:tab w:val="left" w:pos="9356"/>
        </w:tabs>
        <w:ind w:left="284" w:right="276" w:firstLine="425"/>
        <w:jc w:val="center"/>
        <w:rPr>
          <w:rFonts w:cs="ArialMT"/>
          <w:sz w:val="22"/>
          <w:szCs w:val="28"/>
          <w:lang w:val="en-US" w:bidi="it-IT"/>
        </w:rPr>
      </w:pPr>
      <w:r w:rsidRPr="00B606FD">
        <w:rPr>
          <w:rFonts w:cs="ArialMT"/>
          <w:sz w:val="22"/>
          <w:szCs w:val="28"/>
          <w:lang w:val="en-US" w:bidi="it-IT"/>
        </w:rPr>
        <w:t>Law, says the judge as he looks down his nose </w:t>
      </w:r>
    </w:p>
    <w:p w:rsidR="00503727" w:rsidRPr="00B606FD" w:rsidRDefault="00503727" w:rsidP="00503727">
      <w:pPr>
        <w:tabs>
          <w:tab w:val="left" w:pos="9356"/>
        </w:tabs>
        <w:ind w:left="284" w:right="276" w:firstLine="425"/>
        <w:jc w:val="center"/>
        <w:rPr>
          <w:rFonts w:cs="ArialMT"/>
          <w:sz w:val="22"/>
          <w:szCs w:val="28"/>
          <w:lang w:val="en-US" w:bidi="it-IT"/>
        </w:rPr>
      </w:pPr>
      <w:r w:rsidRPr="00B606FD">
        <w:rPr>
          <w:rFonts w:cs="ArialMT"/>
          <w:sz w:val="22"/>
          <w:szCs w:val="28"/>
          <w:lang w:val="en-US" w:bidi="it-IT"/>
        </w:rPr>
        <w:t>Speaking clearly and most severely </w:t>
      </w:r>
    </w:p>
    <w:p w:rsidR="00503727" w:rsidRPr="00B606FD" w:rsidRDefault="00503727" w:rsidP="00503727">
      <w:pPr>
        <w:tabs>
          <w:tab w:val="left" w:pos="9356"/>
        </w:tabs>
        <w:ind w:left="284" w:right="276" w:firstLine="425"/>
        <w:jc w:val="center"/>
        <w:rPr>
          <w:rFonts w:cs="ArialMT"/>
          <w:sz w:val="22"/>
          <w:szCs w:val="28"/>
          <w:lang w:val="en-US" w:bidi="it-IT"/>
        </w:rPr>
      </w:pPr>
      <w:r w:rsidRPr="00B606FD">
        <w:rPr>
          <w:rFonts w:cs="ArialMT"/>
          <w:sz w:val="22"/>
          <w:szCs w:val="28"/>
          <w:lang w:val="en-US" w:bidi="it-IT"/>
        </w:rPr>
        <w:t>Law is as I've told you before </w:t>
      </w:r>
    </w:p>
    <w:p w:rsidR="00503727" w:rsidRPr="00B606FD" w:rsidRDefault="00503727" w:rsidP="00503727">
      <w:pPr>
        <w:tabs>
          <w:tab w:val="left" w:pos="9356"/>
        </w:tabs>
        <w:ind w:left="284" w:right="276" w:firstLine="425"/>
        <w:jc w:val="center"/>
        <w:rPr>
          <w:rFonts w:cs="ArialMT"/>
          <w:sz w:val="22"/>
          <w:szCs w:val="28"/>
          <w:lang w:val="en-US" w:bidi="it-IT"/>
        </w:rPr>
      </w:pPr>
      <w:r w:rsidRPr="00B606FD">
        <w:rPr>
          <w:rFonts w:cs="ArialMT"/>
          <w:sz w:val="22"/>
          <w:szCs w:val="28"/>
          <w:lang w:val="en-US" w:bidi="it-IT"/>
        </w:rPr>
        <w:t>Law is as you know I suppose </w:t>
      </w:r>
    </w:p>
    <w:p w:rsidR="00503727" w:rsidRPr="00B606FD" w:rsidRDefault="00503727" w:rsidP="00503727">
      <w:pPr>
        <w:tabs>
          <w:tab w:val="left" w:pos="9356"/>
        </w:tabs>
        <w:ind w:left="284" w:right="276" w:firstLine="425"/>
        <w:jc w:val="center"/>
        <w:rPr>
          <w:rFonts w:cs="ArialMT"/>
          <w:sz w:val="22"/>
          <w:szCs w:val="28"/>
          <w:lang w:val="en-US" w:bidi="it-IT"/>
        </w:rPr>
      </w:pPr>
      <w:r w:rsidRPr="00B606FD">
        <w:rPr>
          <w:rFonts w:cs="ArialMT"/>
          <w:sz w:val="22"/>
          <w:szCs w:val="28"/>
          <w:lang w:val="en-US" w:bidi="it-IT"/>
        </w:rPr>
        <w:t>Law is but let me explain it once more </w:t>
      </w:r>
    </w:p>
    <w:p w:rsidR="00503727" w:rsidRPr="005D1ACF" w:rsidRDefault="00503727" w:rsidP="00503727">
      <w:pPr>
        <w:tabs>
          <w:tab w:val="left" w:pos="9356"/>
        </w:tabs>
        <w:ind w:left="284" w:right="276" w:firstLine="425"/>
        <w:jc w:val="center"/>
        <w:rPr>
          <w:rFonts w:cs="ArialMT"/>
          <w:sz w:val="22"/>
          <w:szCs w:val="28"/>
          <w:lang w:bidi="it-IT"/>
        </w:rPr>
      </w:pPr>
      <w:r w:rsidRPr="005D1ACF">
        <w:rPr>
          <w:rFonts w:cs="ArialMT"/>
          <w:sz w:val="22"/>
          <w:szCs w:val="28"/>
          <w:lang w:bidi="it-IT"/>
        </w:rPr>
        <w:t>Law is The Law. </w:t>
      </w:r>
    </w:p>
    <w:p w:rsidR="00503727" w:rsidRPr="005D1ACF" w:rsidRDefault="00503727" w:rsidP="00503727">
      <w:pPr>
        <w:tabs>
          <w:tab w:val="left" w:pos="9356"/>
        </w:tabs>
        <w:ind w:left="284" w:right="276" w:firstLine="425"/>
        <w:jc w:val="center"/>
        <w:rPr>
          <w:rFonts w:cs="ArialMT"/>
          <w:sz w:val="22"/>
          <w:szCs w:val="28"/>
          <w:lang w:bidi="it-IT"/>
        </w:rPr>
      </w:pPr>
    </w:p>
    <w:p w:rsidR="00503727" w:rsidRPr="005D1ACF" w:rsidRDefault="00503727" w:rsidP="00503727">
      <w:pPr>
        <w:tabs>
          <w:tab w:val="left" w:pos="9356"/>
        </w:tabs>
        <w:ind w:left="284" w:right="276" w:firstLine="425"/>
        <w:jc w:val="center"/>
        <w:rPr>
          <w:rFonts w:cs="ArialMT"/>
          <w:sz w:val="22"/>
          <w:szCs w:val="28"/>
          <w:lang w:bidi="it-IT"/>
        </w:rPr>
      </w:pPr>
      <w:r w:rsidRPr="005D1ACF">
        <w:rPr>
          <w:rFonts w:cs="ArialMT"/>
          <w:sz w:val="22"/>
          <w:szCs w:val="28"/>
          <w:lang w:bidi="it-IT"/>
        </w:rPr>
        <w:t>La Legge, dice il giudice arricciando il naso,</w:t>
      </w:r>
    </w:p>
    <w:p w:rsidR="00503727" w:rsidRPr="005D1ACF" w:rsidRDefault="00503727" w:rsidP="00503727">
      <w:pPr>
        <w:tabs>
          <w:tab w:val="left" w:pos="9356"/>
        </w:tabs>
        <w:ind w:left="284" w:right="276" w:firstLine="425"/>
        <w:jc w:val="center"/>
        <w:rPr>
          <w:rFonts w:cs="ArialMT"/>
          <w:sz w:val="22"/>
          <w:szCs w:val="28"/>
          <w:lang w:bidi="it-IT"/>
        </w:rPr>
      </w:pPr>
      <w:r w:rsidRPr="005D1ACF">
        <w:rPr>
          <w:rFonts w:cs="ArialMT"/>
          <w:sz w:val="22"/>
          <w:szCs w:val="28"/>
          <w:lang w:bidi="it-IT"/>
        </w:rPr>
        <w:t>parlando in modo chiaro e molto severo</w:t>
      </w:r>
    </w:p>
    <w:p w:rsidR="00503727" w:rsidRPr="005D1ACF" w:rsidRDefault="00503727" w:rsidP="00503727">
      <w:pPr>
        <w:tabs>
          <w:tab w:val="left" w:pos="9356"/>
        </w:tabs>
        <w:ind w:left="284" w:right="276" w:firstLine="425"/>
        <w:jc w:val="center"/>
        <w:rPr>
          <w:rFonts w:cs="ArialMT"/>
          <w:sz w:val="22"/>
          <w:szCs w:val="28"/>
          <w:lang w:bidi="it-IT"/>
        </w:rPr>
      </w:pPr>
      <w:r w:rsidRPr="005D1ACF">
        <w:rPr>
          <w:rFonts w:cs="ArialMT"/>
          <w:sz w:val="22"/>
          <w:szCs w:val="28"/>
          <w:lang w:bidi="it-IT"/>
        </w:rPr>
        <w:t>La Legge è… come vi dicevo</w:t>
      </w:r>
    </w:p>
    <w:p w:rsidR="00503727" w:rsidRPr="005D1ACF" w:rsidRDefault="00503727" w:rsidP="00503727">
      <w:pPr>
        <w:tabs>
          <w:tab w:val="left" w:pos="9356"/>
        </w:tabs>
        <w:ind w:left="284" w:right="276" w:firstLine="425"/>
        <w:jc w:val="center"/>
        <w:rPr>
          <w:rFonts w:cs="ArialMT"/>
          <w:sz w:val="22"/>
          <w:szCs w:val="28"/>
          <w:lang w:bidi="it-IT"/>
        </w:rPr>
      </w:pPr>
      <w:r w:rsidRPr="005D1ACF">
        <w:rPr>
          <w:rFonts w:cs="ArialMT"/>
          <w:sz w:val="22"/>
          <w:szCs w:val="28"/>
          <w:lang w:bidi="it-IT"/>
        </w:rPr>
        <w:t xml:space="preserve">La Legge è… come suppongo voi già sappiate </w:t>
      </w:r>
    </w:p>
    <w:p w:rsidR="00503727" w:rsidRPr="005D1ACF" w:rsidRDefault="00503727" w:rsidP="00503727">
      <w:pPr>
        <w:tabs>
          <w:tab w:val="left" w:pos="9356"/>
        </w:tabs>
        <w:ind w:left="284" w:right="276" w:firstLine="425"/>
        <w:jc w:val="center"/>
        <w:rPr>
          <w:rFonts w:cs="ArialMT"/>
          <w:sz w:val="22"/>
          <w:szCs w:val="28"/>
          <w:lang w:bidi="it-IT"/>
        </w:rPr>
      </w:pPr>
      <w:r w:rsidRPr="005D1ACF">
        <w:rPr>
          <w:rFonts w:cs="ArialMT"/>
          <w:sz w:val="22"/>
          <w:szCs w:val="28"/>
          <w:lang w:bidi="it-IT"/>
        </w:rPr>
        <w:t>La Legge è… lasciate che ve lo spieghi una volta ancora</w:t>
      </w:r>
    </w:p>
    <w:p w:rsidR="00503727" w:rsidRPr="005D1ACF" w:rsidRDefault="00503727" w:rsidP="00503727">
      <w:pPr>
        <w:tabs>
          <w:tab w:val="left" w:pos="9356"/>
        </w:tabs>
        <w:ind w:left="284" w:right="276" w:firstLine="425"/>
        <w:jc w:val="center"/>
        <w:rPr>
          <w:sz w:val="22"/>
        </w:rPr>
      </w:pPr>
      <w:r w:rsidRPr="005D1ACF">
        <w:rPr>
          <w:rFonts w:cs="ArialMT"/>
          <w:sz w:val="22"/>
          <w:szCs w:val="28"/>
          <w:lang w:bidi="it-IT"/>
        </w:rPr>
        <w:t>La Legge è La Legge.</w:t>
      </w:r>
    </w:p>
    <w:p w:rsidR="00503727" w:rsidRPr="005D1ACF" w:rsidRDefault="00503727" w:rsidP="00503727">
      <w:pPr>
        <w:pStyle w:val="Testonotaapidipagina"/>
        <w:tabs>
          <w:tab w:val="left" w:pos="9356"/>
        </w:tabs>
        <w:ind w:left="284" w:right="276" w:firstLine="425"/>
        <w:jc w:val="both"/>
        <w:rPr>
          <w:sz w:val="22"/>
        </w:rPr>
      </w:pPr>
    </w:p>
    <w:p w:rsidR="00503727" w:rsidRPr="005D1ACF" w:rsidRDefault="00503727" w:rsidP="00503727">
      <w:pPr>
        <w:pStyle w:val="Testonotaapidipagina"/>
        <w:tabs>
          <w:tab w:val="left" w:pos="9356"/>
        </w:tabs>
        <w:ind w:left="284" w:right="276" w:firstLine="425"/>
        <w:jc w:val="both"/>
        <w:rPr>
          <w:sz w:val="22"/>
        </w:rPr>
      </w:pPr>
      <w:r w:rsidRPr="005D1ACF">
        <w:rPr>
          <w:sz w:val="22"/>
        </w:rPr>
        <w:t xml:space="preserve">E’ bello osservare come la lirica di Auden sia stata scelta per introdurre una delle più ricche e stimolanti antologie italiane dedicate ai rapporti tra diritto e letteratura. Si parla di quella curata da Michele Marchesiello e Roberto Negro, </w:t>
      </w:r>
      <w:r w:rsidRPr="00074FC2">
        <w:rPr>
          <w:i/>
          <w:sz w:val="22"/>
        </w:rPr>
        <w:t>Il diritto allo specchio della letteratura: materiali di lettura per giuristi e non</w:t>
      </w:r>
      <w:r w:rsidRPr="005D1ACF">
        <w:rPr>
          <w:sz w:val="22"/>
        </w:rPr>
        <w:t>, De Ferrari, Genova 2010, pp. 13 e 14.</w:t>
      </w:r>
    </w:p>
  </w:footnote>
  <w:footnote w:id="13">
    <w:p w:rsidR="00503727" w:rsidRPr="002A7C31" w:rsidRDefault="00503727" w:rsidP="00503727">
      <w:pPr>
        <w:tabs>
          <w:tab w:val="left" w:pos="9356"/>
        </w:tabs>
        <w:ind w:left="284" w:right="276" w:firstLine="425"/>
        <w:jc w:val="both"/>
        <w:rPr>
          <w:sz w:val="22"/>
        </w:rPr>
      </w:pPr>
      <w:r w:rsidRPr="00F83D9B">
        <w:rPr>
          <w:rStyle w:val="Rimandonotaapidipagina"/>
          <w:sz w:val="22"/>
        </w:rPr>
        <w:footnoteRef/>
      </w:r>
      <w:r w:rsidRPr="00F83D9B">
        <w:rPr>
          <w:sz w:val="22"/>
        </w:rPr>
        <w:t xml:space="preserve"> Il versante del sentimento si presta molto a fungere da possibile denominatore comune dell’attività del giurista e di quella del poeta. Entrambi interpretano la realtà secondo i protocolli caratteristici delle relative discipline, nelle quali la coscienza sentimentale gioca, come fatto ermeneutico, un ruolo essenziale. Questo è evidente per la poesia, ma non è meno vero per il diritto, la cui</w:t>
      </w:r>
      <w:r w:rsidRPr="00143094">
        <w:rPr>
          <w:sz w:val="22"/>
        </w:rPr>
        <w:t xml:space="preserve"> vita pratica e la cui realizzazione giurisprudenziale</w:t>
      </w:r>
      <w:r w:rsidRPr="002A7C31">
        <w:rPr>
          <w:sz w:val="22"/>
        </w:rPr>
        <w:t xml:space="preserve"> sono molto influenzate, come è abbastanza ovvio, da scelte sentimentali dei vari operatori. Ai rapporti tra diritto, sua interpretazione ed influssi del sentimento umano, ha dedicato, molti anni fa, un aureo libretto, divenuto presto un classico in materia, Vincenzo Panuccio, uno dei privatisti di riferimento della dottrina italiana della seconda metà del Novecento, avvocato e docente, formatosi alla grande scuola dei giuristi letterati di Salvatore Pugliatti e Angelo Falzea. Si tratta di </w:t>
      </w:r>
      <w:r w:rsidRPr="002A7C31">
        <w:rPr>
          <w:i/>
          <w:sz w:val="22"/>
        </w:rPr>
        <w:t>La fantasia nel diritto</w:t>
      </w:r>
      <w:r w:rsidRPr="002A7C31">
        <w:rPr>
          <w:sz w:val="22"/>
        </w:rPr>
        <w:t xml:space="preserve">, Giuffrè, Milano 1984, divenuto in breve tempo, un </w:t>
      </w:r>
      <w:r w:rsidRPr="002A7C31">
        <w:rPr>
          <w:i/>
          <w:sz w:val="22"/>
        </w:rPr>
        <w:t>cult</w:t>
      </w:r>
      <w:r w:rsidRPr="002A7C31">
        <w:rPr>
          <w:sz w:val="22"/>
        </w:rPr>
        <w:t xml:space="preserve"> tra gli studiosi di teoria dell’interpretazione giuridica.</w:t>
      </w:r>
    </w:p>
    <w:p w:rsidR="00503727" w:rsidRPr="002A7C31" w:rsidRDefault="00503727" w:rsidP="00503727">
      <w:pPr>
        <w:tabs>
          <w:tab w:val="left" w:pos="9356"/>
        </w:tabs>
        <w:ind w:left="284" w:right="276" w:firstLine="425"/>
        <w:jc w:val="both"/>
        <w:rPr>
          <w:sz w:val="22"/>
        </w:rPr>
      </w:pPr>
      <w:r w:rsidRPr="002A7C31">
        <w:rPr>
          <w:sz w:val="22"/>
        </w:rPr>
        <w:t xml:space="preserve">Nell’operetta l’autore, che non faceva mistero di partire da posizioni in qualche modo scettiche circa l’appropriata coniugabilità tra fantasia, sentimento e diritto, finiva, nella propria piacevole disamina storica e teorico-generale, col pervenire alla conclusione opposta, fautrice dell’inevitabilità dei contatti tra la dimensione tecnica e quella sentimentale del diritto. Il diritto, osservava giustamente Panuccio, è una forma di comunicazione di valori, ed il </w:t>
      </w:r>
      <w:r w:rsidRPr="002A7C31">
        <w:rPr>
          <w:i/>
          <w:sz w:val="22"/>
        </w:rPr>
        <w:t>sentimento</w:t>
      </w:r>
      <w:r w:rsidRPr="002A7C31">
        <w:rPr>
          <w:sz w:val="22"/>
        </w:rPr>
        <w:t xml:space="preserve">, della dimensione valoristica è aspetto essenziale, come non ignora la storia della filosofia morale da Max Scheler (1874-1928) in poi, cfr. Vincenzo Panuccio, </w:t>
      </w:r>
      <w:r w:rsidRPr="002A7C31">
        <w:rPr>
          <w:i/>
          <w:sz w:val="22"/>
        </w:rPr>
        <w:t>La fantasia nel diritto</w:t>
      </w:r>
      <w:r w:rsidRPr="002A7C31">
        <w:rPr>
          <w:sz w:val="22"/>
        </w:rPr>
        <w:t xml:space="preserve">, </w:t>
      </w:r>
      <w:r w:rsidRPr="002A7C31">
        <w:rPr>
          <w:i/>
          <w:sz w:val="22"/>
        </w:rPr>
        <w:t>op. sup. cit</w:t>
      </w:r>
      <w:r w:rsidRPr="002A7C31">
        <w:rPr>
          <w:sz w:val="22"/>
        </w:rPr>
        <w:t>., p. 133 e ss.</w:t>
      </w:r>
    </w:p>
    <w:p w:rsidR="00503727" w:rsidRPr="00A82673" w:rsidRDefault="00503727" w:rsidP="00503727">
      <w:pPr>
        <w:tabs>
          <w:tab w:val="left" w:pos="9356"/>
        </w:tabs>
        <w:ind w:left="284" w:right="276" w:firstLine="425"/>
        <w:jc w:val="both"/>
        <w:rPr>
          <w:sz w:val="22"/>
        </w:rPr>
      </w:pPr>
      <w:r w:rsidRPr="002A7C31">
        <w:rPr>
          <w:sz w:val="22"/>
        </w:rPr>
        <w:t xml:space="preserve">Dello stesso autore vedi anche i </w:t>
      </w:r>
      <w:r w:rsidRPr="002A7C31">
        <w:rPr>
          <w:i/>
          <w:sz w:val="22"/>
        </w:rPr>
        <w:t>Saggi di metodologia giuridica</w:t>
      </w:r>
      <w:r w:rsidRPr="002A7C31">
        <w:rPr>
          <w:sz w:val="22"/>
        </w:rPr>
        <w:t xml:space="preserve">, Giuffrè, Milano 1995, p. 205 e ss. Diversi anni dopo le riflessioni di Panuccio, la letteratura giuridica in senso ampio, si è arricchita di un importantissimo contributo più o meno dedicato, ancorché in una prospettiva più ampia di filosofia politica, agli stessi affascinanti temi. Ci si riferisce al giustamente fortunato libro di Martha C. Nussbaum, </w:t>
      </w:r>
      <w:r w:rsidRPr="002A7C31">
        <w:rPr>
          <w:i/>
          <w:sz w:val="22"/>
        </w:rPr>
        <w:t>Il giudizio del poeta. Immaginazione letteraria e vita civile</w:t>
      </w:r>
      <w:r w:rsidRPr="002A7C31">
        <w:rPr>
          <w:sz w:val="22"/>
        </w:rPr>
        <w:t xml:space="preserve">, Feltrinelli, Milano 1996, in cui l’autrice, pensatrice americana assai nota ed autorevole, teorizzatrice di un recupero politico e giuridico del pragmatismo filosofico di Aristotele, si dilungava sulla valutazione dei </w:t>
      </w:r>
      <w:r w:rsidRPr="002A7C31">
        <w:rPr>
          <w:i/>
          <w:sz w:val="22"/>
        </w:rPr>
        <w:t>fatti emozionali</w:t>
      </w:r>
      <w:r w:rsidRPr="002A7C31">
        <w:rPr>
          <w:sz w:val="22"/>
        </w:rPr>
        <w:t xml:space="preserve"> quale componente per niente affatto trascurabile delle decisioni giudiziarie, costruite come vere e proprie narrazioni di fatti di vita che possono essere deliberate anche solo col sentimento e con i perturbamenti che lo determinano, Ciò avviene ad esempio nel caso dei </w:t>
      </w:r>
      <w:r w:rsidRPr="002A7C31">
        <w:rPr>
          <w:i/>
          <w:sz w:val="22"/>
        </w:rPr>
        <w:t>verdetti di giuria</w:t>
      </w:r>
      <w:r w:rsidRPr="002A7C31">
        <w:rPr>
          <w:sz w:val="22"/>
        </w:rPr>
        <w:t xml:space="preserve"> tipici del diritto anglo americano, che possono anche andare palesemente contro la realtà dei fatti (c.d. </w:t>
      </w:r>
      <w:r w:rsidRPr="002A7C31">
        <w:rPr>
          <w:i/>
          <w:sz w:val="22"/>
        </w:rPr>
        <w:t>jury nullification</w:t>
      </w:r>
      <w:r w:rsidRPr="002A7C31">
        <w:rPr>
          <w:sz w:val="22"/>
        </w:rPr>
        <w:t xml:space="preserve">), quando il </w:t>
      </w:r>
      <w:r w:rsidRPr="002A7C31">
        <w:rPr>
          <w:i/>
          <w:sz w:val="22"/>
        </w:rPr>
        <w:t>pathos</w:t>
      </w:r>
      <w:r w:rsidRPr="002A7C31">
        <w:rPr>
          <w:sz w:val="22"/>
        </w:rPr>
        <w:t xml:space="preserve"> dei giurati e la carica passionale sottesa a fatti di impatto particolare induca la giuria, che ha il potere di farlo, ad assolvere (o condannare) </w:t>
      </w:r>
      <w:r w:rsidRPr="002A7C31">
        <w:rPr>
          <w:i/>
          <w:sz w:val="22"/>
        </w:rPr>
        <w:t>contra legem</w:t>
      </w:r>
      <w:r w:rsidRPr="002A7C31">
        <w:rPr>
          <w:sz w:val="22"/>
        </w:rPr>
        <w:t xml:space="preserve"> o </w:t>
      </w:r>
      <w:r w:rsidRPr="002A7C31">
        <w:rPr>
          <w:i/>
          <w:sz w:val="22"/>
        </w:rPr>
        <w:t>contra evidentiam</w:t>
      </w:r>
      <w:r w:rsidRPr="002A7C31">
        <w:rPr>
          <w:sz w:val="22"/>
        </w:rPr>
        <w:t xml:space="preserve">; per queste interessanti notazioni cfr. Lucia Corso, </w:t>
      </w:r>
      <w:r w:rsidRPr="002A7C31">
        <w:rPr>
          <w:i/>
          <w:sz w:val="22"/>
        </w:rPr>
        <w:t>Giustizia senza toga. La giuria e il senso comune</w:t>
      </w:r>
      <w:r w:rsidRPr="002A7C31">
        <w:rPr>
          <w:sz w:val="22"/>
        </w:rPr>
        <w:t xml:space="preserve">, </w:t>
      </w:r>
      <w:r w:rsidRPr="00A82673">
        <w:rPr>
          <w:sz w:val="22"/>
        </w:rPr>
        <w:t>Giappichelli, Torino 2008, pagine 193 e ss., espressamente dedicate al rilievo delle emozioni nei dibattimenti di questo tipo. Nell’edizione in lingua castigliana del libro di Nussbaum - quella consultata a lungo da chi scrive vista l’inspiegabile perdurante assenza, dal mercato, della traduzione italiana, esaurita in poco tempo - il titolo del libro, più fedelmente rispetto all’originale (</w:t>
      </w:r>
      <w:r w:rsidRPr="00A82673">
        <w:rPr>
          <w:i/>
          <w:sz w:val="22"/>
        </w:rPr>
        <w:t>Poetic justice</w:t>
      </w:r>
      <w:r w:rsidRPr="00A82673">
        <w:rPr>
          <w:sz w:val="22"/>
        </w:rPr>
        <w:t xml:space="preserve">), è </w:t>
      </w:r>
      <w:r w:rsidRPr="00A82673">
        <w:rPr>
          <w:i/>
          <w:sz w:val="22"/>
        </w:rPr>
        <w:t>Justicia poetica</w:t>
      </w:r>
      <w:r w:rsidRPr="00A82673">
        <w:rPr>
          <w:sz w:val="22"/>
        </w:rPr>
        <w:t xml:space="preserve"> (Editorial Andres Bello, Santiago de Chile 1997, p. 115 e ss.) e rende meglio l’idea dell’analogia, fortemente sottolineata da Nussbaum secondo i canoni della filosofia aristotelica, dei metodi giudiziari e di quelli dell’ispirazione letteraria: il che non meraviglia affatto, visto che l’estetica e la poetica, esattamente come il diritto, sono plesso privilegiato dell’utile espressione di giudizi indipendenti, emessi con passione e responsabilità da individui liberi, che comunicano tra loro. Finalmente, è giusto dirlo, non molto tempo fa, il volume di Nussbaum è stato riproposto in italiano col suo titolo originale: </w:t>
      </w:r>
      <w:r w:rsidRPr="007C2754">
        <w:rPr>
          <w:i/>
          <w:sz w:val="22"/>
        </w:rPr>
        <w:t>Giustizia poetica. Immaginazione letteraria e vita civile</w:t>
      </w:r>
      <w:r w:rsidRPr="00143094">
        <w:rPr>
          <w:sz w:val="22"/>
        </w:rPr>
        <w:t>, Mimesis, Milano 2012.</w:t>
      </w:r>
    </w:p>
    <w:p w:rsidR="00503727" w:rsidRPr="00A82673" w:rsidRDefault="00503727" w:rsidP="00503727">
      <w:pPr>
        <w:tabs>
          <w:tab w:val="left" w:pos="9356"/>
        </w:tabs>
        <w:ind w:left="284" w:right="276" w:firstLine="425"/>
        <w:jc w:val="both"/>
        <w:rPr>
          <w:sz w:val="22"/>
        </w:rPr>
      </w:pPr>
      <w:r w:rsidRPr="00A82673">
        <w:rPr>
          <w:sz w:val="22"/>
        </w:rPr>
        <w:t xml:space="preserve">E’ assai interessante notare come, sempre in quegli anni, abbia avuto un grandissimo successo di critica e di pubblico, anche in Italia, il romanzo di un’antichista canadese, Margaret Doody - </w:t>
      </w:r>
      <w:r w:rsidRPr="00A82673">
        <w:rPr>
          <w:i/>
          <w:sz w:val="22"/>
        </w:rPr>
        <w:t>Aristotele e la giustizia poetica</w:t>
      </w:r>
      <w:r w:rsidRPr="00A82673">
        <w:rPr>
          <w:sz w:val="22"/>
        </w:rPr>
        <w:t xml:space="preserve">, Sellerio, Palermo 2000 - nella trama del quale Aristotele, nell’insolita veste di investigatore, risolveva un complicato caso di omicidio, esattamente come nelle teorie di Nussbaum, valutando, come fosse un giudice, ogni testimonianza, ogni indizio, ogni resoconto d’indagine in base alle emozioni ed ai turbamenti di sentimento che i fatti destavano nell’osservatore. Analogamente il giurista Adam Podgorecki (1925-1998), a lungo cattedratico in Canada, studioso considerato tra i padri della moderna psicologia del diritto a sfondo sociologico, memore degli insegnamenti realistici del proprio mentore ideale Leon Josifovich Petrazicki (1867-1931), per dimostrare che il ragionamento giuridico è fatto di intuizioni ed emozioni suggerite dalla concretezza della vita reale e dagli stimoli ambientali fu il fortunato creatore, tanti anni fa, di una saga narrativa di circa trenta volumi, molto nota in Nordamerica ed in Canada, il cui protagonista, un giudice cinese dell’antichità chiamato </w:t>
      </w:r>
      <w:r w:rsidRPr="00A82673">
        <w:rPr>
          <w:i/>
          <w:sz w:val="22"/>
        </w:rPr>
        <w:t>Si Tien</w:t>
      </w:r>
      <w:r w:rsidRPr="00A82673">
        <w:rPr>
          <w:sz w:val="22"/>
        </w:rPr>
        <w:t>, era capace di dirimere tutte le più complicate (</w:t>
      </w:r>
      <w:r w:rsidRPr="00A82673">
        <w:rPr>
          <w:i/>
          <w:sz w:val="22"/>
        </w:rPr>
        <w:t>hard cases</w:t>
      </w:r>
      <w:r w:rsidRPr="00A82673">
        <w:rPr>
          <w:sz w:val="22"/>
        </w:rPr>
        <w:t xml:space="preserve">) controversie oggetto del suo Ufficio, facendo largo uso, più che del sillogismo giuridico tradizionale, di strumenti interpretativi, analogici ed intuitivi di fine sensibilità coscienziale. </w:t>
      </w:r>
    </w:p>
  </w:footnote>
  <w:footnote w:id="14">
    <w:p w:rsidR="00503727" w:rsidRPr="00A82673" w:rsidRDefault="00503727" w:rsidP="00503727">
      <w:pPr>
        <w:pStyle w:val="Testonotaapidipagina"/>
        <w:tabs>
          <w:tab w:val="left" w:pos="9356"/>
        </w:tabs>
        <w:ind w:left="284" w:right="276" w:firstLine="425"/>
        <w:jc w:val="both"/>
        <w:rPr>
          <w:sz w:val="22"/>
        </w:rPr>
      </w:pPr>
      <w:r w:rsidRPr="00A82673">
        <w:rPr>
          <w:rStyle w:val="Rimandonotaapidipagina"/>
          <w:sz w:val="22"/>
        </w:rPr>
        <w:footnoteRef/>
      </w:r>
      <w:r w:rsidRPr="00A82673">
        <w:rPr>
          <w:sz w:val="22"/>
        </w:rPr>
        <w:t xml:space="preserve"> </w:t>
      </w:r>
      <w:r w:rsidRPr="00A82673">
        <w:rPr>
          <w:rFonts w:eastAsia="AppleGothic"/>
          <w:sz w:val="22"/>
          <w:lang w:eastAsia="ko-KR"/>
        </w:rPr>
        <w:t xml:space="preserve"> </w:t>
      </w:r>
      <w:r w:rsidRPr="00AE1D50">
        <w:rPr>
          <w:rFonts w:eastAsia="AppleGothic"/>
          <w:i/>
          <w:sz w:val="22"/>
          <w:lang w:eastAsia="ko-KR"/>
        </w:rPr>
        <w:t>Vom Rechte</w:t>
      </w:r>
      <w:r w:rsidRPr="00A82673">
        <w:rPr>
          <w:rFonts w:eastAsia="AppleGothic"/>
          <w:sz w:val="22"/>
          <w:lang w:eastAsia="ko-KR"/>
        </w:rPr>
        <w:t>/</w:t>
      </w:r>
      <w:r w:rsidRPr="00A82673">
        <w:rPr>
          <w:rFonts w:eastAsia="AppleGothic"/>
          <w:i/>
          <w:sz w:val="22"/>
          <w:lang w:eastAsia="ko-KR"/>
        </w:rPr>
        <w:t>Sul Diritto</w:t>
      </w:r>
      <w:r w:rsidRPr="00A82673">
        <w:rPr>
          <w:rFonts w:eastAsia="AppleGothic"/>
          <w:sz w:val="22"/>
          <w:lang w:eastAsia="ko-KR"/>
        </w:rPr>
        <w:t xml:space="preserve">, a cura di Claudia Handl, Edizioni ETS, Pisa 1998. </w:t>
      </w:r>
      <w:r w:rsidRPr="00A82673">
        <w:rPr>
          <w:sz w:val="22"/>
        </w:rPr>
        <w:t xml:space="preserve"> </w:t>
      </w:r>
    </w:p>
  </w:footnote>
  <w:footnote w:id="15">
    <w:p w:rsidR="00503727" w:rsidRPr="00143094" w:rsidRDefault="00503727" w:rsidP="00503727">
      <w:pPr>
        <w:pStyle w:val="Testonotaapidipagina"/>
        <w:tabs>
          <w:tab w:val="left" w:pos="9356"/>
        </w:tabs>
        <w:ind w:left="284" w:right="276" w:firstLine="425"/>
        <w:jc w:val="both"/>
        <w:rPr>
          <w:sz w:val="22"/>
        </w:rPr>
      </w:pPr>
      <w:r w:rsidRPr="00143094">
        <w:rPr>
          <w:rStyle w:val="Rimandonotaapidipagina"/>
          <w:sz w:val="22"/>
        </w:rPr>
        <w:footnoteRef/>
      </w:r>
      <w:r w:rsidRPr="00143094">
        <w:rPr>
          <w:sz w:val="22"/>
        </w:rPr>
        <w:t xml:space="preserve"> Martha C. Nussbaum, </w:t>
      </w:r>
      <w:r w:rsidRPr="00143094">
        <w:rPr>
          <w:i/>
          <w:sz w:val="22"/>
        </w:rPr>
        <w:t>Nascondere l’umanità. Il disgusto, la vergogna, la legge</w:t>
      </w:r>
      <w:r w:rsidRPr="00143094">
        <w:rPr>
          <w:sz w:val="22"/>
        </w:rPr>
        <w:t xml:space="preserve">, Carocci editore, Roma 2005, specie p. 145 e ss. Sul punto, il testo di riferimento di Martha C. Nussbaum resta naturalmente il già citato </w:t>
      </w:r>
      <w:r w:rsidRPr="007C2754">
        <w:rPr>
          <w:i/>
          <w:sz w:val="22"/>
        </w:rPr>
        <w:t>Giustizia poetica. Immaginazione letteraria e vita civile</w:t>
      </w:r>
      <w:r w:rsidRPr="00143094">
        <w:rPr>
          <w:sz w:val="22"/>
        </w:rPr>
        <w:t xml:space="preserve">, Mimesis, Milano 2012, p. 125 e ss. Approfondimenti nel magnifico volume di Donato Carusi - giurista privatista e teorico di ampie vedute e inusuale curiosità - </w:t>
      </w:r>
      <w:r w:rsidRPr="00143094">
        <w:rPr>
          <w:i/>
          <w:sz w:val="22"/>
        </w:rPr>
        <w:t>L’ordine naturale delle cose</w:t>
      </w:r>
      <w:r w:rsidRPr="00143094">
        <w:rPr>
          <w:sz w:val="22"/>
        </w:rPr>
        <w:t xml:space="preserve">, Giappichelli, Torino 2011, p. 244. </w:t>
      </w:r>
    </w:p>
  </w:footnote>
  <w:footnote w:id="16">
    <w:p w:rsidR="00D34104" w:rsidRPr="002A7C31" w:rsidRDefault="00D34104" w:rsidP="00D34104">
      <w:pPr>
        <w:pStyle w:val="Testonotaapidipagina"/>
        <w:ind w:left="284" w:right="276" w:firstLine="567"/>
        <w:jc w:val="both"/>
        <w:rPr>
          <w:sz w:val="22"/>
        </w:rPr>
      </w:pPr>
      <w:r w:rsidRPr="002A7C31">
        <w:rPr>
          <w:rStyle w:val="Rimandonotaapidipagina"/>
          <w:sz w:val="22"/>
        </w:rPr>
        <w:footnoteRef/>
      </w:r>
      <w:r w:rsidRPr="002A7C31">
        <w:rPr>
          <w:sz w:val="22"/>
        </w:rPr>
        <w:t xml:space="preserve"> Vedi Giuliano Marini, </w:t>
      </w:r>
      <w:r w:rsidRPr="002A7C31">
        <w:rPr>
          <w:i/>
          <w:sz w:val="22"/>
        </w:rPr>
        <w:t>Storicità del diritto e dignità dell’uomo</w:t>
      </w:r>
      <w:r w:rsidRPr="002A7C31">
        <w:rPr>
          <w:sz w:val="22"/>
        </w:rPr>
        <w:t xml:space="preserve">, Morano, Napoli 1987, p. 47. Per uno di quei caratteristici ricorsi teoretici che rendono lo studio storico del diritto tanto affascinante, non può non ricordarsi in questa sede come uno dei volumi più densi ed affascinanti di un grande giurista-letterato italiano che pure aveva affrontato da par suo il tema del rapporto tra linguaggio, diritto, poesia e letteratura, si intitoli significativamente </w:t>
      </w:r>
      <w:r w:rsidRPr="002A7C31">
        <w:rPr>
          <w:i/>
          <w:sz w:val="22"/>
        </w:rPr>
        <w:t>Grammatica e diritto</w:t>
      </w:r>
      <w:r w:rsidRPr="002A7C31">
        <w:rPr>
          <w:sz w:val="22"/>
        </w:rPr>
        <w:t xml:space="preserve"> (Giuffrè, Milano 1978). Si tratta della nota raccolta di studi di Salvatore Pugliatti, uno dei più insigni maestri degli studi giuridici italiani dello scorso secolo, che si soffermava ampiamente su questi temi. </w:t>
      </w:r>
    </w:p>
  </w:footnote>
  <w:footnote w:id="17">
    <w:p w:rsidR="00D34104" w:rsidRPr="00A61878" w:rsidRDefault="00D34104" w:rsidP="00D34104">
      <w:pPr>
        <w:pStyle w:val="Testonotaapidipagina"/>
        <w:ind w:left="284" w:right="276" w:firstLine="425"/>
        <w:jc w:val="both"/>
        <w:rPr>
          <w:sz w:val="22"/>
        </w:rPr>
      </w:pPr>
      <w:r w:rsidRPr="00A61878">
        <w:rPr>
          <w:rStyle w:val="Rimandonotaapidipagina"/>
          <w:sz w:val="22"/>
        </w:rPr>
        <w:footnoteRef/>
      </w:r>
      <w:r w:rsidRPr="00A61878">
        <w:rPr>
          <w:sz w:val="22"/>
        </w:rPr>
        <w:t xml:space="preserve"> Cfr. Jerome Bruner, </w:t>
      </w:r>
      <w:r w:rsidRPr="00A61878">
        <w:rPr>
          <w:rFonts w:eastAsia="AppleGothic"/>
          <w:i/>
          <w:sz w:val="22"/>
          <w:lang w:eastAsia="ko-KR"/>
        </w:rPr>
        <w:t>La fabbrica delle storie. Diritto, letteratura, vita</w:t>
      </w:r>
      <w:r w:rsidRPr="00A61878">
        <w:rPr>
          <w:rFonts w:eastAsia="AppleGothic"/>
          <w:sz w:val="22"/>
          <w:lang w:eastAsia="ko-KR"/>
        </w:rPr>
        <w:t xml:space="preserve">, </w:t>
      </w:r>
      <w:r w:rsidRPr="00A61878">
        <w:rPr>
          <w:rFonts w:eastAsia="AppleGothic"/>
          <w:i/>
          <w:sz w:val="22"/>
          <w:lang w:eastAsia="ko-KR"/>
        </w:rPr>
        <w:t>op. sup. cit.</w:t>
      </w:r>
      <w:r w:rsidRPr="00A61878">
        <w:rPr>
          <w:rFonts w:eastAsia="AppleGothic"/>
          <w:sz w:val="22"/>
          <w:lang w:eastAsia="ko-KR"/>
        </w:rPr>
        <w:t>, Laterza, Roma-Bari 2002.</w:t>
      </w:r>
    </w:p>
  </w:footnote>
  <w:footnote w:id="18">
    <w:p w:rsidR="00D34104" w:rsidRPr="00FE5AFE" w:rsidRDefault="00D34104" w:rsidP="00D34104">
      <w:pPr>
        <w:widowControl w:val="0"/>
        <w:autoSpaceDE w:val="0"/>
        <w:autoSpaceDN w:val="0"/>
        <w:adjustRightInd w:val="0"/>
        <w:spacing w:after="120"/>
        <w:ind w:left="284" w:right="276" w:firstLine="425"/>
        <w:jc w:val="both"/>
      </w:pPr>
      <w:r w:rsidRPr="00A61878">
        <w:rPr>
          <w:rStyle w:val="Rimandonotaapidipagina"/>
          <w:sz w:val="22"/>
        </w:rPr>
        <w:footnoteRef/>
      </w:r>
      <w:r w:rsidRPr="00A61878">
        <w:rPr>
          <w:sz w:val="22"/>
        </w:rPr>
        <w:t xml:space="preserve"> Sui segreti, le asperità, la datazione ed i percorsi ermeneutici di quello sconfinato contenitore letterario che sono </w:t>
      </w:r>
      <w:r w:rsidRPr="00A61878">
        <w:rPr>
          <w:i/>
          <w:sz w:val="22"/>
        </w:rPr>
        <w:t>Le Mille e una notte</w:t>
      </w:r>
      <w:r w:rsidRPr="00A61878">
        <w:rPr>
          <w:sz w:val="22"/>
        </w:rPr>
        <w:t xml:space="preserve">, si rimanda sicuramente a Robert Irwin, </w:t>
      </w:r>
      <w:r w:rsidRPr="00A61878">
        <w:rPr>
          <w:i/>
          <w:sz w:val="22"/>
        </w:rPr>
        <w:t>La favolosa storia delle mille e una notte</w:t>
      </w:r>
      <w:r w:rsidRPr="00A61878">
        <w:rPr>
          <w:sz w:val="22"/>
        </w:rPr>
        <w:t xml:space="preserve">, Donzelli editore, Roma 2004. La storia di Shahrazad è nota. </w:t>
      </w:r>
      <w:r w:rsidRPr="00A61878">
        <w:rPr>
          <w:rFonts w:cs="Helvetica"/>
          <w:sz w:val="22"/>
          <w:szCs w:val="26"/>
          <w:lang w:bidi="it-IT"/>
        </w:rPr>
        <w:t xml:space="preserve">Il re di Persia, Shahryar, è dolorosamente tradito da una donna. Convintosi irredimibilmente della perfidia dell’intero genere femminile, decide di consumare ogni notte un rapporto sessuale con una giovane schiava, per poi farla giustiziare dai suoi sottoposti, al sorgere del sole di ciascun nuovo giorno. Shahrazad, figlia maggiore del Gran Visir, decide di offrirsi volontaria per tentare di metter fine all’inutile quanto macabro rituale. Con la sorella minore Dinarzad escogita allora uno stratagemma che si rivelerà fruttuoso. Ammessa nelle stanze intime del sovrano, Shahrazad inizia a raccontare al re una storia affascinante, interrompendola però, sul più bello, al momento del sorgere dell'alba ed inducendo in tal modo l’amante -ascoltatore a rinviare l’esecuzione alla mattina successiva, dopo la fine del racconto. Ciò in effetti avviene, ma la giovinetta, finita la novella lasciata in sospeso, avvia subito una nuova narrazione, interrompendola a metà con le medesime modalità del primo racconto. La giovane in questo modo scampa alla morte e prolunga così lo stratagemma per </w:t>
      </w:r>
      <w:r w:rsidRPr="00A61878">
        <w:rPr>
          <w:rFonts w:cs="Helvetica"/>
          <w:i/>
          <w:sz w:val="22"/>
          <w:szCs w:val="26"/>
          <w:lang w:bidi="it-IT"/>
        </w:rPr>
        <w:t>mille e una notte</w:t>
      </w:r>
      <w:r w:rsidRPr="00A61878">
        <w:rPr>
          <w:rFonts w:cs="Helvetica"/>
          <w:sz w:val="22"/>
          <w:szCs w:val="26"/>
          <w:lang w:bidi="it-IT"/>
        </w:rPr>
        <w:t>, vale a dire per quasi tre anni, al termine dei quali il monarca, totalmente ravvedutosi circa la natura femminea, anzi perdutamente innamorato della scaltra Shahrazad, la sposa, avendone riconosciute le doti di cuore e di spirito.</w:t>
      </w:r>
    </w:p>
  </w:footnote>
  <w:footnote w:id="19">
    <w:p w:rsidR="00D34104" w:rsidRPr="00FE5AFE" w:rsidRDefault="00D34104" w:rsidP="00D34104">
      <w:pPr>
        <w:pStyle w:val="Testonotaapidipagina"/>
        <w:ind w:left="284" w:right="276" w:firstLine="425"/>
        <w:jc w:val="both"/>
        <w:rPr>
          <w:sz w:val="22"/>
        </w:rPr>
      </w:pPr>
      <w:r w:rsidRPr="00FE5AFE">
        <w:rPr>
          <w:rStyle w:val="Rimandonotaapidipagina"/>
          <w:sz w:val="22"/>
        </w:rPr>
        <w:footnoteRef/>
      </w:r>
      <w:r w:rsidRPr="00FE5AFE">
        <w:rPr>
          <w:sz w:val="22"/>
        </w:rPr>
        <w:t xml:space="preserve"> Per spunti si rimanda a Franco Trequadrini, </w:t>
      </w:r>
      <w:r w:rsidRPr="00FE5AFE">
        <w:rPr>
          <w:i/>
          <w:sz w:val="22"/>
        </w:rPr>
        <w:t>La fiaba attraverso le generazioni</w:t>
      </w:r>
      <w:r w:rsidRPr="00FE5AFE">
        <w:rPr>
          <w:sz w:val="22"/>
        </w:rPr>
        <w:t xml:space="preserve">, </w:t>
      </w:r>
      <w:r w:rsidRPr="00FE5AFE">
        <w:rPr>
          <w:i/>
          <w:sz w:val="22"/>
        </w:rPr>
        <w:t>op. sup. cit</w:t>
      </w:r>
      <w:r w:rsidRPr="00FE5AFE">
        <w:rPr>
          <w:sz w:val="22"/>
        </w:rPr>
        <w:t>., p. 11.</w:t>
      </w:r>
    </w:p>
  </w:footnote>
  <w:footnote w:id="20">
    <w:p w:rsidR="00D34104" w:rsidRPr="006A0EE5" w:rsidRDefault="00D34104" w:rsidP="006A0EE5">
      <w:pPr>
        <w:pStyle w:val="Testonotaapidipagina"/>
        <w:ind w:left="284" w:right="276" w:firstLine="425"/>
        <w:jc w:val="both"/>
        <w:rPr>
          <w:sz w:val="22"/>
        </w:rPr>
      </w:pPr>
      <w:r w:rsidRPr="00A86B60">
        <w:rPr>
          <w:rStyle w:val="Rimandonotaapidipagina"/>
          <w:sz w:val="22"/>
        </w:rPr>
        <w:footnoteRef/>
      </w:r>
      <w:r w:rsidRPr="00A86B60">
        <w:rPr>
          <w:sz w:val="22"/>
        </w:rPr>
        <w:t xml:space="preserve"> Il pensiero bruneriano su questi temi è rinvenibile, </w:t>
      </w:r>
      <w:r w:rsidRPr="00A86B60">
        <w:rPr>
          <w:i/>
          <w:sz w:val="22"/>
        </w:rPr>
        <w:t>passim</w:t>
      </w:r>
      <w:r w:rsidRPr="00A86B60">
        <w:rPr>
          <w:sz w:val="22"/>
        </w:rPr>
        <w:t xml:space="preserve">, in Jerome Bruner, </w:t>
      </w:r>
      <w:r w:rsidRPr="00A86B60">
        <w:rPr>
          <w:rFonts w:eastAsia="AppleGothic"/>
          <w:i/>
          <w:sz w:val="22"/>
          <w:lang w:eastAsia="ko-KR"/>
        </w:rPr>
        <w:t>La fabbrica delle storie. Diritto, letteratura, vita</w:t>
      </w:r>
      <w:r w:rsidRPr="00A86B60">
        <w:rPr>
          <w:rFonts w:eastAsia="AppleGothic"/>
          <w:sz w:val="22"/>
          <w:lang w:eastAsia="ko-KR"/>
        </w:rPr>
        <w:t xml:space="preserve">, </w:t>
      </w:r>
      <w:r w:rsidRPr="00A86B60">
        <w:rPr>
          <w:rFonts w:eastAsia="AppleGothic"/>
          <w:i/>
          <w:sz w:val="22"/>
          <w:lang w:eastAsia="ko-KR"/>
        </w:rPr>
        <w:t>op. sup. cit.</w:t>
      </w:r>
      <w:r w:rsidRPr="00A86B60">
        <w:rPr>
          <w:rFonts w:eastAsia="AppleGothic"/>
          <w:sz w:val="22"/>
          <w:lang w:eastAsia="ko-KR"/>
        </w:rPr>
        <w:t>, Laterza, Roma-Bari 2002.</w:t>
      </w:r>
      <w:r w:rsidRPr="00A86B60">
        <w:rPr>
          <w:sz w:val="22"/>
        </w:rPr>
        <w:t xml:space="preserve"> E in Jerome Bruner, </w:t>
      </w:r>
      <w:r w:rsidRPr="00A86B60">
        <w:rPr>
          <w:i/>
          <w:sz w:val="22"/>
        </w:rPr>
        <w:t>La cultura dell’educazione</w:t>
      </w:r>
      <w:r w:rsidRPr="00A86B60">
        <w:rPr>
          <w:sz w:val="22"/>
        </w:rPr>
        <w:t xml:space="preserve">, Feltrinelli, Milano 2001, p. 148 e ss. Una sintesi, sul punto, del pensiero dello studioso americano si trova ancora in Franco Trequadrini, </w:t>
      </w:r>
      <w:r w:rsidRPr="00A86B60">
        <w:rPr>
          <w:i/>
          <w:sz w:val="22"/>
        </w:rPr>
        <w:t>La fiaba attraverso le generazioni</w:t>
      </w:r>
      <w:r w:rsidRPr="00A86B60">
        <w:rPr>
          <w:sz w:val="22"/>
        </w:rPr>
        <w:t xml:space="preserve">, </w:t>
      </w:r>
      <w:r w:rsidRPr="00A86B60">
        <w:rPr>
          <w:i/>
          <w:sz w:val="22"/>
        </w:rPr>
        <w:t>op. sup. cit</w:t>
      </w:r>
      <w:r w:rsidRPr="00A86B60">
        <w:rPr>
          <w:sz w:val="22"/>
        </w:rPr>
        <w:t>., p. 6 e ss.</w:t>
      </w:r>
    </w:p>
  </w:footnote>
  <w:footnote w:id="21">
    <w:p w:rsidR="00D34104" w:rsidRPr="006D1191" w:rsidRDefault="00D34104" w:rsidP="00D34104">
      <w:pPr>
        <w:pStyle w:val="Testonotaapidipagina"/>
        <w:ind w:left="284" w:right="276" w:firstLine="425"/>
        <w:jc w:val="both"/>
        <w:rPr>
          <w:sz w:val="22"/>
        </w:rPr>
      </w:pPr>
      <w:r w:rsidRPr="006D1191">
        <w:rPr>
          <w:rStyle w:val="Rimandonotaapidipagina"/>
          <w:sz w:val="22"/>
        </w:rPr>
        <w:footnoteRef/>
      </w:r>
      <w:r w:rsidRPr="006D1191">
        <w:rPr>
          <w:sz w:val="22"/>
        </w:rPr>
        <w:t xml:space="preserve"> Per queste analisi si rimanda a Renata Borgato, </w:t>
      </w:r>
      <w:r w:rsidRPr="006D1191">
        <w:rPr>
          <w:i/>
          <w:sz w:val="22"/>
        </w:rPr>
        <w:t>La mela avvelenata. La funzione delle fiabe nella trasmissione della cultura di genere</w:t>
      </w:r>
      <w:r w:rsidRPr="006D1191">
        <w:rPr>
          <w:sz w:val="22"/>
        </w:rPr>
        <w:t xml:space="preserve">, Edizioni Ferrari Sinibaldi, Milano 2013, p. 42 e ss. </w:t>
      </w:r>
    </w:p>
  </w:footnote>
  <w:footnote w:id="22">
    <w:p w:rsidR="00D34104" w:rsidRPr="006D1191" w:rsidRDefault="00D34104" w:rsidP="00D34104">
      <w:pPr>
        <w:widowControl w:val="0"/>
        <w:autoSpaceDE w:val="0"/>
        <w:autoSpaceDN w:val="0"/>
        <w:adjustRightInd w:val="0"/>
        <w:spacing w:after="120"/>
        <w:ind w:left="284" w:right="276" w:firstLine="425"/>
        <w:jc w:val="both"/>
        <w:rPr>
          <w:sz w:val="22"/>
        </w:rPr>
      </w:pPr>
      <w:r w:rsidRPr="006D1191">
        <w:rPr>
          <w:rStyle w:val="Rimandonotaapidipagina"/>
          <w:sz w:val="22"/>
        </w:rPr>
        <w:footnoteRef/>
      </w:r>
      <w:r w:rsidRPr="006D1191">
        <w:rPr>
          <w:sz w:val="22"/>
        </w:rPr>
        <w:t xml:space="preserve"> </w:t>
      </w:r>
      <w:r w:rsidRPr="006D1191">
        <w:rPr>
          <w:rFonts w:cs="Helvetica"/>
          <w:sz w:val="22"/>
          <w:szCs w:val="26"/>
          <w:lang w:bidi="it-IT"/>
        </w:rPr>
        <w:t xml:space="preserve">La figura tipica del </w:t>
      </w:r>
      <w:r w:rsidRPr="006D1191">
        <w:rPr>
          <w:rFonts w:cs="Helvetica-Oblique"/>
          <w:i/>
          <w:iCs/>
          <w:sz w:val="22"/>
          <w:szCs w:val="26"/>
          <w:lang w:bidi="it-IT"/>
        </w:rPr>
        <w:t>solicitor</w:t>
      </w:r>
      <w:r w:rsidRPr="006D1191">
        <w:rPr>
          <w:rFonts w:cs="Helvetica"/>
          <w:sz w:val="22"/>
          <w:szCs w:val="26"/>
          <w:lang w:bidi="it-IT"/>
        </w:rPr>
        <w:t xml:space="preserve"> britannico è quella dell'avvocato indipendente che da solo, oppure in società con altri colleghi, svolge la propria attività di consulenza legale in diretto contatto con il cliente. Il solicitor ha competenze nei seguenti campi: negozi relativi alla proprietà terriera, redazione di contratti o di testamenti, amministrazione di eredità. Tuttavia, l'attività più importante che il solicitor svolge è quella di introduzione e preparazione del processo, in nome del proprio mandante; cioè della preparazione della fase </w:t>
      </w:r>
      <w:r w:rsidRPr="006D1191">
        <w:rPr>
          <w:rFonts w:cs="Helvetica-Oblique"/>
          <w:i/>
          <w:iCs/>
          <w:sz w:val="22"/>
          <w:szCs w:val="26"/>
          <w:lang w:bidi="it-IT"/>
        </w:rPr>
        <w:t>discovery</w:t>
      </w:r>
      <w:r w:rsidRPr="006D1191">
        <w:rPr>
          <w:rFonts w:cs="Helvetica"/>
          <w:sz w:val="22"/>
          <w:szCs w:val="26"/>
          <w:lang w:bidi="it-IT"/>
        </w:rPr>
        <w:t xml:space="preserve">, che precede la fase </w:t>
      </w:r>
      <w:r w:rsidRPr="006D1191">
        <w:rPr>
          <w:rFonts w:cs="Helvetica"/>
          <w:i/>
          <w:sz w:val="22"/>
          <w:szCs w:val="26"/>
          <w:lang w:bidi="it-IT"/>
        </w:rPr>
        <w:t>trial</w:t>
      </w:r>
      <w:r w:rsidRPr="006D1191">
        <w:rPr>
          <w:rFonts w:cs="Helvetica"/>
          <w:sz w:val="22"/>
          <w:szCs w:val="26"/>
          <w:lang w:bidi="it-IT"/>
        </w:rPr>
        <w:t>, ossia quella del processo vero e proprio.</w:t>
      </w:r>
    </w:p>
  </w:footnote>
  <w:footnote w:id="23">
    <w:p w:rsidR="00D34104" w:rsidRPr="006D1191" w:rsidRDefault="00D34104" w:rsidP="00D34104">
      <w:pPr>
        <w:pStyle w:val="Testonotaapidipagina"/>
        <w:ind w:left="284" w:right="276" w:firstLine="425"/>
        <w:jc w:val="both"/>
        <w:rPr>
          <w:sz w:val="22"/>
        </w:rPr>
      </w:pPr>
      <w:r w:rsidRPr="006D1191">
        <w:rPr>
          <w:rStyle w:val="Rimandonotaapidipagina"/>
          <w:sz w:val="22"/>
        </w:rPr>
        <w:footnoteRef/>
      </w:r>
      <w:r w:rsidRPr="006D1191">
        <w:rPr>
          <w:sz w:val="22"/>
        </w:rPr>
        <w:t xml:space="preserve"> Inevitabile il rinvio a Enzo Nardi, </w:t>
      </w:r>
      <w:r w:rsidRPr="006D1191">
        <w:rPr>
          <w:i/>
          <w:sz w:val="22"/>
        </w:rPr>
        <w:t>Rabelais e il diritto romano</w:t>
      </w:r>
      <w:r w:rsidRPr="006D1191">
        <w:rPr>
          <w:sz w:val="22"/>
        </w:rPr>
        <w:t>, Giuffrè, Milano 1962.</w:t>
      </w:r>
    </w:p>
  </w:footnote>
  <w:footnote w:id="24">
    <w:p w:rsidR="00D34104" w:rsidRPr="00FB7D56" w:rsidRDefault="00D34104" w:rsidP="00D34104">
      <w:pPr>
        <w:pStyle w:val="Testonotaapidipagina"/>
        <w:ind w:left="284" w:right="276" w:firstLine="425"/>
        <w:jc w:val="both"/>
        <w:rPr>
          <w:sz w:val="22"/>
        </w:rPr>
      </w:pPr>
      <w:r w:rsidRPr="006D1191">
        <w:rPr>
          <w:rStyle w:val="Rimandonotaapidipagina"/>
          <w:sz w:val="22"/>
        </w:rPr>
        <w:footnoteRef/>
      </w:r>
      <w:r w:rsidRPr="006D1191">
        <w:rPr>
          <w:sz w:val="22"/>
        </w:rPr>
        <w:t xml:space="preserve"> Per queste suggestioni vedi Bruno Cavallone, </w:t>
      </w:r>
      <w:r w:rsidRPr="006D1191">
        <w:rPr>
          <w:i/>
          <w:sz w:val="22"/>
        </w:rPr>
        <w:t xml:space="preserve">Comme vous aultres, Messieurs (François </w:t>
      </w:r>
      <w:r w:rsidRPr="009649F6">
        <w:rPr>
          <w:i/>
          <w:sz w:val="22"/>
        </w:rPr>
        <w:t>Rabelais teorico del processo e del giudizio)</w:t>
      </w:r>
      <w:r w:rsidRPr="009649F6">
        <w:rPr>
          <w:sz w:val="22"/>
        </w:rPr>
        <w:t xml:space="preserve">, In </w:t>
      </w:r>
      <w:r w:rsidRPr="009649F6">
        <w:rPr>
          <w:i/>
          <w:sz w:val="22"/>
        </w:rPr>
        <w:t>Rivista di diritto processuale</w:t>
      </w:r>
      <w:r w:rsidRPr="009649F6">
        <w:rPr>
          <w:sz w:val="22"/>
        </w:rPr>
        <w:t xml:space="preserve">, Cedam, Padova, marzo-aprile 2008, pp. 433-440. Il corrispettivo politologico di queste teorie proceduralistiche giudiziarie è rappresentato dall’aspirazione alla riconquista di sempre maggiori spazi di democrazia partecipativa, fatti di coinvolgimento dei cittadini in tutte le scelte, di sviluppo per le libertà individuali e di controllo pregnante dei privati sulle scelte dei pubblici poteri. Pur con tantissime differenze tra loro, il pensiero </w:t>
      </w:r>
      <w:r w:rsidRPr="00FB7D56">
        <w:rPr>
          <w:sz w:val="22"/>
        </w:rPr>
        <w:t>corre a studiosi come Giuseppe Maranini, Bruno Leoni, Feliciano Benvenuti, Francesco Gentile, Federico Spantigati, Pietro Pinna, tutti Maestri del diritto e della teoria giuridica italiana del Novecento.</w:t>
      </w:r>
    </w:p>
  </w:footnote>
  <w:footnote w:id="25">
    <w:p w:rsidR="00D34104" w:rsidRPr="00FB7D56" w:rsidRDefault="00D34104" w:rsidP="00D34104">
      <w:pPr>
        <w:pStyle w:val="Testonotaapidipagina"/>
        <w:ind w:left="284" w:right="276" w:firstLine="425"/>
        <w:jc w:val="both"/>
        <w:rPr>
          <w:sz w:val="22"/>
        </w:rPr>
      </w:pPr>
      <w:r w:rsidRPr="00FB7D56">
        <w:rPr>
          <w:rStyle w:val="Rimandonotaapidipagina"/>
          <w:sz w:val="22"/>
        </w:rPr>
        <w:footnoteRef/>
      </w:r>
      <w:r w:rsidRPr="00FB7D56">
        <w:rPr>
          <w:sz w:val="22"/>
        </w:rPr>
        <w:t xml:space="preserve"> Cfr. </w:t>
      </w:r>
      <w:r w:rsidRPr="00FB7D56">
        <w:rPr>
          <w:i/>
          <w:sz w:val="22"/>
        </w:rPr>
        <w:t>Jean de la Fontaine juriste? Lecture de fables choisies à la lumière du droit</w:t>
      </w:r>
      <w:r w:rsidRPr="00FB7D56">
        <w:rPr>
          <w:sz w:val="22"/>
        </w:rPr>
        <w:t>, Université de Poitiers, Poitiers 2009, con vari inserti monografici, commenti, note e vasta bibliografia ragionata.</w:t>
      </w:r>
    </w:p>
  </w:footnote>
  <w:footnote w:id="26">
    <w:p w:rsidR="00D34104" w:rsidRDefault="00D34104" w:rsidP="00D34104">
      <w:pPr>
        <w:pStyle w:val="Testonotaapidipagina"/>
        <w:ind w:left="284" w:right="276" w:firstLine="425"/>
        <w:jc w:val="both"/>
      </w:pPr>
      <w:r w:rsidRPr="00FB7D56">
        <w:rPr>
          <w:rStyle w:val="Rimandonotaapidipagina"/>
          <w:sz w:val="22"/>
        </w:rPr>
        <w:footnoteRef/>
      </w:r>
      <w:r w:rsidRPr="00FB7D56">
        <w:rPr>
          <w:sz w:val="22"/>
        </w:rPr>
        <w:t xml:space="preserve"> E’ il giudizio di Fanny Népote-Desmarres in </w:t>
      </w:r>
      <w:r w:rsidRPr="00FB7D56">
        <w:rPr>
          <w:i/>
          <w:sz w:val="22"/>
        </w:rPr>
        <w:t>La Fontaine-Fables</w:t>
      </w:r>
      <w:r w:rsidRPr="00FB7D56">
        <w:rPr>
          <w:sz w:val="22"/>
        </w:rPr>
        <w:t>, Collection Etudes littéraires, PUF, Paris 1999, p. 73.</w:t>
      </w:r>
      <w:r>
        <w:t xml:space="preserve"> </w:t>
      </w:r>
    </w:p>
  </w:footnote>
  <w:footnote w:id="27">
    <w:p w:rsidR="00D34104" w:rsidRPr="00DA10F7" w:rsidRDefault="00D34104" w:rsidP="00D34104">
      <w:pPr>
        <w:pStyle w:val="Testonotaapidipagina"/>
        <w:ind w:left="284" w:right="276" w:firstLine="425"/>
        <w:jc w:val="both"/>
        <w:rPr>
          <w:sz w:val="22"/>
        </w:rPr>
      </w:pPr>
      <w:r w:rsidRPr="00D53E12">
        <w:rPr>
          <w:rStyle w:val="Rimandonotaapidipagina"/>
          <w:sz w:val="22"/>
        </w:rPr>
        <w:footnoteRef/>
      </w:r>
      <w:r w:rsidRPr="00D53E12">
        <w:rPr>
          <w:sz w:val="22"/>
        </w:rPr>
        <w:t xml:space="preserve"> Singolare, in proposito, la chiusa della favola: “Magari si facesse ogni processo/come dicon che facciano in Turchia/senza tutta la lunga litania/di spese e ciarle inutili d’adesso… Il riferimento al diritto ottomano non è certo casuale. La Turchia al tempo di La Fontaine era effettivamente additata, nell’immaginario collettivo, come terra dotata di procedure giudiziarie sbrigative e sommarie. Il grande linguista, botanico e viaggiatore </w:t>
      </w:r>
      <w:r w:rsidRPr="00D53E12">
        <w:rPr>
          <w:rFonts w:cs="ArialMT"/>
          <w:color w:val="222222"/>
          <w:sz w:val="22"/>
          <w:szCs w:val="26"/>
          <w:lang w:bidi="it-IT"/>
        </w:rPr>
        <w:t xml:space="preserve">Jean de </w:t>
      </w:r>
      <w:r w:rsidRPr="00D53E12">
        <w:rPr>
          <w:rFonts w:cs="Arial-BoldMT"/>
          <w:bCs/>
          <w:color w:val="222222"/>
          <w:sz w:val="22"/>
          <w:szCs w:val="26"/>
          <w:lang w:bidi="it-IT"/>
        </w:rPr>
        <w:t>Thévenot</w:t>
      </w:r>
      <w:r w:rsidRPr="00D53E12">
        <w:rPr>
          <w:rFonts w:cs="ArialMT"/>
          <w:color w:val="222222"/>
          <w:sz w:val="22"/>
          <w:szCs w:val="26"/>
          <w:lang w:bidi="it-IT"/>
        </w:rPr>
        <w:t xml:space="preserve">, in </w:t>
      </w:r>
      <w:r w:rsidRPr="00D53E12">
        <w:rPr>
          <w:rFonts w:cs="ArialMT"/>
          <w:i/>
          <w:color w:val="222222"/>
          <w:sz w:val="22"/>
          <w:szCs w:val="26"/>
          <w:lang w:bidi="it-IT"/>
        </w:rPr>
        <w:t xml:space="preserve">Relation d'un </w:t>
      </w:r>
      <w:r w:rsidRPr="00D53E12">
        <w:rPr>
          <w:rFonts w:cs="Arial-BoldMT"/>
          <w:bCs/>
          <w:i/>
          <w:color w:val="222222"/>
          <w:sz w:val="22"/>
          <w:szCs w:val="26"/>
          <w:lang w:bidi="it-IT"/>
        </w:rPr>
        <w:t>voyage fait au Levant</w:t>
      </w:r>
      <w:r w:rsidRPr="00D53E12">
        <w:rPr>
          <w:rFonts w:cs="ArialMT"/>
          <w:color w:val="222222"/>
          <w:sz w:val="22"/>
          <w:szCs w:val="26"/>
          <w:lang w:bidi="it-IT"/>
        </w:rPr>
        <w:t xml:space="preserve"> del 1664, descriveva i casi, in quel paese, di processi penali sommari, immediatamente seguiti dall’esecuzione della pena capitale o corporale, senza garanzie o gravami di sorta. L’argomento delle lungaggini processuali era comunque molto vivo nella Francia del re Sole. Luigi XIV</w:t>
      </w:r>
      <w:r w:rsidRPr="00D53E12">
        <w:rPr>
          <w:sz w:val="22"/>
        </w:rPr>
        <w:t xml:space="preserve"> nella propria opera di Legislatore aveva favorito lo studio e l’emanazione di tre testi decisivi in chiave semplificatoria del diritto processuale generale francese: l’</w:t>
      </w:r>
      <w:r w:rsidRPr="00D53E12">
        <w:rPr>
          <w:i/>
          <w:sz w:val="22"/>
        </w:rPr>
        <w:t xml:space="preserve">Ordonnance civile touchant la réformation </w:t>
      </w:r>
      <w:r w:rsidRPr="00DA10F7">
        <w:rPr>
          <w:i/>
          <w:sz w:val="22"/>
        </w:rPr>
        <w:t>de la justice</w:t>
      </w:r>
      <w:r w:rsidRPr="00DA10F7">
        <w:rPr>
          <w:sz w:val="22"/>
        </w:rPr>
        <w:t xml:space="preserve"> (1667), l’</w:t>
      </w:r>
      <w:r w:rsidRPr="00DA10F7">
        <w:rPr>
          <w:i/>
          <w:sz w:val="22"/>
        </w:rPr>
        <w:t>Ordonnance criminelle</w:t>
      </w:r>
      <w:r w:rsidRPr="00DA10F7">
        <w:rPr>
          <w:sz w:val="22"/>
        </w:rPr>
        <w:t xml:space="preserve"> (1670) e l’</w:t>
      </w:r>
      <w:r w:rsidRPr="00DA10F7">
        <w:rPr>
          <w:i/>
          <w:sz w:val="22"/>
        </w:rPr>
        <w:t>Ordonnance du commerce</w:t>
      </w:r>
      <w:r w:rsidRPr="00DA10F7">
        <w:rPr>
          <w:sz w:val="22"/>
        </w:rPr>
        <w:t xml:space="preserve"> (1673).</w:t>
      </w:r>
    </w:p>
  </w:footnote>
  <w:footnote w:id="28">
    <w:p w:rsidR="00D34104" w:rsidRPr="00EF5AD2" w:rsidRDefault="00D34104" w:rsidP="00D34104">
      <w:pPr>
        <w:pStyle w:val="Testonotaapidipagina"/>
        <w:ind w:left="284" w:right="276" w:firstLine="425"/>
        <w:jc w:val="both"/>
        <w:rPr>
          <w:sz w:val="22"/>
        </w:rPr>
      </w:pPr>
      <w:r w:rsidRPr="00DA10F7">
        <w:rPr>
          <w:rStyle w:val="Rimandonotaapidipagina"/>
          <w:sz w:val="22"/>
        </w:rPr>
        <w:footnoteRef/>
      </w:r>
      <w:r w:rsidRPr="00DA10F7">
        <w:rPr>
          <w:sz w:val="22"/>
        </w:rPr>
        <w:t xml:space="preserve"> Questa favola di disillusione giuridica tratta il tema, caratteristico della vulgata universale, della cupidigia dei professionisti pratici – avvocati, giudici e procuratori – del diritto. Anche Rabelais, della cui dimestichezza con l’universo giuridico già si è detto nel testo, nel </w:t>
      </w:r>
      <w:r w:rsidRPr="00DA10F7">
        <w:rPr>
          <w:i/>
          <w:sz w:val="22"/>
        </w:rPr>
        <w:t>Gargantua e Pantagruele</w:t>
      </w:r>
      <w:r w:rsidRPr="00DA10F7">
        <w:rPr>
          <w:sz w:val="22"/>
        </w:rPr>
        <w:t>, aveva preso di mira gli insaziabili appetiti materiali di questi professionisti. Nel suo immortale romanzo fiabesco lo scrittore francese, nell’ambito dell’articolata narrazione, aveva fatto sbarcare il gigante Pantagruele nell’</w:t>
      </w:r>
      <w:r w:rsidRPr="00DA10F7">
        <w:rPr>
          <w:i/>
          <w:sz w:val="22"/>
        </w:rPr>
        <w:t>isola di Cassade</w:t>
      </w:r>
      <w:r w:rsidRPr="00DA10F7">
        <w:rPr>
          <w:sz w:val="22"/>
        </w:rPr>
        <w:t xml:space="preserve">, significamene collocata, geograficamente, agli antipodi dell’isola di </w:t>
      </w:r>
      <w:r w:rsidRPr="00DA10F7">
        <w:rPr>
          <w:i/>
          <w:sz w:val="22"/>
        </w:rPr>
        <w:t>Utopia</w:t>
      </w:r>
      <w:r w:rsidRPr="00DA10F7">
        <w:rPr>
          <w:sz w:val="22"/>
        </w:rPr>
        <w:t xml:space="preserve"> di Tommaso Moro nella quale non erano ammissibili processi trattati da avvocati cavillosi e </w:t>
      </w:r>
      <w:r w:rsidRPr="00EF5AD2">
        <w:rPr>
          <w:sz w:val="22"/>
        </w:rPr>
        <w:t>approfittatori. Su</w:t>
      </w:r>
      <w:r w:rsidRPr="00EF5AD2">
        <w:rPr>
          <w:i/>
          <w:sz w:val="22"/>
        </w:rPr>
        <w:t xml:space="preserve"> Cassade</w:t>
      </w:r>
      <w:r w:rsidRPr="00EF5AD2">
        <w:rPr>
          <w:sz w:val="22"/>
        </w:rPr>
        <w:t xml:space="preserve">, invece, i legulei avevano artigli tanto forti e acuminati da arraffare ogni cosa cadesse nel loro raggio d’azione e sedevano, per giudicare, dentro </w:t>
      </w:r>
      <w:r w:rsidRPr="00EF5AD2">
        <w:rPr>
          <w:i/>
          <w:sz w:val="22"/>
        </w:rPr>
        <w:t>grandi mangiatoie</w:t>
      </w:r>
      <w:r w:rsidRPr="00EF5AD2">
        <w:rPr>
          <w:sz w:val="22"/>
        </w:rPr>
        <w:t xml:space="preserve"> che simboleggiavano i loro incoercibili appetiti. </w:t>
      </w:r>
    </w:p>
    <w:p w:rsidR="00D34104" w:rsidRPr="00EF5AD2" w:rsidRDefault="00D34104" w:rsidP="00D34104">
      <w:pPr>
        <w:pStyle w:val="Testonotaapidipagina"/>
        <w:ind w:left="284" w:right="276" w:firstLine="425"/>
        <w:jc w:val="both"/>
        <w:rPr>
          <w:sz w:val="22"/>
        </w:rPr>
      </w:pPr>
      <w:r w:rsidRPr="00EF5AD2">
        <w:rPr>
          <w:rFonts w:cs="ArialMT"/>
          <w:sz w:val="22"/>
          <w:szCs w:val="26"/>
          <w:lang w:bidi="it-IT"/>
        </w:rPr>
        <w:t xml:space="preserve">Sulla stessa isola inoltre Pantagruele poteva osservare vascelli carichi di selvaggina e spezie arrivati da ogni parte della terra. Stupito, l’ingenuo gigante non faceva che chiedere agli indigeni chi fossero i beneficiari di tali e tante prelibatezze. Quel cibo, si sentiva immancabilmente rispondere, </w:t>
      </w:r>
      <w:r w:rsidRPr="00EF5AD2">
        <w:rPr>
          <w:rFonts w:cs="ArialMT"/>
          <w:i/>
          <w:sz w:val="22"/>
          <w:szCs w:val="26"/>
          <w:lang w:bidi="it-IT"/>
        </w:rPr>
        <w:t>noi lo chiamiamo corruzione</w:t>
      </w:r>
      <w:r w:rsidRPr="00EF5AD2">
        <w:rPr>
          <w:rFonts w:cs="ArialMT"/>
          <w:sz w:val="22"/>
          <w:szCs w:val="26"/>
          <w:lang w:bidi="it-IT"/>
        </w:rPr>
        <w:t xml:space="preserve"> e serve per foraggiare i giudici e i loro aiutanti. L’importazione di selvaggina sull’isola di Cassade, oltre a corrispondere a pieno allo stereotipo popolare della giustizia come luogo dell’abuso e del malaffare, possiede però anche una sua sostanziale verità. La selvaggina dell’isola non svolge infatti solo un ruolo di metafora astratta dell’avidità di magistrati e avvocati, ma mette altresì in evidenza quanto certe prelibatezze gastronomiche – </w:t>
      </w:r>
      <w:r w:rsidRPr="00EF5AD2">
        <w:rPr>
          <w:rFonts w:cs="ArialMT"/>
          <w:i/>
          <w:sz w:val="22"/>
          <w:szCs w:val="26"/>
          <w:lang w:bidi="it-IT"/>
        </w:rPr>
        <w:t>in particolare spezie e droghe</w:t>
      </w:r>
      <w:r w:rsidRPr="00EF5AD2">
        <w:rPr>
          <w:rFonts w:cs="ArialMT"/>
          <w:sz w:val="22"/>
          <w:szCs w:val="26"/>
          <w:lang w:bidi="it-IT"/>
        </w:rPr>
        <w:t xml:space="preserve"> – fossero, nei secoli passati, tributi speciali e spesso assolutamente comuni e non ammantati di malizia alcuna, indispensabili a far funzionare gli ingranaggi della giustizia. Nella Francia di Rabelais, di La Fontaine e in parte di Perrault, i giuristi favolisti di cui ci stiamo occupando in questa lezione, erano proprio le </w:t>
      </w:r>
      <w:r w:rsidRPr="00EF5AD2">
        <w:rPr>
          <w:rFonts w:cs="ArialMT"/>
          <w:i/>
          <w:sz w:val="22"/>
          <w:szCs w:val="26"/>
          <w:lang w:bidi="it-IT"/>
        </w:rPr>
        <w:t>spezie</w:t>
      </w:r>
      <w:r w:rsidRPr="00EF5AD2">
        <w:rPr>
          <w:rFonts w:cs="ArialMT"/>
          <w:sz w:val="22"/>
          <w:szCs w:val="26"/>
          <w:lang w:bidi="it-IT"/>
        </w:rPr>
        <w:t xml:space="preserve">, accanto alla </w:t>
      </w:r>
      <w:r w:rsidRPr="00EF5AD2">
        <w:rPr>
          <w:rFonts w:cs="ArialMT"/>
          <w:i/>
          <w:sz w:val="22"/>
          <w:szCs w:val="26"/>
          <w:lang w:bidi="it-IT"/>
        </w:rPr>
        <w:t>cacciagione</w:t>
      </w:r>
      <w:r w:rsidRPr="00EF5AD2">
        <w:rPr>
          <w:rFonts w:cs="ArialMT"/>
          <w:sz w:val="22"/>
          <w:szCs w:val="26"/>
          <w:lang w:bidi="it-IT"/>
        </w:rPr>
        <w:t xml:space="preserve">, a rappresentare il compenso più usuale per servigi e favori resi dall’avvocato o dal giudice, al punto che il termine stesso di </w:t>
      </w:r>
      <w:r w:rsidRPr="00EF5AD2">
        <w:rPr>
          <w:rFonts w:cs="ArialMT"/>
          <w:i/>
          <w:sz w:val="22"/>
          <w:szCs w:val="26"/>
          <w:lang w:bidi="it-IT"/>
        </w:rPr>
        <w:t>épices</w:t>
      </w:r>
      <w:r w:rsidRPr="00EF5AD2">
        <w:rPr>
          <w:rFonts w:cs="ArialMT"/>
          <w:sz w:val="22"/>
          <w:szCs w:val="26"/>
          <w:lang w:bidi="it-IT"/>
        </w:rPr>
        <w:t xml:space="preserve"> (spezie) finì poi per designare, in tono quasi sempre denigratorio, le venalità e le ruberie tipiche degli uomini di legge. Ai giudici, d’altronde, la legge non consentiva di accettare altri doni all’infuori di quelli commestibili. Forse anche per questa ragione, in numerose caricature dell’epoca il mondo del diritto e dei suoi protagonisti è rappresentato come strettamente legato alle funzioni digestive e basiche dell’organismo.</w:t>
      </w:r>
    </w:p>
    <w:p w:rsidR="00D34104" w:rsidRPr="00EF5AD2" w:rsidRDefault="00D34104" w:rsidP="00D34104">
      <w:pPr>
        <w:pStyle w:val="Testonotaapidipagina"/>
        <w:ind w:left="284" w:right="276" w:firstLine="425"/>
        <w:jc w:val="both"/>
        <w:rPr>
          <w:sz w:val="22"/>
        </w:rPr>
      </w:pPr>
      <w:r w:rsidRPr="00EF5AD2">
        <w:rPr>
          <w:sz w:val="22"/>
        </w:rPr>
        <w:t xml:space="preserve">A sorpresa il medesimo tema della </w:t>
      </w:r>
      <w:r w:rsidRPr="00EF5AD2">
        <w:rPr>
          <w:i/>
          <w:sz w:val="22"/>
        </w:rPr>
        <w:t>fame giudiziaria</w:t>
      </w:r>
      <w:r w:rsidRPr="00EF5AD2">
        <w:rPr>
          <w:sz w:val="22"/>
        </w:rPr>
        <w:t xml:space="preserve">, per così dire, è trattato, favolisticamente, anche nel </w:t>
      </w:r>
      <w:r w:rsidRPr="00EF5AD2">
        <w:rPr>
          <w:i/>
          <w:sz w:val="22"/>
        </w:rPr>
        <w:t>Pancatantra</w:t>
      </w:r>
      <w:r w:rsidRPr="00EF5AD2">
        <w:rPr>
          <w:sz w:val="22"/>
        </w:rPr>
        <w:t xml:space="preserve">, la raccolta di novelle indiane, in lingua sanscrita, composta in un arco di tempo databile, con poca certezza, tra il II secolo a.C. ed il VII secolo d.C. Mai come in questo caso, si vede, tutto il mondo è paese. Sul tema della percezione fiabistica delle condotte di avvocati e giudici nel secolo XVII è splendido il dottissimo contributo di Stefano Bolla, giurista e storico ticinese, </w:t>
      </w:r>
      <w:r w:rsidRPr="00EF5AD2">
        <w:rPr>
          <w:i/>
          <w:sz w:val="22"/>
        </w:rPr>
        <w:t>L’avvocato con gli stivali. L’immagine popolare dell’avvocato e la fiaba di Charles Perrault</w:t>
      </w:r>
      <w:r w:rsidRPr="00EF5AD2">
        <w:rPr>
          <w:sz w:val="22"/>
        </w:rPr>
        <w:t xml:space="preserve">, Casagrande, Bellinzona 2008.  </w:t>
      </w:r>
    </w:p>
  </w:footnote>
  <w:footnote w:id="29">
    <w:p w:rsidR="00D34104" w:rsidRPr="00E32E2A" w:rsidRDefault="00D34104" w:rsidP="00D34104">
      <w:pPr>
        <w:pStyle w:val="Testonotaapidipagina"/>
        <w:ind w:left="284" w:right="276" w:firstLine="425"/>
        <w:jc w:val="both"/>
        <w:rPr>
          <w:sz w:val="22"/>
        </w:rPr>
      </w:pPr>
      <w:r w:rsidRPr="00EF5AD2">
        <w:rPr>
          <w:rStyle w:val="Rimandonotaapidipagina"/>
          <w:sz w:val="22"/>
        </w:rPr>
        <w:footnoteRef/>
      </w:r>
      <w:r w:rsidRPr="00EF5AD2">
        <w:rPr>
          <w:sz w:val="22"/>
        </w:rPr>
        <w:t xml:space="preserve"> Su queste attività di Perrault e, più in generale, sui complessi rapporti dello scrittore col </w:t>
      </w:r>
      <w:r w:rsidRPr="00EF5AD2">
        <w:rPr>
          <w:i/>
          <w:sz w:val="22"/>
        </w:rPr>
        <w:t>colbertismo</w:t>
      </w:r>
      <w:r w:rsidRPr="00EF5AD2">
        <w:rPr>
          <w:sz w:val="22"/>
        </w:rPr>
        <w:t xml:space="preserve"> e con la vita di corte, si veda Marc Soriano, </w:t>
      </w:r>
      <w:r w:rsidRPr="00EF5AD2">
        <w:rPr>
          <w:i/>
          <w:sz w:val="22"/>
        </w:rPr>
        <w:t xml:space="preserve">I racconti di Perrault. Letteratura e </w:t>
      </w:r>
      <w:r w:rsidRPr="00E32E2A">
        <w:rPr>
          <w:i/>
          <w:sz w:val="22"/>
        </w:rPr>
        <w:t>tradizione orale</w:t>
      </w:r>
      <w:r w:rsidRPr="00E32E2A">
        <w:rPr>
          <w:sz w:val="22"/>
        </w:rPr>
        <w:t xml:space="preserve">, Sellerio, Palermo 2000. </w:t>
      </w:r>
    </w:p>
  </w:footnote>
  <w:footnote w:id="30">
    <w:p w:rsidR="00D34104" w:rsidRPr="00EF5AD2" w:rsidRDefault="00D34104" w:rsidP="00D34104">
      <w:pPr>
        <w:pStyle w:val="Testonotaapidipagina"/>
        <w:ind w:left="284" w:right="276" w:firstLine="425"/>
        <w:jc w:val="both"/>
        <w:rPr>
          <w:sz w:val="22"/>
        </w:rPr>
      </w:pPr>
      <w:r>
        <w:rPr>
          <w:rStyle w:val="Rimandonotaapidipagina"/>
        </w:rPr>
        <w:footnoteRef/>
      </w:r>
      <w:r>
        <w:t xml:space="preserve"> Stefano Bolla, </w:t>
      </w:r>
      <w:r w:rsidRPr="00EF5AD2">
        <w:rPr>
          <w:i/>
          <w:sz w:val="22"/>
        </w:rPr>
        <w:t>L’avvocato con gli stivali. L’immagine popolare dell’avvocato e la fiaba di Charles Perrault</w:t>
      </w:r>
      <w:r w:rsidRPr="00EF5AD2">
        <w:rPr>
          <w:sz w:val="22"/>
        </w:rPr>
        <w:t xml:space="preserve">, </w:t>
      </w:r>
      <w:r w:rsidRPr="00315C5C">
        <w:rPr>
          <w:i/>
          <w:sz w:val="22"/>
        </w:rPr>
        <w:t>op. sup. cit</w:t>
      </w:r>
      <w:r w:rsidRPr="00EF5AD2">
        <w:rPr>
          <w:sz w:val="22"/>
        </w:rPr>
        <w:t xml:space="preserve">., Casagrande, Bellinzona 2008.  </w:t>
      </w:r>
    </w:p>
    <w:p w:rsidR="00D34104" w:rsidRDefault="00D34104" w:rsidP="00D34104">
      <w:pPr>
        <w:pStyle w:val="Testonotaapidipagina"/>
      </w:pPr>
    </w:p>
  </w:footnote>
  <w:footnote w:id="31">
    <w:p w:rsidR="00D34104" w:rsidRPr="00501471" w:rsidRDefault="00D34104" w:rsidP="00D34104">
      <w:pPr>
        <w:pStyle w:val="Testonotaapidipagina"/>
        <w:ind w:left="284" w:right="276" w:firstLine="425"/>
        <w:jc w:val="both"/>
        <w:rPr>
          <w:sz w:val="22"/>
        </w:rPr>
      </w:pPr>
      <w:r w:rsidRPr="00501471">
        <w:rPr>
          <w:rStyle w:val="Rimandonotaapidipagina"/>
          <w:sz w:val="22"/>
        </w:rPr>
        <w:footnoteRef/>
      </w:r>
      <w:r w:rsidRPr="00501471">
        <w:rPr>
          <w:sz w:val="22"/>
        </w:rPr>
        <w:t xml:space="preserve"> Si tratta di un vero classico della favolistica universale. Lo schema è sempre lo stesso. La morte, con la trasmissione ai vivi degli averi del defunto, apre una situazione di contrasto che rischia di coinvolgere i superstiti in lunghe e costosissime procedure giudiziarie. Patroni e legulei di ogni sorta sono famelicamente all’erta…I contendenti allora, sull’orlo del precipizio tribunalesco, rinsaviti appena in tempo, riescono trovare un buon accordo piuttosto che mettersi nelle mani degli uomini in toga; cfr. Stefano Bolla, </w:t>
      </w:r>
      <w:r w:rsidRPr="00501471">
        <w:rPr>
          <w:i/>
          <w:sz w:val="22"/>
        </w:rPr>
        <w:t>L’avvocato con gli stivali. L’immagine popolare dell’avvocato e la fiaba di Charles Perrault</w:t>
      </w:r>
      <w:r w:rsidRPr="00501471">
        <w:rPr>
          <w:sz w:val="22"/>
        </w:rPr>
        <w:t xml:space="preserve">, </w:t>
      </w:r>
      <w:r w:rsidRPr="00501471">
        <w:rPr>
          <w:i/>
          <w:sz w:val="22"/>
        </w:rPr>
        <w:t>op. sup. cit</w:t>
      </w:r>
      <w:r w:rsidRPr="00501471">
        <w:rPr>
          <w:sz w:val="22"/>
        </w:rPr>
        <w:t>., p. 17, con citazioni di fiabe e racconti ticinesi sull’argomento.</w:t>
      </w:r>
    </w:p>
  </w:footnote>
  <w:footnote w:id="32">
    <w:p w:rsidR="00D34104" w:rsidRPr="00932A7F" w:rsidRDefault="00D34104" w:rsidP="00D34104">
      <w:pPr>
        <w:pStyle w:val="Testonotaapidipagina"/>
        <w:ind w:left="284" w:right="276" w:firstLine="425"/>
        <w:jc w:val="both"/>
        <w:rPr>
          <w:sz w:val="22"/>
        </w:rPr>
      </w:pPr>
      <w:r>
        <w:rPr>
          <w:rStyle w:val="Rimandonotaapidipagina"/>
        </w:rPr>
        <w:footnoteRef/>
      </w:r>
      <w:r>
        <w:t xml:space="preserve"> </w:t>
      </w:r>
      <w:r w:rsidRPr="0073415A">
        <w:rPr>
          <w:rFonts w:cs="Helvetica"/>
          <w:sz w:val="22"/>
          <w:szCs w:val="26"/>
          <w:lang w:bidi="it-IT"/>
        </w:rPr>
        <w:t xml:space="preserve">In Russia la servitù della gleba cominciò ad affermarsi nel 1601, quando lo Czar Boris Godunov limitò la libertà di movimento dei contadini. Già nel 1606, durante il regno di Ivan Isaevich Bolotnikov, vi era stata una grande sommossa contadina contro questo residuo medievale. Fu solamente con Pietro il Grande che, nel 1723, si giunse ad una normativa legale della servitù della gleba, basata prevalentemente su modelli occidentali. La situazione dei contadini russi divenne ancora più pesante con Caterina II di Russia, nel tardo XVIII secolo, quando le condizioni dei servi della gleba vennero inasprite. L’istituto venne abolito soltanto nel 1861, dallo Czar riformatore Alessandro II Romanov. Spesso all’abrogazione dell’odiosa limitazione non corrispose affatto, tuttavia, maggiore </w:t>
      </w:r>
      <w:r w:rsidRPr="00A4104F">
        <w:rPr>
          <w:rFonts w:cs="Helvetica"/>
          <w:sz w:val="22"/>
          <w:szCs w:val="26"/>
          <w:lang w:bidi="it-IT"/>
        </w:rPr>
        <w:t xml:space="preserve">libertà per i contadini, quanto piuttosto una maggiore dipendenza economica dai proprietari-padroni. Questa situazione non venne compiutamente risolta fino alla rivoluzione bolscevica dell’ottobre del </w:t>
      </w:r>
      <w:r w:rsidRPr="00932A7F">
        <w:rPr>
          <w:rFonts w:cs="Helvetica"/>
          <w:sz w:val="22"/>
          <w:szCs w:val="26"/>
          <w:lang w:bidi="it-IT"/>
        </w:rPr>
        <w:t xml:space="preserve">1917, e ne contribuì al successo. Si conta che, in quei frangenti, più di 48 milioni di ex servi della gleba confluirono sotto le insegne della nascente Armata Rossa. </w:t>
      </w:r>
    </w:p>
  </w:footnote>
  <w:footnote w:id="33">
    <w:p w:rsidR="00D34104" w:rsidRPr="00F30893" w:rsidRDefault="00D34104" w:rsidP="00D34104">
      <w:pPr>
        <w:pStyle w:val="Testonotaapidipagina"/>
        <w:ind w:left="284" w:right="276" w:firstLine="425"/>
        <w:jc w:val="both"/>
        <w:rPr>
          <w:rFonts w:cs="Helvetica"/>
          <w:sz w:val="22"/>
          <w:szCs w:val="26"/>
          <w:lang w:bidi="it-IT"/>
        </w:rPr>
      </w:pPr>
      <w:r w:rsidRPr="00932A7F">
        <w:rPr>
          <w:rStyle w:val="Rimandonotaapidipagina"/>
          <w:sz w:val="22"/>
        </w:rPr>
        <w:footnoteRef/>
      </w:r>
      <w:r w:rsidRPr="00932A7F">
        <w:rPr>
          <w:sz w:val="22"/>
        </w:rPr>
        <w:t xml:space="preserve"> Il tema dell’oralità nella trasmissione del racconto slavo ci porterebbe molto lontano. Esso meriterebbe sicuramente un’intera autonoma trattazione. Alcuni cenni per rendere l’idea vanno tuttavia fatti, anche solo per introdurre alla ricchezza della materia. Le cronache russe medievali tramandano come fin dal XII secolo fosse usuale preso le ricche corti di nobili e signorotti locali la presenza di servi abili nel racconto orale, il cui unico scopo fosse quello di indurre il riposo in ricchi dignitari particolarmente soggetti ad insonnia. Le lingue slave hanno sempre designato questi raccontatori di fiabe come </w:t>
      </w:r>
      <w:r w:rsidRPr="00782B1B">
        <w:rPr>
          <w:i/>
          <w:sz w:val="22"/>
        </w:rPr>
        <w:t>guslar</w:t>
      </w:r>
      <w:r w:rsidRPr="00932A7F">
        <w:rPr>
          <w:sz w:val="22"/>
        </w:rPr>
        <w:t xml:space="preserve">, visto che quasi tutti accompagnavano le proprie </w:t>
      </w:r>
      <w:r w:rsidRPr="00782B1B">
        <w:rPr>
          <w:i/>
          <w:sz w:val="22"/>
        </w:rPr>
        <w:t>performance</w:t>
      </w:r>
      <w:r w:rsidRPr="00932A7F">
        <w:rPr>
          <w:sz w:val="22"/>
        </w:rPr>
        <w:t xml:space="preserve"> col suono di una maneggevole arpa portatile chiamata appunto </w:t>
      </w:r>
      <w:r w:rsidRPr="00782B1B">
        <w:rPr>
          <w:i/>
          <w:sz w:val="22"/>
        </w:rPr>
        <w:t>gusla</w:t>
      </w:r>
      <w:r w:rsidRPr="00932A7F">
        <w:rPr>
          <w:sz w:val="22"/>
        </w:rPr>
        <w:t xml:space="preserve">, assai diffusa anche nei Balcani. Si narra che Ivan il Terribile (1530-1584), il grande Czar della Mosca rinascimentale, </w:t>
      </w:r>
      <w:r w:rsidRPr="00EE35F3">
        <w:rPr>
          <w:i/>
          <w:sz w:val="22"/>
        </w:rPr>
        <w:t>possedesse</w:t>
      </w:r>
      <w:r w:rsidRPr="00932A7F">
        <w:rPr>
          <w:sz w:val="22"/>
        </w:rPr>
        <w:t xml:space="preserve"> tre </w:t>
      </w:r>
      <w:r w:rsidRPr="00782B1B">
        <w:rPr>
          <w:i/>
          <w:sz w:val="22"/>
        </w:rPr>
        <w:t>guslar</w:t>
      </w:r>
      <w:r w:rsidRPr="00932A7F">
        <w:rPr>
          <w:sz w:val="22"/>
        </w:rPr>
        <w:t xml:space="preserve"> ciechi che si alternavano al suo letto per raccontargli in musica e versi le fiabe della tradizione moscovita prima che si assopisse. Esperti cantafiabe continuarono ad animare gli svaghi di Czar, principi e nobili in genere fino alla piena modernità. Meglio era se fossero non vedenti, condizione ritenuta a torto o a ragione, forse per tradizionale suggestione omerica, ottimale per lo sviluppo delle abilità nel racconto orale. Non fu affatto raro, fino alla fine del XIX secolo trovare nei quotidiani di Mosca e di San Pietroburgo annunci con offerte di lavoro per cantori e cantastorie ciechi, chiamati a lavorare presso le dimore gentilizie come narratori professionali. Lo stesso Lev Tolstoj (1828-1910), nobile di gran casata, destinato a diventare uno dei titani della letteratura universale di tutti i tempi, aveva annotato nei suoi diari la propria abitudine di addormentarsi, da bambino, grazie ai racconti di un vecchio, comprato un tempo dal conte suo nonno proprio per la grande conoscenza e magistrale interpretazione delle fiabe russe; per queste informazioni si veda Roman Jakobson,</w:t>
      </w:r>
      <w:r w:rsidRPr="00F30893">
        <w:rPr>
          <w:sz w:val="22"/>
        </w:rPr>
        <w:t xml:space="preserve"> </w:t>
      </w:r>
      <w:r w:rsidRPr="00F30893">
        <w:rPr>
          <w:i/>
          <w:sz w:val="22"/>
        </w:rPr>
        <w:t>Premesse di storia letteraria slava</w:t>
      </w:r>
      <w:r w:rsidRPr="00F30893">
        <w:rPr>
          <w:sz w:val="22"/>
        </w:rPr>
        <w:t xml:space="preserve">, Il Saggiatore, Milano 1975, p. 339. Questi dati di natura storica non possono esimerci dal fare qualche cenno, rinviando i più curiosi ad ulteriori ricerche d’approfondimento, agli studi sulla </w:t>
      </w:r>
      <w:r w:rsidRPr="00F30893">
        <w:rPr>
          <w:i/>
          <w:sz w:val="22"/>
        </w:rPr>
        <w:t>teoria formulare</w:t>
      </w:r>
      <w:r w:rsidRPr="00F30893">
        <w:rPr>
          <w:sz w:val="22"/>
        </w:rPr>
        <w:t xml:space="preserve"> della tradizione epica e della narrazione orale in genere. Milman Parry (1902-1935) ed il suo assistente ed epigono Albert B. Lord (1912-1991), americani, entrambi grecisti e slavisti ad Harvard, </w:t>
      </w:r>
      <w:r w:rsidRPr="00F30893">
        <w:rPr>
          <w:rFonts w:cs="Helvetica"/>
          <w:sz w:val="22"/>
          <w:szCs w:val="26"/>
          <w:lang w:bidi="it-IT"/>
        </w:rPr>
        <w:t xml:space="preserve">studiando e analizzando storie e leggende balcaniche raccolte in territori dove la scrittura non aveva ancora soppiantato l'oralità, giunsero a perfezionare l’ipotesi, nota oggi appunto come teoria formulare, secondo la quale la composizione dei principali poemi di quelle terre, fino alle stesse </w:t>
      </w:r>
      <w:r w:rsidRPr="00F30893">
        <w:rPr>
          <w:rFonts w:cs="Helvetica"/>
          <w:i/>
          <w:sz w:val="22"/>
          <w:szCs w:val="26"/>
          <w:lang w:bidi="it-IT"/>
        </w:rPr>
        <w:t xml:space="preserve">Iliade </w:t>
      </w:r>
      <w:r w:rsidRPr="00F30893">
        <w:rPr>
          <w:rFonts w:cs="Helvetica"/>
          <w:sz w:val="22"/>
          <w:szCs w:val="26"/>
          <w:lang w:bidi="it-IT"/>
        </w:rPr>
        <w:t xml:space="preserve">ed </w:t>
      </w:r>
      <w:r w:rsidRPr="00F30893">
        <w:rPr>
          <w:rFonts w:cs="Helvetica"/>
          <w:i/>
          <w:sz w:val="22"/>
          <w:szCs w:val="26"/>
          <w:lang w:bidi="it-IT"/>
        </w:rPr>
        <w:t>Odissea</w:t>
      </w:r>
      <w:r w:rsidRPr="00F30893">
        <w:rPr>
          <w:rFonts w:cs="Helvetica"/>
          <w:sz w:val="22"/>
          <w:szCs w:val="26"/>
          <w:lang w:bidi="it-IT"/>
        </w:rPr>
        <w:t>, tradizionalmente attribuite ad un poeta cieco chiamato Omero di cui si ipotizzava la vita tra l’VIII ed il VII secolo prima di Cristo, derivassero in realtà esclusivamente dalla tradizione orale.</w:t>
      </w:r>
    </w:p>
    <w:p w:rsidR="00D34104" w:rsidRPr="00F30893" w:rsidRDefault="00D34104" w:rsidP="00D34104">
      <w:pPr>
        <w:pStyle w:val="Testonotaapidipagina"/>
        <w:ind w:left="284" w:right="276" w:firstLine="425"/>
        <w:jc w:val="both"/>
        <w:rPr>
          <w:rFonts w:cs="Helvetica"/>
          <w:sz w:val="22"/>
          <w:szCs w:val="26"/>
          <w:lang w:bidi="it-IT"/>
        </w:rPr>
      </w:pPr>
      <w:r w:rsidRPr="00F30893">
        <w:rPr>
          <w:rFonts w:cs="Helvetica"/>
          <w:sz w:val="22"/>
          <w:szCs w:val="26"/>
          <w:lang w:bidi="it-IT"/>
        </w:rPr>
        <w:t xml:space="preserve">Per Parry e Lord - che dopo la prematura, tragica morte del maestro raccolse i suoi studi in </w:t>
      </w:r>
      <w:r w:rsidRPr="00F30893">
        <w:rPr>
          <w:rFonts w:cs="Helvetica"/>
          <w:i/>
          <w:sz w:val="22"/>
          <w:szCs w:val="26"/>
          <w:lang w:bidi="it-IT"/>
        </w:rPr>
        <w:t>The Singer of Tales</w:t>
      </w:r>
      <w:r w:rsidRPr="00F30893">
        <w:rPr>
          <w:rFonts w:cs="Helvetica"/>
          <w:sz w:val="22"/>
          <w:szCs w:val="26"/>
          <w:lang w:bidi="it-IT"/>
        </w:rPr>
        <w:t xml:space="preserve"> del 1960 (trad. it. </w:t>
      </w:r>
      <w:r w:rsidRPr="00F30893">
        <w:rPr>
          <w:rFonts w:cs="Helvetica"/>
          <w:i/>
          <w:sz w:val="22"/>
          <w:szCs w:val="26"/>
          <w:lang w:bidi="it-IT"/>
        </w:rPr>
        <w:t>Il cantore di storie</w:t>
      </w:r>
      <w:r w:rsidRPr="00F30893">
        <w:rPr>
          <w:rFonts w:cs="Helvetica"/>
          <w:sz w:val="22"/>
          <w:szCs w:val="26"/>
          <w:lang w:bidi="it-IT"/>
        </w:rPr>
        <w:t xml:space="preserve">, Argo Editore, Lecce 2005) - non esisteva in effetti alcuna possibilità di attribuire quegli immortali capolavori, così come il resto di racconti, fiabe, epiche popolari ed altre simili forme di narrazione tradizionale, all’opera di un solo autore, si chiamasse o meno Omero. </w:t>
      </w:r>
    </w:p>
    <w:p w:rsidR="00D34104" w:rsidRPr="004B1317" w:rsidRDefault="00D34104" w:rsidP="00D34104">
      <w:pPr>
        <w:pStyle w:val="Testonotaapidipagina"/>
        <w:ind w:left="284" w:right="276" w:firstLine="425"/>
        <w:jc w:val="both"/>
        <w:rPr>
          <w:sz w:val="22"/>
        </w:rPr>
      </w:pPr>
      <w:r w:rsidRPr="00F30893">
        <w:rPr>
          <w:rFonts w:cs="Helvetica"/>
          <w:sz w:val="22"/>
          <w:szCs w:val="26"/>
          <w:lang w:bidi="it-IT"/>
        </w:rPr>
        <w:t xml:space="preserve">Piuttosto, così come pure era stato per </w:t>
      </w:r>
      <w:r w:rsidRPr="00F30893">
        <w:rPr>
          <w:rFonts w:cs="Helvetica"/>
          <w:i/>
          <w:sz w:val="22"/>
          <w:szCs w:val="26"/>
          <w:lang w:bidi="it-IT"/>
        </w:rPr>
        <w:t>Il poema di Gilgamesh</w:t>
      </w:r>
      <w:r w:rsidRPr="00F30893">
        <w:rPr>
          <w:rFonts w:cs="Helvetica"/>
          <w:sz w:val="22"/>
          <w:szCs w:val="26"/>
          <w:lang w:bidi="it-IT"/>
        </w:rPr>
        <w:t xml:space="preserve">, l’epopea babilonese dell’VIII secolo avanti Cristo o per il </w:t>
      </w:r>
      <w:r w:rsidRPr="00F30893">
        <w:rPr>
          <w:rFonts w:cs="Helvetica"/>
          <w:i/>
          <w:sz w:val="22"/>
          <w:szCs w:val="26"/>
          <w:lang w:bidi="it-IT"/>
        </w:rPr>
        <w:t>Beowulf</w:t>
      </w:r>
      <w:r w:rsidRPr="00F30893">
        <w:rPr>
          <w:rFonts w:cs="Helvetica"/>
          <w:sz w:val="22"/>
          <w:szCs w:val="26"/>
          <w:lang w:bidi="it-IT"/>
        </w:rPr>
        <w:t xml:space="preserve"> il poema epico anglosassone pure dell’VIII secolo, doveva trattarsi della continua rielaborazione, fino ad un’edizione definitiva questa sì poi trascritta in forma grafica, di </w:t>
      </w:r>
      <w:r w:rsidRPr="00F30893">
        <w:rPr>
          <w:rFonts w:cs="Helvetica"/>
          <w:i/>
          <w:sz w:val="22"/>
          <w:szCs w:val="26"/>
          <w:lang w:bidi="it-IT"/>
        </w:rPr>
        <w:t>formule mnemoniche</w:t>
      </w:r>
      <w:r w:rsidRPr="00F30893">
        <w:rPr>
          <w:rFonts w:cs="Helvetica"/>
          <w:sz w:val="22"/>
          <w:szCs w:val="26"/>
          <w:lang w:bidi="it-IT"/>
        </w:rPr>
        <w:t xml:space="preserve"> rimodulate ed adattate di volta in volta, che favorivano, al ritmo delle adeguate melodie, la trasmissione orale, da cantore a cantore a prescindere dall’alfabetizzazione di costoro, di quelle antichissime forme narrative. Si intuisce bene l’importanza, nel contesto di questa teoria molto ben argomentata, del concetto in sé di oralità e di tutte le ammalianti suggestioni che esso evoca in qualsiasi ricerca che in qualche modo riguardi la materia di favole e fiabe. Per una prima introduzione all’affascinante tema, che riguarda direttamente le ricerche di questo corso di lezioni, dei </w:t>
      </w:r>
      <w:r w:rsidRPr="00E744C5">
        <w:rPr>
          <w:rFonts w:cs="Helvetica"/>
          <w:sz w:val="22"/>
          <w:szCs w:val="26"/>
          <w:lang w:bidi="it-IT"/>
        </w:rPr>
        <w:t xml:space="preserve">rapporti tra oralità, diritto e forme di trasmissione del pensiero giuridico, si rinvia al bel contributo di Ferdinando Spina, </w:t>
      </w:r>
      <w:r w:rsidRPr="00E744C5">
        <w:rPr>
          <w:rFonts w:cs="Helvetica"/>
          <w:i/>
          <w:sz w:val="22"/>
          <w:szCs w:val="26"/>
          <w:lang w:bidi="it-IT"/>
        </w:rPr>
        <w:t>Il doppio codice. Diritto e tecnologie della comunicazione</w:t>
      </w:r>
      <w:r w:rsidRPr="00E744C5">
        <w:rPr>
          <w:rFonts w:cs="Helvetica"/>
          <w:sz w:val="22"/>
          <w:szCs w:val="26"/>
          <w:lang w:bidi="it-IT"/>
        </w:rPr>
        <w:t xml:space="preserve">, Pensa Multimedia, </w:t>
      </w:r>
      <w:r w:rsidRPr="004B1317">
        <w:rPr>
          <w:rFonts w:cs="Helvetica"/>
          <w:sz w:val="22"/>
          <w:szCs w:val="26"/>
          <w:lang w:bidi="it-IT"/>
        </w:rPr>
        <w:t>Lecce 2012, con spunti molto interessanti di storia, antropologia e sociologia del diritto.</w:t>
      </w:r>
    </w:p>
  </w:footnote>
  <w:footnote w:id="34">
    <w:p w:rsidR="00D34104" w:rsidRPr="004B1317" w:rsidRDefault="00D34104" w:rsidP="00D34104">
      <w:pPr>
        <w:pStyle w:val="Testonotaapidipagina"/>
        <w:ind w:left="284" w:right="276" w:firstLine="425"/>
        <w:jc w:val="both"/>
        <w:rPr>
          <w:sz w:val="22"/>
        </w:rPr>
      </w:pPr>
      <w:r w:rsidRPr="004B1317">
        <w:rPr>
          <w:rStyle w:val="Rimandonotaapidipagina"/>
          <w:sz w:val="22"/>
        </w:rPr>
        <w:footnoteRef/>
      </w:r>
      <w:r w:rsidRPr="004B1317">
        <w:rPr>
          <w:sz w:val="22"/>
        </w:rPr>
        <w:t xml:space="preserve"> Nella propria autorevole ricerca del significato primitivo e mitologico, sociale e religioso delle fiabe russe, </w:t>
      </w:r>
      <w:r w:rsidRPr="004B1317">
        <w:rPr>
          <w:rFonts w:cs="Helvetica"/>
          <w:sz w:val="22"/>
          <w:szCs w:val="26"/>
          <w:lang w:bidi="it-IT"/>
        </w:rPr>
        <w:t xml:space="preserve">Afanasjev sarebbe stato seguito, più tardi, dal molto più noto Vladimir Jakovlevic Propp (1895-1970), antropologo e linguista autorevolissimo nello studio delle fiabe e della loro classificazione scientifica. Con il saggio </w:t>
      </w:r>
      <w:r w:rsidRPr="004B1317">
        <w:rPr>
          <w:rFonts w:cs="Helvetica"/>
          <w:i/>
          <w:sz w:val="22"/>
          <w:szCs w:val="26"/>
          <w:lang w:bidi="it-IT"/>
        </w:rPr>
        <w:t>Le radici storiche dei racconti di fate</w:t>
      </w:r>
      <w:r w:rsidRPr="004B1317">
        <w:rPr>
          <w:rFonts w:cs="Helvetica"/>
          <w:sz w:val="22"/>
          <w:szCs w:val="26"/>
          <w:lang w:bidi="it-IT"/>
        </w:rPr>
        <w:t xml:space="preserve">, apparso per la prima volta in russo nel 1946 e tradotto i italiano già nel 1949, Propp aveva indagato la genesi delle fiabe stesse attraverso le ricerche etnografiche del tempo. Era pertanto pervenuto alla conclusione che la maggior parte degli elementi costitutivi delle fiabe risalisse a riti e miti primitivi, più specificamente al così detto </w:t>
      </w:r>
      <w:r w:rsidRPr="004B1317">
        <w:rPr>
          <w:rFonts w:cs="Helvetica"/>
          <w:i/>
          <w:sz w:val="22"/>
          <w:szCs w:val="26"/>
          <w:lang w:bidi="it-IT"/>
        </w:rPr>
        <w:t>ciclo d’iniziazione</w:t>
      </w:r>
      <w:r w:rsidRPr="004B1317">
        <w:rPr>
          <w:rFonts w:cs="Helvetica"/>
          <w:sz w:val="22"/>
          <w:szCs w:val="26"/>
          <w:lang w:bidi="it-IT"/>
        </w:rPr>
        <w:t xml:space="preserve">, delle prime ancestrali comunità slave, un rituale di tipo pubblicistico che celebrava la fine dell’infanzia e l’ingresso, per gli adolescenti, nella società degli uomini adulti; sul punto cfr. il bel saggio </w:t>
      </w:r>
      <w:r w:rsidRPr="004B1317">
        <w:rPr>
          <w:rFonts w:cs="Helvetica"/>
          <w:i/>
          <w:sz w:val="22"/>
          <w:szCs w:val="26"/>
          <w:lang w:bidi="it-IT"/>
        </w:rPr>
        <w:t>In Russia, un insolito viaggio nel meraviglioso</w:t>
      </w:r>
      <w:r w:rsidRPr="004B1317">
        <w:rPr>
          <w:rFonts w:cs="Helvetica"/>
          <w:sz w:val="22"/>
          <w:szCs w:val="26"/>
          <w:lang w:bidi="it-IT"/>
        </w:rPr>
        <w:t xml:space="preserve"> di Katia Carlini e Francesco Randazzo, in Giovanna Motta (a cura di) </w:t>
      </w:r>
      <w:r w:rsidRPr="004B1317">
        <w:rPr>
          <w:rFonts w:cs="Helvetica"/>
          <w:i/>
          <w:sz w:val="22"/>
          <w:szCs w:val="26"/>
          <w:lang w:bidi="it-IT"/>
        </w:rPr>
        <w:t>“Raccontami una storia…”. Fiabe, leggende e miti nella memoria dei popoli</w:t>
      </w:r>
      <w:r w:rsidRPr="004B1317">
        <w:rPr>
          <w:rFonts w:cs="Helvetica"/>
          <w:sz w:val="22"/>
          <w:szCs w:val="26"/>
          <w:lang w:bidi="it-IT"/>
        </w:rPr>
        <w:t xml:space="preserve">, Franco Angeli, Milano 2011, p. 234 e ss.  </w:t>
      </w:r>
    </w:p>
  </w:footnote>
  <w:footnote w:id="35">
    <w:p w:rsidR="00D34104" w:rsidRPr="004B1317" w:rsidRDefault="00D34104" w:rsidP="00D34104">
      <w:pPr>
        <w:pStyle w:val="Testonotaapidipagina"/>
        <w:ind w:left="284" w:right="276" w:firstLine="425"/>
        <w:jc w:val="both"/>
        <w:rPr>
          <w:sz w:val="22"/>
        </w:rPr>
      </w:pPr>
      <w:r w:rsidRPr="004B1317">
        <w:rPr>
          <w:rStyle w:val="Rimandonotaapidipagina"/>
          <w:sz w:val="22"/>
        </w:rPr>
        <w:footnoteRef/>
      </w:r>
      <w:r w:rsidRPr="004B1317">
        <w:rPr>
          <w:sz w:val="22"/>
        </w:rPr>
        <w:t xml:space="preserve"> Il testo è disponibile anche in italiano con ampia nota introduttiva di Luca Crescenzi; cfr. E.T.A. Hoffmann, </w:t>
      </w:r>
      <w:r w:rsidRPr="004B1317">
        <w:rPr>
          <w:i/>
          <w:sz w:val="22"/>
        </w:rPr>
        <w:t>Il caso Schmolling</w:t>
      </w:r>
      <w:r w:rsidRPr="004B1317">
        <w:rPr>
          <w:sz w:val="22"/>
        </w:rPr>
        <w:t xml:space="preserve">, Robin Edizioni, Roma 2004. Al caso del fornaio Schmolling è dedicata anche, in puro stile hoffmaniano, una trasposizione romanzesca in cui la voce narrante dello stesso letterato-magistrato ricostruisce lo studio, i turbamenti e le conclusioni adottate nel giudizio a carico dell’omicida; cfr. Alessandro Zignani, </w:t>
      </w:r>
      <w:r w:rsidRPr="004B1317">
        <w:rPr>
          <w:i/>
          <w:sz w:val="22"/>
        </w:rPr>
        <w:t>Le parrucche di Hoffmann. Un omicidio musicale a Berlino</w:t>
      </w:r>
      <w:r w:rsidRPr="004B1317">
        <w:rPr>
          <w:sz w:val="22"/>
        </w:rPr>
        <w:t>, Zecchini Editore, Varese 2009.</w:t>
      </w:r>
    </w:p>
  </w:footnote>
  <w:footnote w:id="36">
    <w:p w:rsidR="00D34104" w:rsidRDefault="00D34104" w:rsidP="00D34104">
      <w:pPr>
        <w:pStyle w:val="Testonotaapidipagina"/>
        <w:ind w:left="284" w:right="276" w:firstLine="425"/>
        <w:jc w:val="both"/>
      </w:pPr>
      <w:r w:rsidRPr="004B1317">
        <w:rPr>
          <w:rStyle w:val="Rimandonotaapidipagina"/>
          <w:sz w:val="22"/>
        </w:rPr>
        <w:footnoteRef/>
      </w:r>
      <w:r w:rsidRPr="004B1317">
        <w:rPr>
          <w:sz w:val="22"/>
        </w:rPr>
        <w:t xml:space="preserve"> Sappiamo che la condanna capitale non venne mai eseguita, commutata come fu in pena dell’ergastolo. Hoffmann tuttavia probabilmente aveva visto giusto. Daniel Schmolling si macchiò infatti </w:t>
      </w:r>
      <w:r w:rsidRPr="000631AA">
        <w:rPr>
          <w:sz w:val="22"/>
        </w:rPr>
        <w:t>in carcere, nel 1825, di un altro omicidio ai danni di un compagno di cella. Non si conosce tuttavia l’esito di questa ulteriore vicenda.</w:t>
      </w:r>
      <w:r>
        <w:t xml:space="preserve"> </w:t>
      </w:r>
    </w:p>
  </w:footnote>
  <w:footnote w:id="37">
    <w:p w:rsidR="00D34104" w:rsidRPr="009678D0" w:rsidRDefault="00D34104" w:rsidP="00D34104">
      <w:pPr>
        <w:pStyle w:val="Testonotaapidipagina"/>
        <w:ind w:left="284" w:right="276" w:firstLine="425"/>
        <w:jc w:val="both"/>
        <w:rPr>
          <w:sz w:val="22"/>
        </w:rPr>
      </w:pPr>
      <w:r w:rsidRPr="009678D0">
        <w:rPr>
          <w:rStyle w:val="Rimandonotaapidipagina"/>
          <w:sz w:val="22"/>
        </w:rPr>
        <w:footnoteRef/>
      </w:r>
      <w:r w:rsidRPr="009678D0">
        <w:rPr>
          <w:sz w:val="22"/>
        </w:rPr>
        <w:t xml:space="preserve"> L’immane raccolta lessicografica ed etimologica, molto originale anche per il tedesco giuridico antico della cui linguistica i Grimm furono indefessi indagatori sul campo, ebbe inizio nel 1852 e si concluse solo nel 1960, circa cento anni dopo. Nel periodo di maggior fervore della raccolta e dell’ esame dei vocaboli Jacob e Wilhelm arrivarono a coordinare un’equipe di novanta ricercatori.</w:t>
      </w:r>
    </w:p>
  </w:footnote>
  <w:footnote w:id="38">
    <w:p w:rsidR="00D34104" w:rsidRPr="009678D0" w:rsidRDefault="00D34104" w:rsidP="00D34104">
      <w:pPr>
        <w:pStyle w:val="Testonotaapidipagina"/>
        <w:ind w:left="284" w:right="276" w:firstLine="425"/>
        <w:jc w:val="both"/>
        <w:rPr>
          <w:sz w:val="22"/>
        </w:rPr>
      </w:pPr>
      <w:r w:rsidRPr="009678D0">
        <w:rPr>
          <w:rStyle w:val="Rimandonotaapidipagina"/>
          <w:sz w:val="22"/>
        </w:rPr>
        <w:footnoteRef/>
      </w:r>
      <w:r w:rsidRPr="009678D0">
        <w:rPr>
          <w:sz w:val="22"/>
        </w:rPr>
        <w:t xml:space="preserve"> Il territorio dell’odierna Germania unita era al tempo, durante i primi decenni del XIX secolo, suddiviso in 39 staterelli governati in modo più o meno feudale; la </w:t>
      </w:r>
      <w:r w:rsidRPr="009678D0">
        <w:rPr>
          <w:i/>
          <w:sz w:val="22"/>
        </w:rPr>
        <w:t>Germanistica</w:t>
      </w:r>
      <w:r w:rsidRPr="009678D0">
        <w:rPr>
          <w:sz w:val="22"/>
        </w:rPr>
        <w:t xml:space="preserve"> appariva ai suoi cultori, che in larghissima parte erano giuristi, un movimento dalle caratteristiche politiche in grado di giocare un ruolo di grande importanza nel vagheggiato progetto di unificazione nazionale, impensabile senza l’omogeneizzazione linguistica, culturale e giuridica del paese intero, su queste sfaccettature cfr. Pier Carlo Bontempelli, </w:t>
      </w:r>
      <w:r w:rsidRPr="009678D0">
        <w:rPr>
          <w:i/>
          <w:sz w:val="22"/>
        </w:rPr>
        <w:t>Storia della germanistica</w:t>
      </w:r>
      <w:r w:rsidRPr="009678D0">
        <w:rPr>
          <w:sz w:val="22"/>
        </w:rPr>
        <w:t>, Artemide Edizioni, Roma 2000.</w:t>
      </w:r>
    </w:p>
  </w:footnote>
  <w:footnote w:id="39">
    <w:p w:rsidR="00D34104" w:rsidRPr="00B606FD" w:rsidRDefault="00D34104" w:rsidP="00D34104">
      <w:pPr>
        <w:pStyle w:val="Testonotaapidipagina"/>
        <w:ind w:left="284" w:right="276" w:firstLine="425"/>
        <w:jc w:val="both"/>
        <w:rPr>
          <w:sz w:val="22"/>
          <w:lang w:val="en-US"/>
        </w:rPr>
      </w:pPr>
      <w:r w:rsidRPr="00BD45C5">
        <w:rPr>
          <w:rStyle w:val="Rimandonotaapidipagina"/>
          <w:sz w:val="22"/>
        </w:rPr>
        <w:footnoteRef/>
      </w:r>
      <w:r w:rsidRPr="00BD45C5">
        <w:rPr>
          <w:sz w:val="22"/>
        </w:rPr>
        <w:t xml:space="preserve"> Fondamentale sul punto è Theo Schuler, </w:t>
      </w:r>
      <w:r w:rsidRPr="00BD45C5">
        <w:rPr>
          <w:i/>
          <w:sz w:val="22"/>
        </w:rPr>
        <w:t xml:space="preserve">Jacob Grimm und Savigny. </w:t>
      </w:r>
      <w:r w:rsidRPr="00B606FD">
        <w:rPr>
          <w:i/>
          <w:sz w:val="22"/>
          <w:lang w:val="en-US"/>
        </w:rPr>
        <w:t xml:space="preserve">Studien ueber Gemeinsamkeit und Abstand </w:t>
      </w:r>
      <w:r w:rsidRPr="00B606FD">
        <w:rPr>
          <w:sz w:val="22"/>
          <w:lang w:val="en-US"/>
        </w:rPr>
        <w:t>in</w:t>
      </w:r>
      <w:r w:rsidRPr="00B606FD">
        <w:rPr>
          <w:i/>
          <w:sz w:val="22"/>
          <w:lang w:val="en-US"/>
        </w:rPr>
        <w:t xml:space="preserve"> Zeitschrift der Savigny-Stiftung fur Rechtswissenschaft</w:t>
      </w:r>
      <w:r w:rsidRPr="00B606FD">
        <w:rPr>
          <w:sz w:val="22"/>
          <w:lang w:val="en-US"/>
        </w:rPr>
        <w:t>, LXXX (1963), p. 208 e ss.</w:t>
      </w:r>
    </w:p>
  </w:footnote>
  <w:footnote w:id="40">
    <w:p w:rsidR="00D34104" w:rsidRPr="00DD4CD7" w:rsidRDefault="00D34104" w:rsidP="00D34104">
      <w:pPr>
        <w:pStyle w:val="Testonotaapidipagina"/>
        <w:ind w:left="284" w:right="276" w:firstLine="425"/>
        <w:jc w:val="both"/>
        <w:rPr>
          <w:sz w:val="22"/>
        </w:rPr>
      </w:pPr>
      <w:r w:rsidRPr="00BD45C5">
        <w:rPr>
          <w:rStyle w:val="Rimandonotaapidipagina"/>
          <w:sz w:val="22"/>
        </w:rPr>
        <w:footnoteRef/>
      </w:r>
      <w:r w:rsidRPr="00BD45C5">
        <w:rPr>
          <w:sz w:val="22"/>
        </w:rPr>
        <w:t xml:space="preserve"> Cfr. Franca De Marini (a cura di), </w:t>
      </w:r>
      <w:r w:rsidRPr="00BD45C5">
        <w:rPr>
          <w:i/>
          <w:sz w:val="22"/>
        </w:rPr>
        <w:t>Savigny. Antologia di scritti giuridici</w:t>
      </w:r>
      <w:r w:rsidRPr="00BD45C5">
        <w:rPr>
          <w:sz w:val="22"/>
        </w:rPr>
        <w:t>, il Mulino, Bologna 1980, p. 47-48.</w:t>
      </w:r>
    </w:p>
  </w:footnote>
  <w:footnote w:id="41">
    <w:p w:rsidR="00D34104" w:rsidRPr="00DD4CD7" w:rsidRDefault="00D34104" w:rsidP="00D34104">
      <w:pPr>
        <w:pStyle w:val="Testonotaapidipagina"/>
        <w:ind w:left="284" w:right="276" w:firstLine="425"/>
        <w:jc w:val="both"/>
        <w:rPr>
          <w:sz w:val="22"/>
        </w:rPr>
      </w:pPr>
      <w:r w:rsidRPr="00DD4CD7">
        <w:rPr>
          <w:rStyle w:val="Rimandonotaapidipagina"/>
          <w:sz w:val="22"/>
        </w:rPr>
        <w:footnoteRef/>
      </w:r>
      <w:r w:rsidRPr="00DD4CD7">
        <w:rPr>
          <w:sz w:val="22"/>
        </w:rPr>
        <w:t xml:space="preserve"> Dopo averlo letto ancora in bozze, Wilhelm Grimm, anche a nome di Jacob, aveva comunicato a Savigny, per lettera, i sensi del suo entusiasmo: “…no so dirLe quanta gioia lo scritto mi abbia procurato… Più di tutto in particolare, mi piacque il capitolo sull’origine del diritto, che in effetti contribuisce a rendere convincente il Suo modo di vedere. Posso dire che è nostra intenzione rappresentare in tal modo l’origine della poesia, in quanto comune possesso del popolo, in nulla separato dalla sua vita intera”, cfr. Maria Carolina Foi, </w:t>
      </w:r>
      <w:r w:rsidRPr="00DD4CD7">
        <w:rPr>
          <w:i/>
          <w:sz w:val="22"/>
        </w:rPr>
        <w:t>Heine e la vecchia Germania. Le radici della questione tedesca tra poesia e diritto</w:t>
      </w:r>
      <w:r w:rsidRPr="00DD4CD7">
        <w:rPr>
          <w:sz w:val="22"/>
        </w:rPr>
        <w:t>, Garzanti, Milano 1990, p. 61.</w:t>
      </w:r>
    </w:p>
  </w:footnote>
  <w:footnote w:id="42">
    <w:p w:rsidR="00D34104" w:rsidRDefault="00D34104" w:rsidP="00D34104">
      <w:pPr>
        <w:pStyle w:val="Testonotaapidipagina"/>
        <w:ind w:left="284" w:right="276" w:firstLine="425"/>
        <w:jc w:val="both"/>
      </w:pPr>
      <w:r w:rsidRPr="00DD4CD7">
        <w:rPr>
          <w:rStyle w:val="Rimandonotaapidipagina"/>
          <w:sz w:val="22"/>
        </w:rPr>
        <w:footnoteRef/>
      </w:r>
      <w:r w:rsidRPr="00DD4CD7">
        <w:rPr>
          <w:sz w:val="22"/>
        </w:rPr>
        <w:t xml:space="preserve"> Nel saggio in questione – un piccolo capolavoro di intuizione ed enfasi – Jacob aveva molto insistito sul fatto che </w:t>
      </w:r>
      <w:r w:rsidRPr="00DD4CD7">
        <w:rPr>
          <w:i/>
          <w:sz w:val="22"/>
        </w:rPr>
        <w:t xml:space="preserve">poesia </w:t>
      </w:r>
      <w:r w:rsidRPr="00DD4CD7">
        <w:rPr>
          <w:sz w:val="22"/>
        </w:rPr>
        <w:t xml:space="preserve">e </w:t>
      </w:r>
      <w:r w:rsidRPr="00DD4CD7">
        <w:rPr>
          <w:i/>
          <w:sz w:val="22"/>
        </w:rPr>
        <w:t>diritto</w:t>
      </w:r>
      <w:r w:rsidRPr="00DD4CD7">
        <w:rPr>
          <w:sz w:val="22"/>
        </w:rPr>
        <w:t xml:space="preserve"> scaturiscano dalla medesima fonte simbolica e sulla circostanza che in essi </w:t>
      </w:r>
      <w:r w:rsidRPr="00DD4CD7">
        <w:rPr>
          <w:i/>
          <w:sz w:val="22"/>
        </w:rPr>
        <w:t>risuona la vicinanza più animata e vitale con le cose</w:t>
      </w:r>
      <w:r w:rsidRPr="00DD4CD7">
        <w:rPr>
          <w:sz w:val="22"/>
        </w:rPr>
        <w:t xml:space="preserve"> nei simboli del diritto può riconoscersi la sua poesia, perché </w:t>
      </w:r>
      <w:r w:rsidRPr="00DD4CD7">
        <w:rPr>
          <w:i/>
          <w:sz w:val="22"/>
        </w:rPr>
        <w:t>la maggioranza dei simboli dell’antico diritto sono semplicissimi e si riportano, come quelli della Chiesa, agli elementi ultimi: terra, acqua, fuoco. La loro forza non è quindi nei libri e nelle formule morte, ma nella potenza della lingua e del cuore</w:t>
      </w:r>
      <w:r w:rsidRPr="00DD4CD7">
        <w:rPr>
          <w:sz w:val="22"/>
        </w:rPr>
        <w:t xml:space="preserve">; poesia (si pensi all’epica) e diritto antico avevano in comune una natura </w:t>
      </w:r>
      <w:r w:rsidRPr="00DD4CD7">
        <w:rPr>
          <w:i/>
          <w:sz w:val="22"/>
        </w:rPr>
        <w:t>pura e devota</w:t>
      </w:r>
      <w:r w:rsidRPr="00DD4CD7">
        <w:rPr>
          <w:sz w:val="22"/>
        </w:rPr>
        <w:t xml:space="preserve"> che li rendeva sempre presenti nelle dinamiche sociali ed in posizione preminente.</w:t>
      </w:r>
    </w:p>
  </w:footnote>
  <w:footnote w:id="43">
    <w:p w:rsidR="00D34104" w:rsidRPr="005F2366" w:rsidRDefault="00D34104" w:rsidP="00D34104">
      <w:pPr>
        <w:pStyle w:val="Testonotaapidipagina"/>
        <w:ind w:left="284" w:right="276" w:firstLine="425"/>
        <w:jc w:val="both"/>
        <w:rPr>
          <w:sz w:val="22"/>
        </w:rPr>
      </w:pPr>
      <w:r w:rsidRPr="005F2366">
        <w:rPr>
          <w:rStyle w:val="Rimandonotaapidipagina"/>
          <w:sz w:val="22"/>
        </w:rPr>
        <w:footnoteRef/>
      </w:r>
      <w:r w:rsidRPr="005F2366">
        <w:rPr>
          <w:sz w:val="22"/>
        </w:rPr>
        <w:t xml:space="preserve"> Quelli erano certamente gli anni in cui, lungo tutto l’arco culturale definibile del romanticismo tedesco, andava sviluppandosi una forte presa di coscienza filologica che guardava verso l’estremo oriente indiano, terra considerata l’immaginifica madre patria comune dell’ipotetica tradizione ariana e di ogni epopea protogermanica che si fosse formata nello spazio esteso dal Reno al Gange. La prima cattedra europea di sanscrito venne istituita per volontà di August Wilhelm Schlegel (1767-1845), che aveva introdotto nel continente gli antichi testi indiani della </w:t>
      </w:r>
      <w:r w:rsidRPr="005F2366">
        <w:rPr>
          <w:i/>
          <w:sz w:val="22"/>
        </w:rPr>
        <w:t>Bhagavadgita</w:t>
      </w:r>
      <w:r w:rsidRPr="005F2366">
        <w:rPr>
          <w:sz w:val="22"/>
        </w:rPr>
        <w:t xml:space="preserve"> e del </w:t>
      </w:r>
      <w:r w:rsidRPr="005F2366">
        <w:rPr>
          <w:i/>
          <w:sz w:val="22"/>
        </w:rPr>
        <w:t>Ramayana</w:t>
      </w:r>
      <w:r w:rsidRPr="005F2366">
        <w:rPr>
          <w:sz w:val="22"/>
        </w:rPr>
        <w:t xml:space="preserve">, mantenendosi in contatto accademico ed epistolare con Jacob Grimm, che pure aveva vasti interessi orientalistici, funzionali ai propri studi filologici e di linguistica comparata. In ogni caso è certamente documentata la conoscenza e l’apprezzamento da parte di Jacob Grimm del </w:t>
      </w:r>
      <w:r w:rsidRPr="005F2366">
        <w:rPr>
          <w:i/>
          <w:sz w:val="22"/>
        </w:rPr>
        <w:t>Panciatantra</w:t>
      </w:r>
      <w:r w:rsidRPr="005F2366">
        <w:rPr>
          <w:sz w:val="22"/>
        </w:rPr>
        <w:t xml:space="preserve"> la famosa raccolta di fiabe indiane composta tra il II ed il VII secolo dopo Cristo.</w:t>
      </w:r>
    </w:p>
  </w:footnote>
  <w:footnote w:id="44">
    <w:p w:rsidR="00D34104" w:rsidRPr="005F2366" w:rsidRDefault="00D34104" w:rsidP="00D34104">
      <w:pPr>
        <w:pStyle w:val="Testonotaapidipagina"/>
        <w:ind w:left="284" w:right="276" w:firstLine="425"/>
        <w:jc w:val="both"/>
        <w:rPr>
          <w:sz w:val="22"/>
        </w:rPr>
      </w:pPr>
      <w:r w:rsidRPr="005F2366">
        <w:rPr>
          <w:rStyle w:val="Rimandonotaapidipagina"/>
          <w:sz w:val="22"/>
        </w:rPr>
        <w:footnoteRef/>
      </w:r>
      <w:r w:rsidRPr="005F2366">
        <w:rPr>
          <w:sz w:val="22"/>
        </w:rPr>
        <w:t xml:space="preserve"> Per un serio e documentato studio sugli interessi giuridico-filologici dei fratelli Grimm, soprattutto in chiave antiromanistica, si veda l’ottimo Onorato Bucci, </w:t>
      </w:r>
      <w:r w:rsidRPr="005F2366">
        <w:rPr>
          <w:i/>
          <w:sz w:val="22"/>
        </w:rPr>
        <w:t>Germanesimo e romanità</w:t>
      </w:r>
      <w:r w:rsidRPr="005F2366">
        <w:rPr>
          <w:sz w:val="22"/>
        </w:rPr>
        <w:t>, Edizioni Scientifiche Italiane, Napoli 2004, p. 175 e ss. con amplia bibliografia critica.</w:t>
      </w:r>
    </w:p>
  </w:footnote>
  <w:footnote w:id="45">
    <w:p w:rsidR="00D34104" w:rsidRPr="002B3EFD" w:rsidRDefault="00D34104" w:rsidP="00D34104">
      <w:pPr>
        <w:pStyle w:val="Testonotaapidipagina"/>
        <w:ind w:left="284" w:right="276" w:firstLine="425"/>
        <w:jc w:val="both"/>
        <w:rPr>
          <w:sz w:val="22"/>
        </w:rPr>
      </w:pPr>
      <w:r w:rsidRPr="005F2366">
        <w:rPr>
          <w:rStyle w:val="Rimandonotaapidipagina"/>
          <w:sz w:val="22"/>
        </w:rPr>
        <w:footnoteRef/>
      </w:r>
      <w:r w:rsidRPr="005F2366">
        <w:rPr>
          <w:sz w:val="22"/>
        </w:rPr>
        <w:t xml:space="preserve"> Per una chiara panoramica introduttiva a queste tematiche si rinvia a Alba Negri, </w:t>
      </w:r>
      <w:r w:rsidRPr="005F2366">
        <w:rPr>
          <w:i/>
          <w:sz w:val="22"/>
        </w:rPr>
        <w:t>Il diritto della zona tedesca</w:t>
      </w:r>
      <w:r w:rsidRPr="005F2366">
        <w:rPr>
          <w:sz w:val="22"/>
        </w:rPr>
        <w:t xml:space="preserve">, in Lorenza Acquarone </w:t>
      </w:r>
      <w:r w:rsidRPr="005F2366">
        <w:rPr>
          <w:i/>
          <w:sz w:val="22"/>
        </w:rPr>
        <w:t>et alii</w:t>
      </w:r>
      <w:r w:rsidRPr="005F2366">
        <w:rPr>
          <w:sz w:val="22"/>
        </w:rPr>
        <w:t xml:space="preserve"> (a cura di), </w:t>
      </w:r>
      <w:r w:rsidRPr="005F2366">
        <w:rPr>
          <w:i/>
          <w:sz w:val="22"/>
        </w:rPr>
        <w:t>Sistemi giuridici del mondo</w:t>
      </w:r>
      <w:r w:rsidRPr="005F2366">
        <w:rPr>
          <w:sz w:val="22"/>
        </w:rPr>
        <w:t xml:space="preserve">, Giappichelli, Torino 2010, p. 48 e ss. Si veda anche Guido Fassò, </w:t>
      </w:r>
      <w:r w:rsidRPr="005F2366">
        <w:rPr>
          <w:i/>
          <w:sz w:val="22"/>
        </w:rPr>
        <w:t>Storia della filosofia del diritto</w:t>
      </w:r>
      <w:r w:rsidRPr="005F2366">
        <w:rPr>
          <w:sz w:val="22"/>
        </w:rPr>
        <w:t>, Laterza, Roma-Bari 2006, vol. III, p. 48 e ss.</w:t>
      </w:r>
    </w:p>
  </w:footnote>
  <w:footnote w:id="46">
    <w:p w:rsidR="00D34104" w:rsidRPr="002B3EFD" w:rsidRDefault="00D34104" w:rsidP="00D34104">
      <w:pPr>
        <w:pStyle w:val="Testonotaapidipagina"/>
        <w:ind w:left="284" w:right="276" w:firstLine="425"/>
        <w:jc w:val="both"/>
        <w:rPr>
          <w:sz w:val="22"/>
        </w:rPr>
      </w:pPr>
      <w:r w:rsidRPr="002B3EFD">
        <w:rPr>
          <w:rStyle w:val="Rimandonotaapidipagina"/>
          <w:sz w:val="22"/>
        </w:rPr>
        <w:footnoteRef/>
      </w:r>
      <w:r w:rsidRPr="002B3EFD">
        <w:rPr>
          <w:sz w:val="22"/>
        </w:rPr>
        <w:t xml:space="preserve"> </w:t>
      </w:r>
      <w:r w:rsidRPr="002B3EFD">
        <w:rPr>
          <w:i/>
          <w:sz w:val="22"/>
        </w:rPr>
        <w:t>Sachsenspiegel. Landrecht – Fontes iuris Germanici antiqui</w:t>
      </w:r>
      <w:r w:rsidRPr="002B3EFD">
        <w:rPr>
          <w:sz w:val="22"/>
        </w:rPr>
        <w:t>, a cura di Karl A. Eckhardt, vol. I, Gottingen-Berlin 1955 (I ed. Hannover 1933).</w:t>
      </w:r>
    </w:p>
  </w:footnote>
  <w:footnote w:id="47">
    <w:p w:rsidR="00D34104" w:rsidRPr="002B3EFD" w:rsidRDefault="00D34104" w:rsidP="00D34104">
      <w:pPr>
        <w:widowControl w:val="0"/>
        <w:autoSpaceDE w:val="0"/>
        <w:autoSpaceDN w:val="0"/>
        <w:adjustRightInd w:val="0"/>
        <w:ind w:left="284" w:right="276" w:firstLine="425"/>
        <w:jc w:val="both"/>
        <w:rPr>
          <w:sz w:val="22"/>
        </w:rPr>
      </w:pPr>
      <w:r w:rsidRPr="002B3EFD">
        <w:rPr>
          <w:rStyle w:val="Rimandonotaapidipagina"/>
          <w:sz w:val="22"/>
        </w:rPr>
        <w:footnoteRef/>
      </w:r>
      <w:r w:rsidRPr="002B3EFD">
        <w:rPr>
          <w:sz w:val="22"/>
        </w:rPr>
        <w:t xml:space="preserve"> Il nome </w:t>
      </w:r>
      <w:r w:rsidRPr="002B3EFD">
        <w:rPr>
          <w:i/>
          <w:sz w:val="22"/>
        </w:rPr>
        <w:t>Specchio</w:t>
      </w:r>
      <w:r w:rsidRPr="002B3EFD">
        <w:rPr>
          <w:sz w:val="22"/>
        </w:rPr>
        <w:t xml:space="preserve"> simboleggia agevolmente l’idea stessa della riflessività dei precetti morali e giuridici, solo specchiandosi nei quali potrà aversi vita retta. La metafora dello Specchio come </w:t>
      </w:r>
      <w:r w:rsidRPr="002B3EFD">
        <w:rPr>
          <w:i/>
          <w:sz w:val="22"/>
        </w:rPr>
        <w:t>medium</w:t>
      </w:r>
      <w:r w:rsidRPr="002B3EFD">
        <w:rPr>
          <w:sz w:val="22"/>
        </w:rPr>
        <w:t xml:space="preserve"> regolativo delle lineari inter-relazioni giuridiche tra gli uomini, che non devono fare ad altri ciò che non gradirebbero fosse fatto a se stessi, appartiene ad una linea di pensiero tradizionale. Qualche anno fa ne ha fatto oggetto della propria dissertazione di dottorato in filosofia del diritto, una giovane studiosa dell’Università di Napoli: cfr. Francesca Scamardella, </w:t>
      </w:r>
      <w:r w:rsidRPr="002B3EFD">
        <w:rPr>
          <w:rFonts w:cs="CalifornianFB"/>
          <w:i/>
          <w:sz w:val="22"/>
          <w:szCs w:val="29"/>
          <w:lang w:bidi="it-IT"/>
        </w:rPr>
        <w:t>La riflessività del diritto tra sistemi autopoietici e bisogni individuali</w:t>
      </w:r>
      <w:r w:rsidRPr="002B3EFD">
        <w:rPr>
          <w:rFonts w:cs="CalifornianFB"/>
          <w:sz w:val="22"/>
          <w:szCs w:val="29"/>
          <w:lang w:bidi="it-IT"/>
        </w:rPr>
        <w:t>, Unina, 2009-10, p. 24 e ss.</w:t>
      </w:r>
    </w:p>
  </w:footnote>
  <w:footnote w:id="48">
    <w:p w:rsidR="00D34104" w:rsidRPr="002B3EFD" w:rsidRDefault="00D34104" w:rsidP="00D34104">
      <w:pPr>
        <w:pStyle w:val="Testonotaapidipagina"/>
        <w:ind w:left="284" w:right="276" w:firstLine="425"/>
        <w:jc w:val="both"/>
        <w:rPr>
          <w:sz w:val="22"/>
        </w:rPr>
      </w:pPr>
      <w:r w:rsidRPr="002B3EFD">
        <w:rPr>
          <w:rStyle w:val="Rimandonotaapidipagina"/>
          <w:sz w:val="22"/>
        </w:rPr>
        <w:footnoteRef/>
      </w:r>
      <w:r w:rsidRPr="002B3EFD">
        <w:rPr>
          <w:sz w:val="22"/>
        </w:rPr>
        <w:t xml:space="preserve"> Nel prologo del </w:t>
      </w:r>
      <w:r w:rsidRPr="002B3EFD">
        <w:rPr>
          <w:i/>
          <w:sz w:val="22"/>
        </w:rPr>
        <w:t>Sachsenspiegel</w:t>
      </w:r>
      <w:r w:rsidRPr="002B3EFD">
        <w:rPr>
          <w:sz w:val="22"/>
        </w:rPr>
        <w:t xml:space="preserve">, alle righe 9 e 10, si legge: </w:t>
      </w:r>
      <w:r w:rsidRPr="002B3EFD">
        <w:rPr>
          <w:i/>
          <w:sz w:val="22"/>
        </w:rPr>
        <w:t>Got ist selve recht, dar umme is em reht lef/Dio stesso è diritto, perciò il diritto gli è caro</w:t>
      </w:r>
      <w:r w:rsidRPr="002B3EFD">
        <w:rPr>
          <w:sz w:val="22"/>
        </w:rPr>
        <w:t xml:space="preserve">. E’ un aspetto, questo della commistione stretta tra elementi religiosi e tratti di diritto, che, caratteristico di tutta la speculazione giuridica medievale, non va mai perso di vista; cfr. Claudia Handl (a cura di), </w:t>
      </w:r>
      <w:r w:rsidRPr="002B3EFD">
        <w:rPr>
          <w:i/>
          <w:sz w:val="22"/>
        </w:rPr>
        <w:t>Vom Rechte/Sul Diritto</w:t>
      </w:r>
      <w:r w:rsidRPr="002B3EFD">
        <w:rPr>
          <w:sz w:val="22"/>
        </w:rPr>
        <w:t>, Edizioni ETS, Pisa 1998, p. 20.</w:t>
      </w:r>
    </w:p>
  </w:footnote>
  <w:footnote w:id="49">
    <w:p w:rsidR="00D34104" w:rsidRPr="002B3EFD" w:rsidRDefault="00D34104" w:rsidP="00D34104">
      <w:pPr>
        <w:pStyle w:val="Testonotaapidipagina"/>
        <w:ind w:left="284" w:right="276" w:firstLine="425"/>
        <w:jc w:val="both"/>
        <w:rPr>
          <w:sz w:val="22"/>
        </w:rPr>
      </w:pPr>
      <w:r w:rsidRPr="002B3EFD">
        <w:rPr>
          <w:rStyle w:val="Rimandonotaapidipagina"/>
          <w:sz w:val="22"/>
        </w:rPr>
        <w:footnoteRef/>
      </w:r>
      <w:r w:rsidRPr="002B3EFD">
        <w:rPr>
          <w:sz w:val="22"/>
        </w:rPr>
        <w:t xml:space="preserve"> Come segnala Franz Wieacker nella sua monumentale </w:t>
      </w:r>
      <w:r w:rsidRPr="002B3EFD">
        <w:rPr>
          <w:i/>
          <w:sz w:val="22"/>
        </w:rPr>
        <w:t>Storia del diritto privato moderno</w:t>
      </w:r>
      <w:r w:rsidRPr="002B3EFD">
        <w:rPr>
          <w:sz w:val="22"/>
        </w:rPr>
        <w:t>, Giuffrè, Milano 1980, vol. I, p. 151.</w:t>
      </w:r>
    </w:p>
  </w:footnote>
  <w:footnote w:id="50">
    <w:p w:rsidR="00D34104" w:rsidRPr="00194ACF" w:rsidRDefault="00D34104" w:rsidP="00D34104">
      <w:pPr>
        <w:pStyle w:val="Testonotaapidipagina"/>
        <w:ind w:left="284" w:right="276" w:firstLine="425"/>
        <w:jc w:val="both"/>
        <w:rPr>
          <w:sz w:val="22"/>
        </w:rPr>
      </w:pPr>
      <w:r w:rsidRPr="002B3EFD">
        <w:rPr>
          <w:rStyle w:val="Rimandonotaapidipagina"/>
          <w:sz w:val="22"/>
        </w:rPr>
        <w:footnoteRef/>
      </w:r>
      <w:r w:rsidRPr="002B3EFD">
        <w:rPr>
          <w:sz w:val="22"/>
        </w:rPr>
        <w:t xml:space="preserve"> Vi abbondano, non a caso, immaginifici esempi deputati alla dimostrazione di come la saggezza antica non avesse bisogno di giudici ed avvocati</w:t>
      </w:r>
      <w:r w:rsidRPr="00194ACF">
        <w:rPr>
          <w:sz w:val="22"/>
        </w:rPr>
        <w:t xml:space="preserve">, capace come era, grazie alla filosofia del </w:t>
      </w:r>
      <w:r w:rsidRPr="00194ACF">
        <w:rPr>
          <w:i/>
          <w:sz w:val="22"/>
        </w:rPr>
        <w:t>brocardo</w:t>
      </w:r>
      <w:r w:rsidRPr="00194ACF">
        <w:rPr>
          <w:sz w:val="22"/>
        </w:rPr>
        <w:t xml:space="preserve"> od alla tagliente, sapida sapienza del motto di spirito, di risolvere ogni disputa tra quelle possibili, con specifico riferimento, ad esempio, alle </w:t>
      </w:r>
      <w:r w:rsidRPr="00194ACF">
        <w:rPr>
          <w:i/>
          <w:sz w:val="22"/>
        </w:rPr>
        <w:t>affittanze agrarie</w:t>
      </w:r>
      <w:r w:rsidRPr="00194ACF">
        <w:rPr>
          <w:sz w:val="22"/>
        </w:rPr>
        <w:t xml:space="preserve">, ai </w:t>
      </w:r>
      <w:r w:rsidRPr="00194ACF">
        <w:rPr>
          <w:i/>
          <w:sz w:val="22"/>
        </w:rPr>
        <w:t>rapporti di colonìa</w:t>
      </w:r>
      <w:r w:rsidRPr="00194ACF">
        <w:rPr>
          <w:sz w:val="22"/>
        </w:rPr>
        <w:t xml:space="preserve">, ai </w:t>
      </w:r>
      <w:r w:rsidRPr="00194ACF">
        <w:rPr>
          <w:i/>
          <w:sz w:val="22"/>
        </w:rPr>
        <w:t>contratti di locazione immobiliare</w:t>
      </w:r>
      <w:r w:rsidRPr="00194ACF">
        <w:rPr>
          <w:sz w:val="22"/>
        </w:rPr>
        <w:t xml:space="preserve">, ai </w:t>
      </w:r>
      <w:r w:rsidRPr="00194ACF">
        <w:rPr>
          <w:i/>
          <w:sz w:val="22"/>
        </w:rPr>
        <w:t>negozi di molitura del grano</w:t>
      </w:r>
      <w:r w:rsidRPr="00194ACF">
        <w:rPr>
          <w:sz w:val="22"/>
        </w:rPr>
        <w:t xml:space="preserve"> ed a tutta l’economia, assai rilevante, indotta dalla presenza in una determinata contrada, di un mulino e di un mugnaio in attività: motivo quest’ultimo, come meglio si vedrà in altra parte di questo corso di lezioni, caratteristico della tradizione giuridica medievale e rinascimentale e della coeva tradizione delle fiabe.</w:t>
      </w:r>
    </w:p>
  </w:footnote>
  <w:footnote w:id="51">
    <w:p w:rsidR="00D34104" w:rsidRPr="00194ACF" w:rsidRDefault="00D34104" w:rsidP="00D34104">
      <w:pPr>
        <w:pStyle w:val="Testonotaapidipagina"/>
        <w:ind w:left="284" w:right="276" w:firstLine="425"/>
        <w:jc w:val="both"/>
        <w:rPr>
          <w:sz w:val="22"/>
        </w:rPr>
      </w:pPr>
      <w:r w:rsidRPr="00194ACF">
        <w:rPr>
          <w:rStyle w:val="Rimandonotaapidipagina"/>
          <w:sz w:val="22"/>
        </w:rPr>
        <w:footnoteRef/>
      </w:r>
      <w:r w:rsidRPr="00194ACF">
        <w:rPr>
          <w:sz w:val="22"/>
        </w:rPr>
        <w:t xml:space="preserve"> Cfr. Valentina Jacometti, </w:t>
      </w:r>
      <w:r w:rsidRPr="00194ACF">
        <w:rPr>
          <w:i/>
          <w:sz w:val="22"/>
        </w:rPr>
        <w:t>Il linguaggio giuridico tedesco</w:t>
      </w:r>
      <w:r w:rsidRPr="00194ACF">
        <w:rPr>
          <w:sz w:val="22"/>
        </w:rPr>
        <w:t xml:space="preserve">, in Barbara Pozzo e Marina Timoteo (a cura di), </w:t>
      </w:r>
      <w:r w:rsidRPr="00194ACF">
        <w:rPr>
          <w:i/>
          <w:sz w:val="22"/>
        </w:rPr>
        <w:t>Europa e linguaggi giuridici</w:t>
      </w:r>
      <w:r w:rsidRPr="00194ACF">
        <w:rPr>
          <w:sz w:val="22"/>
        </w:rPr>
        <w:t>, Giuffrè, Milano 2008, p. 138.</w:t>
      </w:r>
    </w:p>
  </w:footnote>
  <w:footnote w:id="52">
    <w:p w:rsidR="00D34104" w:rsidRPr="00194ACF" w:rsidRDefault="00D34104" w:rsidP="00D34104">
      <w:pPr>
        <w:pStyle w:val="Testonotaapidipagina"/>
        <w:ind w:left="284" w:right="276" w:firstLine="425"/>
        <w:jc w:val="both"/>
        <w:rPr>
          <w:sz w:val="22"/>
        </w:rPr>
      </w:pPr>
      <w:r w:rsidRPr="00194ACF">
        <w:rPr>
          <w:rStyle w:val="Rimandonotaapidipagina"/>
          <w:sz w:val="22"/>
        </w:rPr>
        <w:footnoteRef/>
      </w:r>
      <w:r w:rsidRPr="00194ACF">
        <w:rPr>
          <w:sz w:val="22"/>
        </w:rPr>
        <w:t xml:space="preserve"> Cfr. Nicola Jaeger, </w:t>
      </w:r>
      <w:r w:rsidRPr="00194ACF">
        <w:rPr>
          <w:i/>
          <w:sz w:val="22"/>
        </w:rPr>
        <w:t>Il diritto nella Bibbia</w:t>
      </w:r>
      <w:r w:rsidRPr="00194ACF">
        <w:rPr>
          <w:sz w:val="22"/>
        </w:rPr>
        <w:t>, Pro Civitate Christiana, Assisi 1960 p. 219 e ss.</w:t>
      </w:r>
    </w:p>
  </w:footnote>
  <w:footnote w:id="53">
    <w:p w:rsidR="00D34104" w:rsidRPr="00194ACF" w:rsidRDefault="00D34104" w:rsidP="00D34104">
      <w:pPr>
        <w:widowControl w:val="0"/>
        <w:autoSpaceDE w:val="0"/>
        <w:autoSpaceDN w:val="0"/>
        <w:adjustRightInd w:val="0"/>
        <w:spacing w:after="120"/>
        <w:ind w:left="284" w:right="276" w:firstLine="425"/>
        <w:jc w:val="both"/>
        <w:rPr>
          <w:sz w:val="22"/>
        </w:rPr>
      </w:pPr>
      <w:r w:rsidRPr="00194ACF">
        <w:rPr>
          <w:rStyle w:val="Rimandonotaapidipagina"/>
          <w:sz w:val="22"/>
        </w:rPr>
        <w:footnoteRef/>
      </w:r>
      <w:r w:rsidRPr="00194ACF">
        <w:rPr>
          <w:sz w:val="22"/>
        </w:rPr>
        <w:t xml:space="preserve"> </w:t>
      </w:r>
      <w:r w:rsidRPr="00194ACF">
        <w:rPr>
          <w:rFonts w:cs="Helvetica"/>
          <w:sz w:val="22"/>
          <w:szCs w:val="26"/>
          <w:lang w:bidi="it-IT"/>
        </w:rPr>
        <w:t xml:space="preserve">La trama più popolare è quella che vede un giorno una regina intenta a cucire nei presi di una foresta, sulla neve. Si punge un dito e guardando il sangue sul terreno innevato, desidera d’avere una figlia con i capelli scuri come l’ebano, la pelle bianca come la neve e le labbra rosse come il sangue. Dopo qualche tempo la sovrana, proprio nel partorire una bimba tanto bella e aggraziata, muore. Alla neonata viene imposto il nome di Biancaneve. Il re, per assicurare una figura materna alla figlia, decide di risposarsi. La seconda moglie del nobiluomo, una bellissima negromante che possedeva uno specchio magico, invidiosa della bellezza della giovane figliastra, incarica un cacciatore di portare la ragazza nel bosco, ucciderla e riportarle il cuore come prova della conclusione del suo compito. Il cacciatore, però, impietosito dell’implorare della fanciulla e dalla sua bellezza, decide di lasciarla nel bosco e di uccidere un cinghiale, portando alla regina il muscolo cardiaco della preda, convinto che comunque Biancaneve verrà uccisa da qualche fiera selvatica. La regina, in un rito magico e truculento, divora il cuore che crede della piccina. Biancaneve, dopo aver vagato per un po’ nel bosco, si imbatte in una casetta nella quale abitano </w:t>
      </w:r>
      <w:r w:rsidRPr="00194ACF">
        <w:rPr>
          <w:rFonts w:cs="Helvetica"/>
          <w:i/>
          <w:sz w:val="22"/>
          <w:szCs w:val="26"/>
          <w:lang w:bidi="it-IT"/>
        </w:rPr>
        <w:t>sette nani</w:t>
      </w:r>
      <w:r w:rsidRPr="00194ACF">
        <w:rPr>
          <w:rFonts w:cs="Helvetica"/>
          <w:sz w:val="22"/>
          <w:szCs w:val="26"/>
          <w:lang w:bidi="it-IT"/>
        </w:rPr>
        <w:t>, che lavorano in una vicina miniera per guadagnarsi da vivere. La casa è vuota e Biancaneve, affamata e stanca, si nutre con parte del cibo preparato dai nani, prendendone un poco di ogni porzione, per poi addormentarsi nell’unico dei sette letti della propria misura. I nani, dopo un primo attimo di sgomento per l’intrusione, sono felici di ospitare la dolce fanciulla, che in cambio li accudisce nelle faccende domestiche. La vita scorre tranquilla fino a quando la regina cattiva, grazie allo specchio fatato, scopre che la ragazza è viva e in salute. Travestitasi da vecchia venditrice, cerca perciò per due volte di uccidere la figliastra prima stringendole una cintura in vita fino a toglierle il respiro, poi con un pettine avvelenato. In entrambi i casi la giovane viene però salvata dall’intervento dei nani, che riescono a farle riprendere i sensi, ammonendola ogni volta di non far entrare nessuno in casa. A questo punto la regina, travestita da vecchia contadina e venditrice di frutta, si avvia nuovamente verso la casa dei nani con l’obiettivo di far assaggiare a Biancaneve un pomo avvelenato. Per convincere Biancaneve ad accettare la mela in dono la taglia in due, assaggiandone la metà incontaminata. Biancaneve al primo morso della parte avvelenata, cade in uno stato di morte apparente da cui nessuno degli sforzi compiuti dai nani riesce a svegliarla. Gli stessi nani, convinti che sia morta, la pongono in una bara di cristallo e la sistemano sulla cima di una collina in mezzo al bosco. Per molto tempo Biancaneve resta vegliata dai suoi piccoli amici finché un giorno non viene notata da un principe casualmente di passaggio. Il principe, vorrebbe portarla nel suo castello, per poterla ammirare e onorare per tutti i giorni della sua vita. Dopo molte insistenze i nani, impietositi dai sentimenti del giovane, acconsentono alla sua richiesta. Avviene però che uno dei servitori del principe, arrivati per trasportare la bara al castello, inciampi su di una radice sporgente, facendo cadere la bara giù per il fianco della collina. Durante la caduta esce dalla bocca di Biancaneve il boccone di mela avvelenato e così la ragazza si risveglia. Biancaneve s’innamora subito del principe e vengono organizzate le nozze a cui viene invitata anche la matrigna di Biancaneve. Questa, che non conosceva il nome della sposa, ma era stata avvertita dallo specchio che era più bella di lei, rimane impietrita riconoscendo ancora in vita colei che credeva ormai di aver ucciso. La matrigna è impietrita e la terribile punizione per le sue malefatte viene portata a compimento: vengono fatte arroventare sulle braci due scarpe di ferro che la donna viene costretta ad indossare. Con gli incandescenti calzari ella dovrà soffrire e ballare fino alla morte. In un’altra versione il finale è diverso: la matrigna, giunta al castello, rimane stupita. Riavutasi dalla sorpresa tenta di fuggire, ma i presenti chiedono al re di punirla. Così, vestita di cenci e dimenticata, vive a lungo in un carcere oscuro. Solo Biancaneve si reca spesso a darle conforto, poiché i buoni non conoscono l’odio.</w:t>
      </w:r>
    </w:p>
    <w:p w:rsidR="00D34104" w:rsidRDefault="00D34104" w:rsidP="00D34104">
      <w:pPr>
        <w:pStyle w:val="Testonotaapidipagina"/>
      </w:pPr>
    </w:p>
  </w:footnote>
  <w:footnote w:id="54">
    <w:p w:rsidR="00D34104" w:rsidRPr="006E36E7" w:rsidRDefault="00D34104" w:rsidP="00D34104">
      <w:pPr>
        <w:pStyle w:val="Testonotaapidipagina"/>
        <w:ind w:left="284" w:right="276" w:firstLine="425"/>
        <w:jc w:val="both"/>
        <w:rPr>
          <w:sz w:val="22"/>
        </w:rPr>
      </w:pPr>
      <w:r w:rsidRPr="006E36E7">
        <w:rPr>
          <w:rStyle w:val="Rimandonotaapidipagina"/>
          <w:sz w:val="22"/>
        </w:rPr>
        <w:footnoteRef/>
      </w:r>
      <w:r w:rsidRPr="006E36E7">
        <w:rPr>
          <w:sz w:val="22"/>
        </w:rPr>
        <w:t xml:space="preserve"> Sull’importanza dei tratti matriarcali nelle più antiche culture proto-germaniche si vedano le belle osservazioni contenute in Sandra Bosco Coletsos e Marcella Costa, </w:t>
      </w:r>
      <w:r w:rsidRPr="006E36E7">
        <w:rPr>
          <w:i/>
          <w:sz w:val="22"/>
        </w:rPr>
        <w:t>La struttura parentale nelle fiabe dei fratelli Grimm</w:t>
      </w:r>
      <w:r w:rsidRPr="006E36E7">
        <w:rPr>
          <w:sz w:val="22"/>
        </w:rPr>
        <w:t xml:space="preserve">, Edizioni dell’Orso, Torino 2001, p. 44 e ss. Anche in questo l’aspetto contrastivo con l’impostazione del diritto romano è totale. Basti pensare che per gli antichi romani la donna nel matrimonio e nella famiglia in generale non era soggetto ma semplice oggetto, quasi al pari di beni inanimati e schiavi. Del resto è significativo il fatto che l’espressione </w:t>
      </w:r>
      <w:r w:rsidRPr="006E36E7">
        <w:rPr>
          <w:i/>
          <w:sz w:val="22"/>
        </w:rPr>
        <w:t>matrimonium</w:t>
      </w:r>
      <w:r w:rsidRPr="006E36E7">
        <w:rPr>
          <w:sz w:val="22"/>
        </w:rPr>
        <w:t xml:space="preserve"> indichi l’ingresso nella condizione giuridica dell’essere madre generatrice di una famiglia, mentre il corrispondente giuridico dell’essere padre, cioè il </w:t>
      </w:r>
      <w:r w:rsidRPr="006E36E7">
        <w:rPr>
          <w:i/>
          <w:sz w:val="22"/>
        </w:rPr>
        <w:t>patrimonium</w:t>
      </w:r>
      <w:r w:rsidRPr="006E36E7">
        <w:rPr>
          <w:sz w:val="22"/>
        </w:rPr>
        <w:t>, rimandi al senso ed al costrutto del dominio, dei rapporti gestiti e controllati da un soggetto che di essi sia titolare. Moltissime fiabe dei fratelli Grimm, prodotto di una tradizione orale immemorabile, esaltano questa prerogativa matrilineare e vedono pertanto la madre/regina/matrigna come protagonista, nel bene e nel male, del destino e della sorte dei figli (</w:t>
      </w:r>
      <w:r w:rsidRPr="006E36E7">
        <w:rPr>
          <w:i/>
          <w:sz w:val="22"/>
        </w:rPr>
        <w:t>Biancaneve</w:t>
      </w:r>
      <w:r w:rsidRPr="006E36E7">
        <w:rPr>
          <w:sz w:val="22"/>
        </w:rPr>
        <w:t xml:space="preserve">, </w:t>
      </w:r>
      <w:r w:rsidRPr="006E36E7">
        <w:rPr>
          <w:i/>
          <w:sz w:val="22"/>
        </w:rPr>
        <w:t>Hansel e Gretel</w:t>
      </w:r>
      <w:r w:rsidRPr="006E36E7">
        <w:rPr>
          <w:sz w:val="22"/>
        </w:rPr>
        <w:t xml:space="preserve">, </w:t>
      </w:r>
      <w:r w:rsidRPr="006E36E7">
        <w:rPr>
          <w:i/>
          <w:sz w:val="22"/>
        </w:rPr>
        <w:t>Cenerentola</w:t>
      </w:r>
      <w:r w:rsidRPr="006E36E7">
        <w:rPr>
          <w:sz w:val="22"/>
        </w:rPr>
        <w:t>…solo per fare gli esempi più eclatanti); la vedono come primattrice assoluta, come dispensatrice di consigli, come protettrice della prole o vessatrice della stessa, laddove il ruolo paterno è spesso quello, relegato ai margini della narrazione, di un re, o anche solo di un padre, vedovo, imbelle e succube della propria consorte.</w:t>
      </w:r>
    </w:p>
  </w:footnote>
  <w:footnote w:id="55">
    <w:p w:rsidR="00D34104" w:rsidRPr="006E36E7" w:rsidRDefault="00D34104" w:rsidP="00D34104">
      <w:pPr>
        <w:pStyle w:val="Testonotaapidipagina"/>
        <w:ind w:left="284" w:right="276" w:firstLine="425"/>
        <w:jc w:val="both"/>
        <w:rPr>
          <w:sz w:val="22"/>
        </w:rPr>
      </w:pPr>
      <w:r w:rsidRPr="006E36E7">
        <w:rPr>
          <w:rStyle w:val="Rimandonotaapidipagina"/>
          <w:sz w:val="22"/>
        </w:rPr>
        <w:footnoteRef/>
      </w:r>
      <w:r w:rsidRPr="006E36E7">
        <w:rPr>
          <w:sz w:val="22"/>
        </w:rPr>
        <w:t xml:space="preserve"> Il </w:t>
      </w:r>
      <w:r w:rsidRPr="006E36E7">
        <w:rPr>
          <w:i/>
          <w:sz w:val="22"/>
        </w:rPr>
        <w:t>capitolare dei sassoni</w:t>
      </w:r>
      <w:r w:rsidRPr="006E36E7">
        <w:rPr>
          <w:sz w:val="22"/>
        </w:rPr>
        <w:t xml:space="preserve"> emanato da Carlo Magno nel 785, dopo la definitiva sconfitta del re Vitichindo (</w:t>
      </w:r>
      <w:r w:rsidRPr="006E36E7">
        <w:rPr>
          <w:i/>
          <w:sz w:val="22"/>
        </w:rPr>
        <w:t>Widuking</w:t>
      </w:r>
      <w:r w:rsidRPr="006E36E7">
        <w:rPr>
          <w:sz w:val="22"/>
        </w:rPr>
        <w:t>), fu particolarmente duro ed intransigente. I sassoni ormai aggiogati, che di loro praticavano culti animistici e di tipo naturalistico, venivano duramente puniti quando non partecipavano alle funzioni religiose, quando non battezzavano i figli o non rendevano ossequio a vescovi ed altri prelati, senza dire di tutto il resto dei precetti di un diritto privato loro del tutto incomprensibile.</w:t>
      </w:r>
    </w:p>
  </w:footnote>
  <w:footnote w:id="56">
    <w:p w:rsidR="00D34104" w:rsidRPr="00436109" w:rsidRDefault="00D34104" w:rsidP="00D34104">
      <w:pPr>
        <w:ind w:left="284" w:right="276" w:firstLine="425"/>
        <w:jc w:val="both"/>
        <w:rPr>
          <w:rFonts w:cs="Times-Roman"/>
          <w:sz w:val="22"/>
          <w:szCs w:val="26"/>
          <w:lang w:bidi="it-IT"/>
        </w:rPr>
      </w:pPr>
      <w:r>
        <w:rPr>
          <w:rStyle w:val="Rimandonotaapidipagina"/>
        </w:rPr>
        <w:footnoteRef/>
      </w:r>
      <w:r>
        <w:t xml:space="preserve"> </w:t>
      </w:r>
      <w:r w:rsidRPr="00436109">
        <w:rPr>
          <w:rFonts w:cs="Times-Roman"/>
          <w:sz w:val="22"/>
          <w:szCs w:val="26"/>
          <w:lang w:bidi="it-IT"/>
        </w:rPr>
        <w:t xml:space="preserve">Le vestigia psicologiche promananti dal tempo antico, anche in questo ponevano le abitudini degli antichi conquistatori romani in contrasto con lo schietto modo di vivere, largamente ambientato all’interno della Natura, delle popolazioni germaniche. I Romani conquistatori, come tra l’altro testimonia Tacito in molti passi della sua </w:t>
      </w:r>
      <w:r w:rsidRPr="00436109">
        <w:rPr>
          <w:rFonts w:cs="Times-Roman"/>
          <w:i/>
          <w:sz w:val="22"/>
          <w:szCs w:val="26"/>
          <w:lang w:bidi="it-IT"/>
        </w:rPr>
        <w:t>Germania</w:t>
      </w:r>
      <w:r w:rsidRPr="00436109">
        <w:rPr>
          <w:rFonts w:cs="Times-Roman"/>
          <w:sz w:val="22"/>
          <w:szCs w:val="26"/>
          <w:lang w:bidi="it-IT"/>
        </w:rPr>
        <w:t>, avevano una vera e propria mania per il disboscamento, dettata da preminenti ragioni militari e logistiche. Controllo territoriale dell’ambiente e delle popolazioni sottomesse e necessità di approvvigionarsi di legname, erano parole d’ordine imprescindibili. Nell’età classica romana il disboscamento nel bacino mediterraneo era divenuto talmente massiccio che i prezzi della legna erano in costante e paurosa ascesa. A parte le mire espansionistiche ed il desiderio di conquista, una delle esigenze di Roma era di accaparrarsi con la forza e l’occupazione militare le risorse che i vari territori possedevano. Erano inevitabili dunque le guerre in Gallia, in Germania, in Britannia, nella penisola Ispanica ed altri paesi con ricche e vergini foreste in modo da avere costanti approvvigionamenti di legname.  Gli storici latini ci hanno tramandato scritti dai quali si apprende che al porto di Ostia, all’apogeo del potere romano, attraccavano giornalmente decine di navi onerarie cariche di tronchi e di cataste lignee (fino a 500 tonnellate ciascuna), destinati alle costruzioni di edifici, di navi, di arredi e di macchinari da guerra, oltre che al riscaldamento delle terme, dei luoghi pubblici e delle abitazioni dei ricchi.</w:t>
      </w:r>
    </w:p>
    <w:p w:rsidR="00D34104" w:rsidRPr="00436109" w:rsidRDefault="00D34104" w:rsidP="00D34104">
      <w:pPr>
        <w:ind w:left="284" w:right="276" w:firstLine="425"/>
        <w:jc w:val="both"/>
        <w:rPr>
          <w:sz w:val="22"/>
        </w:rPr>
      </w:pPr>
      <w:r w:rsidRPr="00436109">
        <w:rPr>
          <w:rFonts w:cs="Times-Roman"/>
          <w:sz w:val="22"/>
          <w:szCs w:val="26"/>
          <w:lang w:bidi="it-IT"/>
        </w:rPr>
        <w:t xml:space="preserve"> L’intensa attività di taglio generalizzato, non seguita dal rimboschimento, con il passare dei secoli aveva portato alla distruzione di intere foreste dell’Europa centrale in particolare, oltre che alla scarsa reperibilità del materiale. Alcuni ricercatori inglesi hanno recentemente azzardato l’ipotesi che una concausa della caduta dell’Impero Romano fu proprio il così detto </w:t>
      </w:r>
      <w:r w:rsidRPr="00436109">
        <w:rPr>
          <w:rFonts w:cs="Times-Roman"/>
          <w:i/>
          <w:sz w:val="22"/>
          <w:szCs w:val="26"/>
          <w:lang w:bidi="it-IT"/>
        </w:rPr>
        <w:t>Wood Peak</w:t>
      </w:r>
      <w:r w:rsidRPr="00436109">
        <w:rPr>
          <w:rFonts w:cs="Times-Roman"/>
          <w:sz w:val="22"/>
          <w:szCs w:val="26"/>
          <w:lang w:bidi="it-IT"/>
        </w:rPr>
        <w:t xml:space="preserve">, il </w:t>
      </w:r>
      <w:r w:rsidRPr="00436109">
        <w:rPr>
          <w:rFonts w:cs="Times-Roman"/>
          <w:i/>
          <w:sz w:val="22"/>
          <w:szCs w:val="26"/>
          <w:lang w:bidi="it-IT"/>
        </w:rPr>
        <w:t>picco del legno</w:t>
      </w:r>
      <w:r w:rsidRPr="00436109">
        <w:rPr>
          <w:rFonts w:cs="Times-Roman"/>
          <w:sz w:val="22"/>
          <w:szCs w:val="26"/>
          <w:lang w:bidi="it-IT"/>
        </w:rPr>
        <w:t>. Infatti, i Romani ad un certo punto furono obbligati a reperire la preziosa materia in luoghi sempre più lontani, necessariamente sotto il controllo delle legioni. Lo spostamento di numerose armate verso le aree più periferiche dei domini romani avrebbe causato di fatto l’indebolimento del cuore dell’Impero stesso, e l’esposizione di un’indebolita Roma alle armi barbariche dei conquistatori.</w:t>
      </w:r>
    </w:p>
    <w:p w:rsidR="00D34104" w:rsidRDefault="00D34104" w:rsidP="00D34104">
      <w:pPr>
        <w:pStyle w:val="Testonotaapidipagina"/>
        <w:ind w:left="284" w:right="276" w:firstLine="425"/>
        <w:jc w:val="both"/>
      </w:pPr>
    </w:p>
  </w:footnote>
  <w:footnote w:id="57">
    <w:p w:rsidR="00D34104" w:rsidRDefault="00D34104" w:rsidP="00D34104">
      <w:pPr>
        <w:pStyle w:val="Testonotaapidipagina"/>
        <w:ind w:left="284" w:right="276" w:firstLine="425"/>
        <w:jc w:val="both"/>
      </w:pPr>
      <w:r>
        <w:rPr>
          <w:rStyle w:val="Rimandonotaapidipagina"/>
        </w:rPr>
        <w:footnoteRef/>
      </w:r>
      <w:r>
        <w:t xml:space="preserve"> </w:t>
      </w:r>
      <w:r w:rsidRPr="008D78FE">
        <w:rPr>
          <w:sz w:val="22"/>
        </w:rPr>
        <w:t xml:space="preserve">L’episodio, dato dagli storici per realmente accaduto, viene collocato nel 1284; cfr. in proposito Barbara Leonie Picard, </w:t>
      </w:r>
      <w:r w:rsidRPr="004B274C">
        <w:rPr>
          <w:i/>
          <w:sz w:val="22"/>
        </w:rPr>
        <w:t>Germania, saghe e racconti popolari</w:t>
      </w:r>
      <w:r w:rsidRPr="008D78FE">
        <w:rPr>
          <w:sz w:val="22"/>
        </w:rPr>
        <w:t>, Editrice Janus, Bergamo 1979, p. 138 e ss.</w:t>
      </w:r>
    </w:p>
  </w:footnote>
  <w:footnote w:id="58">
    <w:p w:rsidR="00D34104" w:rsidRPr="00643171" w:rsidRDefault="00D34104" w:rsidP="00D34104">
      <w:pPr>
        <w:ind w:left="284" w:right="276" w:firstLine="425"/>
        <w:jc w:val="both"/>
        <w:rPr>
          <w:sz w:val="22"/>
        </w:rPr>
      </w:pPr>
      <w:r w:rsidRPr="00643171">
        <w:rPr>
          <w:rStyle w:val="Rimandonotaapidipagina"/>
          <w:sz w:val="22"/>
        </w:rPr>
        <w:footnoteRef/>
      </w:r>
      <w:r w:rsidRPr="00643171">
        <w:rPr>
          <w:sz w:val="22"/>
        </w:rPr>
        <w:t xml:space="preserve">  Sulla lettura del mito giuridico del </w:t>
      </w:r>
      <w:r w:rsidRPr="00643171">
        <w:rPr>
          <w:i/>
          <w:sz w:val="22"/>
        </w:rPr>
        <w:t xml:space="preserve">Pifferaio di Hamelin </w:t>
      </w:r>
      <w:r w:rsidRPr="00643171">
        <w:rPr>
          <w:sz w:val="22"/>
        </w:rPr>
        <w:t xml:space="preserve">vedi Jean Carbonnier, </w:t>
      </w:r>
      <w:r w:rsidRPr="00643171">
        <w:rPr>
          <w:i/>
          <w:sz w:val="22"/>
        </w:rPr>
        <w:t>Flessibile diritto</w:t>
      </w:r>
      <w:r w:rsidRPr="00643171">
        <w:rPr>
          <w:sz w:val="22"/>
        </w:rPr>
        <w:t xml:space="preserve">, Giuffrè, Milano 1997, p. 225, con sintetica indicazione delle varie teorie interpretative di quella novella. In questo caso la leggenda, che si vuole tragga spunto da una tragedia realmente accaduta, ha influenzato il diritto positivo, dal momento che esiste ancora, ad Hameln, in onore di quei bambini scomparsi, una norma comunale che vieta, in determinate strade del centro cittadino, l’uso di strumenti musicali. E’ un caso emblematico che dimostra quanto in termini generali aveva sostenuto Carbonnier col dire, nei luoghi sopra citati, che “la favola, senza avere per nulla l’aria di farlo, conduce i lettori dalla narrazione alla norma”. </w:t>
      </w:r>
      <w:r w:rsidRPr="00643171">
        <w:rPr>
          <w:rFonts w:cs="Times-Roman"/>
          <w:sz w:val="22"/>
          <w:szCs w:val="22"/>
          <w:lang w:bidi="it-IT"/>
        </w:rPr>
        <w:t xml:space="preserve">Il racconto infatti per il giurista e sociologo francese, deve intendersi sempre come </w:t>
      </w:r>
      <w:r w:rsidRPr="00643171">
        <w:rPr>
          <w:rFonts w:cs="Times-Roman"/>
          <w:i/>
          <w:iCs/>
          <w:sz w:val="22"/>
          <w:szCs w:val="22"/>
          <w:lang w:bidi="it-IT"/>
        </w:rPr>
        <w:t xml:space="preserve">meccanismo sociale di strutturazione e destrutturazione di significati di varia natura, compresi quelli giuridici </w:t>
      </w:r>
      <w:r w:rsidRPr="00643171">
        <w:rPr>
          <w:rFonts w:cs="Times-Roman"/>
          <w:iCs/>
          <w:sz w:val="22"/>
          <w:szCs w:val="22"/>
          <w:lang w:bidi="it-IT"/>
        </w:rPr>
        <w:t xml:space="preserve">ed </w:t>
      </w:r>
      <w:r w:rsidRPr="00643171">
        <w:rPr>
          <w:rFonts w:cs="Times-Roman"/>
          <w:sz w:val="22"/>
          <w:szCs w:val="22"/>
          <w:lang w:bidi="it-IT"/>
        </w:rPr>
        <w:t xml:space="preserve">eccede sempre le sue sole manifestazioni, in questo caso, “fiabesche”. Ancor più della letteratura tradizionale, che patisce il prezzo di nascere come fenomeno quasi esclusivamente legato alla scrittura ed alla sua cristallizzazione, la categoria della narrazione sembra più adeguata a consentirci, soprattutto in tempi di globalizzazione, di </w:t>
      </w:r>
      <w:r w:rsidRPr="00643171">
        <w:rPr>
          <w:rFonts w:cs="Times-Roman"/>
          <w:i/>
          <w:sz w:val="22"/>
          <w:szCs w:val="22"/>
          <w:lang w:bidi="it-IT"/>
        </w:rPr>
        <w:t>abitare il mondo</w:t>
      </w:r>
      <w:r w:rsidRPr="00643171">
        <w:rPr>
          <w:rFonts w:cs="Times-Roman"/>
          <w:sz w:val="22"/>
          <w:szCs w:val="22"/>
          <w:lang w:bidi="it-IT"/>
        </w:rPr>
        <w:t>. Ebbene il diritto è certamente una</w:t>
      </w:r>
      <w:r w:rsidRPr="00643171">
        <w:rPr>
          <w:rFonts w:cs="Times-Roman"/>
          <w:i/>
          <w:iCs/>
          <w:sz w:val="22"/>
          <w:szCs w:val="22"/>
          <w:lang w:bidi="it-IT"/>
        </w:rPr>
        <w:t xml:space="preserve"> </w:t>
      </w:r>
      <w:r w:rsidRPr="00643171">
        <w:rPr>
          <w:rFonts w:cs="Times-Roman"/>
          <w:sz w:val="22"/>
          <w:szCs w:val="22"/>
          <w:lang w:bidi="it-IT"/>
        </w:rPr>
        <w:t>delle narrazioni possibili, costretta, per vivere davvero, ad attingere a repertori simbolici e finzionali che condivide con altre modalità del narrare la realtà</w:t>
      </w:r>
      <w:r w:rsidRPr="00643171">
        <w:rPr>
          <w:rFonts w:cs="Times-Roman"/>
          <w:sz w:val="22"/>
          <w:szCs w:val="14"/>
          <w:lang w:bidi="it-IT"/>
        </w:rPr>
        <w:t>, come favole e fiabe.</w:t>
      </w:r>
      <w:r w:rsidRPr="00643171">
        <w:rPr>
          <w:rFonts w:cs="Times-Roman"/>
          <w:sz w:val="22"/>
          <w:szCs w:val="22"/>
          <w:lang w:bidi="it-IT"/>
        </w:rPr>
        <w:t xml:space="preserve"> Jean Carbonnier parla in proposito di </w:t>
      </w:r>
      <w:r w:rsidRPr="00643171">
        <w:rPr>
          <w:rFonts w:cs="Times-Roman"/>
          <w:i/>
          <w:sz w:val="22"/>
          <w:szCs w:val="22"/>
          <w:lang w:bidi="it-IT"/>
        </w:rPr>
        <w:t>pluralismo giusletterario</w:t>
      </w:r>
      <w:r w:rsidRPr="00643171">
        <w:rPr>
          <w:rFonts w:cs="Times-Roman"/>
          <w:sz w:val="22"/>
          <w:szCs w:val="22"/>
          <w:lang w:bidi="it-IT"/>
        </w:rPr>
        <w:t>, capace univocamente di passare dal narrativo al normativo e, diremmo, viceversa.</w:t>
      </w:r>
    </w:p>
    <w:p w:rsidR="00D34104" w:rsidRPr="00643171" w:rsidRDefault="00D34104" w:rsidP="00D34104">
      <w:pPr>
        <w:pStyle w:val="Testonotaapidipagina"/>
        <w:ind w:left="284" w:right="276" w:firstLine="425"/>
        <w:jc w:val="both"/>
        <w:rPr>
          <w:sz w:val="22"/>
        </w:rPr>
      </w:pPr>
      <w:r w:rsidRPr="00643171">
        <w:rPr>
          <w:sz w:val="22"/>
        </w:rPr>
        <w:t xml:space="preserve">Gli interessanti nessi pluri-univoci tra mito, sua espressione letteraria e codifica di regole generali di comportamento ha formato oggetto di un celebrato saggio di Anita Seppilli, </w:t>
      </w:r>
      <w:r w:rsidRPr="00643171">
        <w:rPr>
          <w:i/>
          <w:sz w:val="22"/>
        </w:rPr>
        <w:t>Poesia e magia</w:t>
      </w:r>
      <w:r w:rsidRPr="00643171">
        <w:rPr>
          <w:sz w:val="22"/>
        </w:rPr>
        <w:t xml:space="preserve">, Sellerio, Palermo 2011, del quale si vedano soprattutto le pp. 205 e ss. </w:t>
      </w:r>
    </w:p>
  </w:footnote>
  <w:footnote w:id="59">
    <w:p w:rsidR="00D34104" w:rsidRPr="0092496C" w:rsidRDefault="00D34104" w:rsidP="00D34104">
      <w:pPr>
        <w:pStyle w:val="Testonotaapidipagina"/>
        <w:ind w:left="284" w:right="276" w:firstLine="425"/>
        <w:jc w:val="both"/>
        <w:rPr>
          <w:sz w:val="22"/>
        </w:rPr>
      </w:pPr>
      <w:r w:rsidRPr="0092496C">
        <w:rPr>
          <w:rStyle w:val="Rimandonotaapidipagina"/>
          <w:sz w:val="22"/>
        </w:rPr>
        <w:footnoteRef/>
      </w:r>
      <w:r w:rsidRPr="0092496C">
        <w:rPr>
          <w:sz w:val="22"/>
        </w:rPr>
        <w:t xml:space="preserve"> Si può leggere in traduzione italiana in Jacob e Wilhelm Grimm, </w:t>
      </w:r>
      <w:r w:rsidRPr="0092496C">
        <w:rPr>
          <w:i/>
          <w:sz w:val="22"/>
        </w:rPr>
        <w:t>Fiabe</w:t>
      </w:r>
      <w:r w:rsidRPr="0092496C">
        <w:rPr>
          <w:sz w:val="22"/>
        </w:rPr>
        <w:t>, Torino, Einaudi 1992, p. 478 (trad. it. di Clara Bovero).</w:t>
      </w:r>
    </w:p>
  </w:footnote>
  <w:footnote w:id="60">
    <w:p w:rsidR="00D34104" w:rsidRPr="003B48DE" w:rsidRDefault="00D34104" w:rsidP="00D34104">
      <w:pPr>
        <w:pStyle w:val="Testonotaapidipagina"/>
        <w:ind w:left="284" w:right="276" w:firstLine="425"/>
        <w:jc w:val="both"/>
        <w:rPr>
          <w:sz w:val="22"/>
        </w:rPr>
      </w:pPr>
      <w:r w:rsidRPr="0092496C">
        <w:rPr>
          <w:rStyle w:val="Rimandonotaapidipagina"/>
          <w:sz w:val="22"/>
        </w:rPr>
        <w:footnoteRef/>
      </w:r>
      <w:r w:rsidRPr="0092496C">
        <w:rPr>
          <w:sz w:val="22"/>
        </w:rPr>
        <w:t xml:space="preserve"> Che i fratelli Grimm, attraverso la loro ricerca folklorico-giuridic</w:t>
      </w:r>
      <w:r w:rsidRPr="003B48DE">
        <w:rPr>
          <w:sz w:val="22"/>
        </w:rPr>
        <w:t xml:space="preserve">a finalizzata ad accentuare la cifra spirituale della nazione germanica, naturalmente insieme a molte altre componenti, abbiano potuto essere inconsapevole </w:t>
      </w:r>
      <w:r w:rsidRPr="003B48DE">
        <w:rPr>
          <w:i/>
          <w:sz w:val="22"/>
        </w:rPr>
        <w:t>humus</w:t>
      </w:r>
      <w:r w:rsidRPr="003B48DE">
        <w:rPr>
          <w:sz w:val="22"/>
        </w:rPr>
        <w:t xml:space="preserve"> del seme hitleriano, è cosa notata da più parti. Ne ha parlato esplicitamente Roberto Escobar, uno dei più originali filosofi italiani della politica; cfr. Roberto Escobar, </w:t>
      </w:r>
      <w:r w:rsidRPr="003B48DE">
        <w:rPr>
          <w:i/>
          <w:sz w:val="22"/>
        </w:rPr>
        <w:t>Il silenzio dei persecutori, ovvero il Coraggio di Shahrazàd</w:t>
      </w:r>
      <w:r w:rsidRPr="003B48DE">
        <w:rPr>
          <w:sz w:val="22"/>
        </w:rPr>
        <w:t xml:space="preserve">, il Mulino, Bologna 2001, p. 33 e ss., dove è indicata la filastrocca </w:t>
      </w:r>
      <w:r w:rsidRPr="003B48DE">
        <w:rPr>
          <w:i/>
          <w:sz w:val="22"/>
        </w:rPr>
        <w:t>Donnette</w:t>
      </w:r>
      <w:r w:rsidRPr="003B48DE">
        <w:rPr>
          <w:sz w:val="22"/>
        </w:rPr>
        <w:t xml:space="preserve">. Da un punto di vista più squisitamente giuridico, in un’affascinante lettura che ha coniugato temi storici e di carattere schiettamente istituzionale, lo stesso tema è stato affrontato dal già ricordato Onorato Bucci, </w:t>
      </w:r>
      <w:r w:rsidRPr="003B48DE">
        <w:rPr>
          <w:i/>
          <w:sz w:val="22"/>
        </w:rPr>
        <w:t>Germanesimo e romanità</w:t>
      </w:r>
      <w:r w:rsidRPr="003B48DE">
        <w:rPr>
          <w:sz w:val="22"/>
        </w:rPr>
        <w:t>, Edizioni Scientifiche Italiane, Napoli 2004, p. 175 e ss. con amplia bibliografia critica.</w:t>
      </w:r>
    </w:p>
  </w:footnote>
  <w:footnote w:id="61">
    <w:p w:rsidR="00D34104" w:rsidRDefault="00D34104" w:rsidP="00D34104">
      <w:pPr>
        <w:pStyle w:val="Testonotaapidipagina"/>
        <w:ind w:left="284" w:right="276" w:firstLine="425"/>
        <w:jc w:val="both"/>
      </w:pPr>
      <w:r w:rsidRPr="003B48DE">
        <w:rPr>
          <w:rStyle w:val="Rimandonotaapidipagina"/>
          <w:sz w:val="22"/>
        </w:rPr>
        <w:footnoteRef/>
      </w:r>
      <w:r w:rsidRPr="003B48DE">
        <w:rPr>
          <w:sz w:val="22"/>
        </w:rPr>
        <w:t xml:space="preserve"> L’intransigente lettura luterana al testo biblico vetero e neotestamentario è notoria. Non è certo questa la sede per disquisizioni ermeneutiche e teologiche in materia. E’ un fatto documentale che questa impostazione di studio portò il teologo della Riforma su posizioni dichiaratamente antisemite. Nel concludere la propria tesi sul </w:t>
      </w:r>
      <w:r w:rsidRPr="003B48DE">
        <w:rPr>
          <w:i/>
          <w:sz w:val="22"/>
        </w:rPr>
        <w:t>Vermahnung wider die Juden</w:t>
      </w:r>
      <w:r w:rsidRPr="003B48DE">
        <w:rPr>
          <w:sz w:val="22"/>
        </w:rPr>
        <w:t xml:space="preserve"> (</w:t>
      </w:r>
      <w:r w:rsidRPr="003B48DE">
        <w:rPr>
          <w:i/>
          <w:sz w:val="22"/>
        </w:rPr>
        <w:t>Ammonimento ai Giudei</w:t>
      </w:r>
      <w:r w:rsidRPr="003B48DE">
        <w:rPr>
          <w:sz w:val="22"/>
        </w:rPr>
        <w:t xml:space="preserve"> del 1546) egli scriveva: “ Se gli Ebrei vorranno convertirsi al Cristianesimo e sconfessare le loro bestemmie e quant’altro di male abbiano fatto, li perdoneremo volentieri. In caso contrario, non tollereremo né sopporteremo neanche la loro presenza presso di noi”. Più o meno nel medesimo torno temporale il cuore della Germania era sconvolto dalle continue rivolte contadine, almeno inizialmente salutate con entusiasmo dallo stesso Lutero. I rivoltosi contestavano apertamente l’autorità del diritto romano-canonico, ininterrottamente importato in Germania, almeno a partire dal XIII secolo, dai numerosissimi studenti che si addottoravano </w:t>
      </w:r>
      <w:r w:rsidRPr="003B48DE">
        <w:rPr>
          <w:i/>
          <w:sz w:val="22"/>
        </w:rPr>
        <w:t>in utroque</w:t>
      </w:r>
      <w:r w:rsidRPr="003B48DE">
        <w:rPr>
          <w:sz w:val="22"/>
        </w:rPr>
        <w:t xml:space="preserve"> preso lo studio universitario di Bologna. Del resto contadini e fittavoli avevano un preciso interesse alla sedizione ed alla rivolta: essi non trovavano infatti nel diritto romano, che si diffondeva a macchia d’olio in Germania, le regole giuridiche applicabili ai loro molteplici rapporti di dipendenza dai feudatari e dai padroni. Il diritto romano aveva invece fornito ai feudatari che lo conoscevano e potevano servirsene davanti le corti tedesche che lo applicavano, gli strumenti tecnici per considerare i servi della gleba dei semplici affittuari e cacciarli così dalle terre da essi sempre occupate, come conseguenza di semplici meccanismi contrattuali. Il malcontento era elevatissimo. I fittavoli marciavano contro municipi, città e tribunali al significativo grido </w:t>
      </w:r>
      <w:r w:rsidRPr="003B48DE">
        <w:rPr>
          <w:i/>
          <w:sz w:val="22"/>
        </w:rPr>
        <w:t>Juristen, Schlechte Christen</w:t>
      </w:r>
      <w:r w:rsidRPr="003B48DE">
        <w:rPr>
          <w:sz w:val="22"/>
        </w:rPr>
        <w:t xml:space="preserve"> (legulei, cattivi cristiani…), accomunando i giuristi romanisti agli scomunicati nemici del germanesimo tradizionale; cfr. Onorato Bucci,</w:t>
      </w:r>
      <w:r w:rsidRPr="003B48DE">
        <w:rPr>
          <w:i/>
          <w:sz w:val="22"/>
        </w:rPr>
        <w:t xml:space="preserve"> Germanesimo e romanità</w:t>
      </w:r>
      <w:r w:rsidRPr="003B48DE">
        <w:rPr>
          <w:sz w:val="22"/>
        </w:rPr>
        <w:t xml:space="preserve">, </w:t>
      </w:r>
      <w:r w:rsidRPr="003B48DE">
        <w:rPr>
          <w:i/>
          <w:sz w:val="22"/>
        </w:rPr>
        <w:t>op. sup. cit.</w:t>
      </w:r>
      <w:r w:rsidRPr="003B48DE">
        <w:rPr>
          <w:sz w:val="22"/>
        </w:rPr>
        <w:t xml:space="preserve">, p. 143 e ss. ed anche Paul Koschaker, </w:t>
      </w:r>
      <w:r w:rsidRPr="003B48DE">
        <w:rPr>
          <w:i/>
          <w:sz w:val="22"/>
        </w:rPr>
        <w:t>L’Europa e il diritto romano</w:t>
      </w:r>
      <w:r w:rsidRPr="003B48DE">
        <w:rPr>
          <w:sz w:val="22"/>
        </w:rPr>
        <w:t>, Sansoni Firenze 1962, p. 268.</w:t>
      </w:r>
      <w:r>
        <w:t xml:space="preserve">   </w:t>
      </w:r>
    </w:p>
  </w:footnote>
  <w:footnote w:id="62">
    <w:p w:rsidR="00D34104" w:rsidRPr="00596D4E" w:rsidRDefault="00D34104" w:rsidP="00D34104">
      <w:pPr>
        <w:pStyle w:val="Testonotaapidipagina"/>
        <w:ind w:left="284" w:right="276" w:firstLine="425"/>
        <w:jc w:val="both"/>
        <w:rPr>
          <w:sz w:val="22"/>
        </w:rPr>
      </w:pPr>
      <w:r w:rsidRPr="00596D4E">
        <w:rPr>
          <w:rStyle w:val="Rimandonotaapidipagina"/>
          <w:sz w:val="22"/>
        </w:rPr>
        <w:footnoteRef/>
      </w:r>
      <w:r w:rsidRPr="00596D4E">
        <w:rPr>
          <w:sz w:val="22"/>
        </w:rPr>
        <w:t xml:space="preserve"> Sul percorso storico, teoretico e giuridico che dalle categorie basiche dell’idealismo tedesco – Germanistica e filosofia hegeliana comprese - è arrivato dritto fino alle aberrazioni del Nazionalsocialismo, si rinvia alle lucide e documentate pagine di Raffaele Ajello in </w:t>
      </w:r>
      <w:r w:rsidRPr="00596D4E">
        <w:rPr>
          <w:i/>
          <w:sz w:val="22"/>
        </w:rPr>
        <w:t>Dalla magia al patto sociale. Profilo storico dell’esperienza istituzionale e giuridica</w:t>
      </w:r>
      <w:r w:rsidRPr="00596D4E">
        <w:rPr>
          <w:sz w:val="22"/>
        </w:rPr>
        <w:t xml:space="preserve">, Arte Tipografica Editrice, Napoli 2013, p. 338 e ss. Sulle perversioni dispotiche del diritto nazista - vero e proprio cancro totalitario di antigiuridicità - che anche nei rapporti privatistici esaltava il mito tribale del sangue e della terra e la vitalità socioculturale del popolo germanico, data da precisi marcatori biologici, vedi anche per la chiarezza di sintesi, Roberto Calvo, </w:t>
      </w:r>
      <w:r w:rsidRPr="00596D4E">
        <w:rPr>
          <w:i/>
          <w:sz w:val="22"/>
        </w:rPr>
        <w:t>L’autorevole codice civile: giustizia ed equità nel diritto privato</w:t>
      </w:r>
      <w:r w:rsidRPr="00596D4E">
        <w:rPr>
          <w:sz w:val="22"/>
        </w:rPr>
        <w:t>, Giuffrè, Milano 2013, p. 103 e ss.</w:t>
      </w:r>
    </w:p>
  </w:footnote>
  <w:footnote w:id="63">
    <w:p w:rsidR="00D34104" w:rsidRPr="00E30038" w:rsidRDefault="00D34104" w:rsidP="00D34104">
      <w:pPr>
        <w:pStyle w:val="Testonotaapidipagina"/>
        <w:ind w:left="284" w:right="276" w:firstLine="425"/>
        <w:jc w:val="both"/>
        <w:rPr>
          <w:sz w:val="22"/>
        </w:rPr>
      </w:pPr>
      <w:r w:rsidRPr="00E30038">
        <w:rPr>
          <w:rStyle w:val="Rimandonotaapidipagina"/>
          <w:sz w:val="22"/>
        </w:rPr>
        <w:footnoteRef/>
      </w:r>
      <w:r w:rsidRPr="00E30038">
        <w:rPr>
          <w:sz w:val="22"/>
        </w:rPr>
        <w:t xml:space="preserve"> Vedi Martha C. Nussbaum, </w:t>
      </w:r>
      <w:r w:rsidRPr="00E30038">
        <w:rPr>
          <w:i/>
          <w:sz w:val="22"/>
        </w:rPr>
        <w:t>Non per profitto</w:t>
      </w:r>
      <w:r w:rsidRPr="00E30038">
        <w:rPr>
          <w:sz w:val="22"/>
        </w:rPr>
        <w:t>, il Mulino, Bologna 2011, p. 52 e poi p. 62 per il riferimento alle anticipazioni, nelle fiabe dei Grimm, degli orrori nazisti.</w:t>
      </w:r>
    </w:p>
  </w:footnote>
  <w:footnote w:id="64">
    <w:p w:rsidR="00D34104" w:rsidRPr="00E30038" w:rsidRDefault="00D34104" w:rsidP="00D34104">
      <w:pPr>
        <w:pStyle w:val="Testonotaapidipagina"/>
        <w:ind w:left="284" w:right="276" w:firstLine="425"/>
        <w:jc w:val="both"/>
        <w:rPr>
          <w:sz w:val="22"/>
        </w:rPr>
      </w:pPr>
      <w:r w:rsidRPr="00E30038">
        <w:rPr>
          <w:rStyle w:val="Rimandonotaapidipagina"/>
          <w:sz w:val="22"/>
        </w:rPr>
        <w:footnoteRef/>
      </w:r>
      <w:r w:rsidRPr="00E30038">
        <w:rPr>
          <w:sz w:val="22"/>
        </w:rPr>
        <w:t xml:space="preserve"> Probabilmente è anzi…</w:t>
      </w:r>
      <w:r w:rsidRPr="00E30038">
        <w:rPr>
          <w:i/>
          <w:sz w:val="22"/>
        </w:rPr>
        <w:t>L’ultima fiaba dei fratelli Grimm</w:t>
      </w:r>
      <w:r w:rsidRPr="00E30038">
        <w:rPr>
          <w:sz w:val="22"/>
        </w:rPr>
        <w:t xml:space="preserve">. Così si intitola il bel romanzo di Haydn Middleton, lo scrittore inglese che nel 1999 ha romanzato, partendo dai </w:t>
      </w:r>
      <w:r w:rsidRPr="00E30038">
        <w:rPr>
          <w:i/>
          <w:sz w:val="22"/>
        </w:rPr>
        <w:t>Kinder und Hausemarchen</w:t>
      </w:r>
      <w:r w:rsidRPr="00E30038">
        <w:rPr>
          <w:sz w:val="22"/>
        </w:rPr>
        <w:t>, la storia delle influenze dell’epopea grimmiana nei confronti del III Reich.</w:t>
      </w:r>
    </w:p>
  </w:footnote>
  <w:footnote w:id="65">
    <w:p w:rsidR="00D34104" w:rsidRPr="00E744C5" w:rsidRDefault="00D34104" w:rsidP="00D34104">
      <w:pPr>
        <w:pStyle w:val="Testonotaapidipagina"/>
        <w:ind w:left="284" w:right="276" w:firstLine="425"/>
        <w:jc w:val="both"/>
        <w:rPr>
          <w:sz w:val="22"/>
        </w:rPr>
      </w:pPr>
      <w:r w:rsidRPr="00E744C5">
        <w:rPr>
          <w:rStyle w:val="Rimandonotaapidipagina"/>
          <w:sz w:val="22"/>
        </w:rPr>
        <w:footnoteRef/>
      </w:r>
      <w:r w:rsidRPr="00E744C5">
        <w:rPr>
          <w:sz w:val="22"/>
        </w:rPr>
        <w:t xml:space="preserve"> Immanuel Kant, </w:t>
      </w:r>
      <w:r w:rsidRPr="00E744C5">
        <w:rPr>
          <w:i/>
          <w:sz w:val="22"/>
        </w:rPr>
        <w:t>Vorlesung ueber Ethik</w:t>
      </w:r>
      <w:r w:rsidRPr="00E744C5">
        <w:rPr>
          <w:sz w:val="22"/>
        </w:rPr>
        <w:t xml:space="preserve">, p. 245; citato da Josef Pieper, </w:t>
      </w:r>
      <w:r w:rsidRPr="00E744C5">
        <w:rPr>
          <w:i/>
          <w:sz w:val="22"/>
        </w:rPr>
        <w:t>La giustizia</w:t>
      </w:r>
      <w:r w:rsidRPr="00E744C5">
        <w:rPr>
          <w:sz w:val="22"/>
        </w:rPr>
        <w:t>, Editrice Morcelliana, Brescia 2000, p. 39.</w:t>
      </w:r>
    </w:p>
  </w:footnote>
  <w:footnote w:id="66">
    <w:p w:rsidR="00D34104" w:rsidRPr="00E744C5" w:rsidRDefault="00D34104" w:rsidP="00D34104">
      <w:pPr>
        <w:pStyle w:val="Testonotaapidipagina"/>
        <w:ind w:left="284" w:right="276" w:firstLine="425"/>
        <w:jc w:val="both"/>
        <w:rPr>
          <w:sz w:val="22"/>
        </w:rPr>
      </w:pPr>
      <w:r w:rsidRPr="00E744C5">
        <w:rPr>
          <w:rStyle w:val="Rimandonotaapidipagina"/>
          <w:sz w:val="22"/>
        </w:rPr>
        <w:footnoteRef/>
      </w:r>
      <w:r w:rsidRPr="00E744C5">
        <w:rPr>
          <w:sz w:val="22"/>
        </w:rPr>
        <w:t xml:space="preserve"> Ci si riferisce all’originale contributo di Arnaldo Miglino, </w:t>
      </w:r>
      <w:r w:rsidRPr="00E744C5">
        <w:rPr>
          <w:i/>
          <w:sz w:val="22"/>
        </w:rPr>
        <w:t>La giustizia come sentimento</w:t>
      </w:r>
      <w:r w:rsidRPr="00E744C5">
        <w:rPr>
          <w:sz w:val="22"/>
        </w:rPr>
        <w:t xml:space="preserve">, Armando Editore, Roma 2012. L’autore, un giurista teorico e pratico versato nelle materie pubblicistiche, in un singolare </w:t>
      </w:r>
      <w:r w:rsidRPr="00E744C5">
        <w:rPr>
          <w:i/>
          <w:sz w:val="22"/>
        </w:rPr>
        <w:t>excursus</w:t>
      </w:r>
      <w:r w:rsidRPr="00E744C5">
        <w:rPr>
          <w:sz w:val="22"/>
        </w:rPr>
        <w:t xml:space="preserve"> che spazia tra arte, letteratura, psicologia, zoologia, scienze naturali, cinema e altre discipline umanistiche, ribadisce quel che solo in apparenza è ovvio e che ancora è tuttavia inviso alle frange oltranziste delle giusfilosofie analitiche, cioè che la dimensione della giustizia è prevalentemente quella del sentimento.  </w:t>
      </w:r>
    </w:p>
  </w:footnote>
  <w:footnote w:id="67">
    <w:p w:rsidR="00D34104" w:rsidRPr="00067CAC" w:rsidRDefault="00D34104" w:rsidP="00D34104">
      <w:pPr>
        <w:pStyle w:val="Testonotaapidipagina"/>
        <w:ind w:left="284" w:right="276" w:firstLine="425"/>
        <w:jc w:val="both"/>
        <w:rPr>
          <w:sz w:val="22"/>
        </w:rPr>
      </w:pPr>
      <w:r w:rsidRPr="00067CAC">
        <w:rPr>
          <w:rStyle w:val="Rimandonotaapidipagina"/>
          <w:sz w:val="22"/>
        </w:rPr>
        <w:footnoteRef/>
      </w:r>
      <w:r w:rsidRPr="00067CAC">
        <w:rPr>
          <w:sz w:val="22"/>
        </w:rPr>
        <w:t xml:space="preserve"> Cfr. Arnaldo Miglino, </w:t>
      </w:r>
      <w:r w:rsidRPr="00067CAC">
        <w:rPr>
          <w:i/>
          <w:sz w:val="22"/>
        </w:rPr>
        <w:t>La giustizia come sentimento</w:t>
      </w:r>
      <w:r w:rsidRPr="00067CAC">
        <w:rPr>
          <w:sz w:val="22"/>
        </w:rPr>
        <w:t xml:space="preserve">, </w:t>
      </w:r>
      <w:r w:rsidRPr="00067CAC">
        <w:rPr>
          <w:i/>
          <w:sz w:val="22"/>
        </w:rPr>
        <w:t>op. sup. cit.</w:t>
      </w:r>
      <w:r w:rsidRPr="00067CAC">
        <w:rPr>
          <w:sz w:val="22"/>
        </w:rPr>
        <w:t xml:space="preserve"> p. 123.</w:t>
      </w:r>
    </w:p>
  </w:footnote>
  <w:footnote w:id="68">
    <w:p w:rsidR="00D34104" w:rsidRPr="00067CAC" w:rsidRDefault="00D34104" w:rsidP="00D34104">
      <w:pPr>
        <w:pStyle w:val="Testonotaapidipagina"/>
        <w:ind w:left="284" w:right="276" w:firstLine="425"/>
        <w:jc w:val="both"/>
        <w:rPr>
          <w:sz w:val="22"/>
        </w:rPr>
      </w:pPr>
      <w:r w:rsidRPr="00067CAC">
        <w:rPr>
          <w:rStyle w:val="Rimandonotaapidipagina"/>
          <w:sz w:val="22"/>
        </w:rPr>
        <w:footnoteRef/>
      </w:r>
      <w:r w:rsidRPr="00067CAC">
        <w:rPr>
          <w:sz w:val="22"/>
        </w:rPr>
        <w:t xml:space="preserve"> Sui rapporti tra questi temi e la più aggiornata ed originale filosofia del diritto contemporanea si rimanda al pensiero di Mario Sirimarco pensatore profondo, di ideale </w:t>
      </w:r>
      <w:r w:rsidRPr="00067CAC">
        <w:rPr>
          <w:i/>
          <w:sz w:val="22"/>
        </w:rPr>
        <w:t>scuola capograssiana</w:t>
      </w:r>
      <w:r w:rsidRPr="00067CAC">
        <w:rPr>
          <w:sz w:val="22"/>
        </w:rPr>
        <w:t xml:space="preserve">, che da anni va affrontando questi temi; dell’autore da ultimo si veda, Mario Sirimarco, </w:t>
      </w:r>
      <w:r w:rsidRPr="00067CAC">
        <w:rPr>
          <w:i/>
          <w:sz w:val="22"/>
        </w:rPr>
        <w:t>Percorsi di filosofia della crisi ecologica</w:t>
      </w:r>
      <w:r w:rsidRPr="00067CAC">
        <w:rPr>
          <w:sz w:val="22"/>
        </w:rPr>
        <w:t>, Edizioni Nuova Cultura, Roma 2012.</w:t>
      </w:r>
    </w:p>
  </w:footnote>
  <w:footnote w:id="69">
    <w:p w:rsidR="00D34104" w:rsidRPr="00092BFF" w:rsidRDefault="00D34104" w:rsidP="00D34104">
      <w:pPr>
        <w:pStyle w:val="Testonotaapidipagina"/>
        <w:ind w:left="284" w:firstLine="425"/>
        <w:jc w:val="both"/>
        <w:rPr>
          <w:sz w:val="22"/>
        </w:rPr>
      </w:pPr>
      <w:r w:rsidRPr="00092BFF">
        <w:rPr>
          <w:rStyle w:val="Rimandonotaapidipagina"/>
          <w:sz w:val="22"/>
        </w:rPr>
        <w:footnoteRef/>
      </w:r>
      <w:r w:rsidRPr="00092BFF">
        <w:rPr>
          <w:sz w:val="22"/>
        </w:rPr>
        <w:t xml:space="preserve"> E’ un lemma ormai desueto, sinonimo di </w:t>
      </w:r>
      <w:r w:rsidRPr="00092BFF">
        <w:rPr>
          <w:i/>
          <w:sz w:val="22"/>
        </w:rPr>
        <w:t>processo</w:t>
      </w:r>
      <w:r w:rsidRPr="00092BFF">
        <w:rPr>
          <w:sz w:val="22"/>
        </w:rPr>
        <w:t xml:space="preserve">, </w:t>
      </w:r>
      <w:r w:rsidRPr="00092BFF">
        <w:rPr>
          <w:i/>
          <w:sz w:val="22"/>
        </w:rPr>
        <w:t>causa giudiziaria</w:t>
      </w:r>
      <w:r w:rsidRPr="00092BFF">
        <w:rPr>
          <w:sz w:val="22"/>
        </w:rPr>
        <w:t>.</w:t>
      </w:r>
    </w:p>
  </w:footnote>
  <w:footnote w:id="70">
    <w:p w:rsidR="00D34104" w:rsidRPr="00092BFF" w:rsidRDefault="00D34104" w:rsidP="00D34104">
      <w:pPr>
        <w:ind w:left="284" w:right="276" w:firstLine="425"/>
        <w:contextualSpacing/>
        <w:jc w:val="both"/>
        <w:rPr>
          <w:rFonts w:cs="Helvetica"/>
          <w:sz w:val="22"/>
          <w:szCs w:val="26"/>
          <w:lang w:bidi="it-IT"/>
        </w:rPr>
      </w:pPr>
      <w:r w:rsidRPr="00092BFF">
        <w:rPr>
          <w:rStyle w:val="Rimandonotaapidipagina"/>
          <w:sz w:val="22"/>
        </w:rPr>
        <w:footnoteRef/>
      </w:r>
      <w:r w:rsidRPr="00092BFF">
        <w:rPr>
          <w:sz w:val="22"/>
        </w:rPr>
        <w:t xml:space="preserve"> Tratto da David Annoussamy, </w:t>
      </w:r>
      <w:r w:rsidRPr="00092BFF">
        <w:rPr>
          <w:i/>
          <w:sz w:val="22"/>
        </w:rPr>
        <w:t>India</w:t>
      </w:r>
      <w:r w:rsidRPr="00092BFF">
        <w:rPr>
          <w:sz w:val="22"/>
        </w:rPr>
        <w:t xml:space="preserve">, in Amalia Diurni (a cura di), </w:t>
      </w:r>
      <w:r w:rsidRPr="00092BFF">
        <w:rPr>
          <w:i/>
          <w:sz w:val="22"/>
        </w:rPr>
        <w:t>Percorsi mondiali di diritto privato e comparato</w:t>
      </w:r>
      <w:r w:rsidRPr="00092BFF">
        <w:rPr>
          <w:sz w:val="22"/>
        </w:rPr>
        <w:t>, Giuffrè, Milano 2008, p. 183.</w:t>
      </w:r>
    </w:p>
    <w:p w:rsidR="00D34104" w:rsidRPr="00092BFF" w:rsidRDefault="00D34104" w:rsidP="00D34104">
      <w:pPr>
        <w:ind w:left="284" w:right="276" w:firstLine="425"/>
        <w:contextualSpacing/>
        <w:jc w:val="both"/>
        <w:rPr>
          <w:rFonts w:cs="Helvetica"/>
          <w:sz w:val="22"/>
          <w:szCs w:val="26"/>
          <w:lang w:bidi="it-IT"/>
        </w:rPr>
      </w:pPr>
      <w:r w:rsidRPr="00092BFF">
        <w:rPr>
          <w:rFonts w:cs="Helvetica"/>
          <w:sz w:val="22"/>
          <w:szCs w:val="26"/>
          <w:lang w:bidi="it-IT"/>
        </w:rPr>
        <w:t xml:space="preserve">   </w:t>
      </w:r>
    </w:p>
    <w:p w:rsidR="00D34104" w:rsidRDefault="00D34104" w:rsidP="00D34104">
      <w:pPr>
        <w:pStyle w:val="Testonotaapidipagina"/>
      </w:pPr>
    </w:p>
  </w:footnote>
  <w:footnote w:id="71">
    <w:p w:rsidR="00D34104" w:rsidRPr="008C4DF4" w:rsidRDefault="00D34104" w:rsidP="00D34104">
      <w:pPr>
        <w:pStyle w:val="Testonotaapidipagina"/>
        <w:ind w:left="284" w:right="276" w:firstLine="425"/>
        <w:jc w:val="both"/>
        <w:rPr>
          <w:sz w:val="22"/>
        </w:rPr>
      </w:pPr>
      <w:r w:rsidRPr="008C4DF4">
        <w:rPr>
          <w:rStyle w:val="Rimandonotaapidipagina"/>
          <w:sz w:val="22"/>
        </w:rPr>
        <w:footnoteRef/>
      </w:r>
      <w:r w:rsidRPr="008C4DF4">
        <w:rPr>
          <w:sz w:val="22"/>
        </w:rPr>
        <w:t xml:space="preserve"> Per i profili giuridici della quale si rimanda alla monumentale tesi di dottorato discussa da Riccardo Cappelletti all’Università di Milano, </w:t>
      </w:r>
      <w:r w:rsidRPr="008C4DF4">
        <w:rPr>
          <w:i/>
          <w:sz w:val="22"/>
        </w:rPr>
        <w:t>Antropologie dei diritti umani. Percorsi Africani</w:t>
      </w:r>
      <w:r w:rsidRPr="008C4DF4">
        <w:rPr>
          <w:sz w:val="22"/>
        </w:rPr>
        <w:t>, Unimi, 2009-10.</w:t>
      </w:r>
    </w:p>
  </w:footnote>
  <w:footnote w:id="72">
    <w:p w:rsidR="00D34104" w:rsidRPr="008C4DF4" w:rsidRDefault="00D34104" w:rsidP="00D34104">
      <w:pPr>
        <w:widowControl w:val="0"/>
        <w:autoSpaceDE w:val="0"/>
        <w:autoSpaceDN w:val="0"/>
        <w:adjustRightInd w:val="0"/>
        <w:ind w:left="284" w:right="276" w:firstLine="425"/>
        <w:jc w:val="both"/>
        <w:rPr>
          <w:rFonts w:cs="TTE2B226D8t00"/>
          <w:sz w:val="22"/>
          <w:szCs w:val="20"/>
          <w:lang w:bidi="it-IT"/>
        </w:rPr>
      </w:pPr>
      <w:r w:rsidRPr="008C4DF4">
        <w:rPr>
          <w:rStyle w:val="Rimandonotaapidipagina"/>
          <w:sz w:val="22"/>
        </w:rPr>
        <w:footnoteRef/>
      </w:r>
      <w:r w:rsidRPr="008C4DF4">
        <w:rPr>
          <w:sz w:val="22"/>
        </w:rPr>
        <w:t xml:space="preserve"> </w:t>
      </w:r>
      <w:r w:rsidRPr="008C4DF4">
        <w:rPr>
          <w:rFonts w:cs="TTE2B226D8t00"/>
          <w:sz w:val="22"/>
          <w:szCs w:val="20"/>
          <w:lang w:bidi="it-IT"/>
        </w:rPr>
        <w:t xml:space="preserve">Per alcuni interessanti esempi tratti da contesti favolistici africani si veda Isabelle Quiquerez, </w:t>
      </w:r>
      <w:r w:rsidRPr="008C4DF4">
        <w:rPr>
          <w:rFonts w:cs="TTE2B226D8t00"/>
          <w:i/>
          <w:sz w:val="22"/>
          <w:szCs w:val="20"/>
          <w:lang w:bidi="it-IT"/>
        </w:rPr>
        <w:t>Le language du droit dans le conte africain</w:t>
      </w:r>
      <w:r w:rsidRPr="008C4DF4">
        <w:rPr>
          <w:rFonts w:cs="TTE2B226D8t00"/>
          <w:sz w:val="22"/>
          <w:szCs w:val="20"/>
          <w:lang w:bidi="it-IT"/>
        </w:rPr>
        <w:t xml:space="preserve">, in </w:t>
      </w:r>
      <w:r w:rsidRPr="008C4DF4">
        <w:rPr>
          <w:rFonts w:cs="TTE2B226D8t00"/>
          <w:i/>
          <w:sz w:val="22"/>
          <w:szCs w:val="20"/>
          <w:lang w:bidi="it-IT"/>
        </w:rPr>
        <w:t>Bullettin de Liaison-Laboratoire d’Anthropologie Juridique</w:t>
      </w:r>
      <w:r w:rsidRPr="008C4DF4">
        <w:rPr>
          <w:rFonts w:cs="TTE2B226D8t00"/>
          <w:sz w:val="22"/>
          <w:szCs w:val="20"/>
          <w:lang w:bidi="it-IT"/>
        </w:rPr>
        <w:t xml:space="preserve">, Paris, vol. XI, 1986, pp. 39-68; si veda anche Paola Belpassi, </w:t>
      </w:r>
      <w:r w:rsidRPr="008C4DF4">
        <w:rPr>
          <w:rFonts w:cs="TTE2B226D8t00"/>
          <w:i/>
          <w:sz w:val="22"/>
          <w:szCs w:val="20"/>
          <w:lang w:bidi="it-IT"/>
        </w:rPr>
        <w:t>Le conte africain: l’universe de l’oralité dans le système de l’enseignement</w:t>
      </w:r>
      <w:r w:rsidRPr="008C4DF4">
        <w:rPr>
          <w:rFonts w:cs="TTE2B226D8t00"/>
          <w:sz w:val="22"/>
          <w:szCs w:val="20"/>
          <w:lang w:bidi="it-IT"/>
        </w:rPr>
        <w:t xml:space="preserve">, in </w:t>
      </w:r>
      <w:r w:rsidRPr="008C4DF4">
        <w:rPr>
          <w:rFonts w:cs="TTE2B226D8t00"/>
          <w:i/>
          <w:sz w:val="22"/>
          <w:szCs w:val="20"/>
          <w:lang w:bidi="it-IT"/>
        </w:rPr>
        <w:t>International Review of Education</w:t>
      </w:r>
      <w:r w:rsidRPr="008C4DF4">
        <w:rPr>
          <w:rFonts w:cs="TTE2B226D8t00"/>
          <w:sz w:val="22"/>
          <w:szCs w:val="20"/>
          <w:lang w:bidi="it-IT"/>
        </w:rPr>
        <w:t xml:space="preserve">, </w:t>
      </w:r>
      <w:r w:rsidRPr="008C4DF4">
        <w:rPr>
          <w:rFonts w:cs="HelveticaNeue"/>
          <w:sz w:val="22"/>
          <w:szCs w:val="26"/>
          <w:lang w:bidi="it-IT"/>
        </w:rPr>
        <w:t xml:space="preserve">Springer Netherlands, </w:t>
      </w:r>
      <w:r w:rsidRPr="008C4DF4">
        <w:rPr>
          <w:rFonts w:cs="TTE2B226D8t00"/>
          <w:sz w:val="22"/>
          <w:szCs w:val="20"/>
          <w:lang w:bidi="it-IT"/>
        </w:rPr>
        <w:t xml:space="preserve">vol. XL, pp. 257-270. </w:t>
      </w:r>
    </w:p>
    <w:p w:rsidR="00D34104" w:rsidRPr="008C4DF4" w:rsidRDefault="00D34104" w:rsidP="00D34104">
      <w:pPr>
        <w:pStyle w:val="Testonotaapidipagina"/>
        <w:ind w:left="284" w:right="276" w:firstLine="425"/>
        <w:jc w:val="both"/>
        <w:rPr>
          <w:sz w:val="22"/>
        </w:rPr>
      </w:pPr>
    </w:p>
  </w:footnote>
  <w:footnote w:id="73">
    <w:p w:rsidR="00D34104" w:rsidRPr="00C478F1" w:rsidRDefault="00D34104" w:rsidP="00D34104">
      <w:pPr>
        <w:pStyle w:val="Testonotaapidipagina"/>
        <w:ind w:left="284" w:right="276" w:firstLine="425"/>
        <w:jc w:val="both"/>
        <w:rPr>
          <w:sz w:val="22"/>
        </w:rPr>
      </w:pPr>
      <w:r w:rsidRPr="00C478F1">
        <w:rPr>
          <w:rStyle w:val="Rimandonotaapidipagina"/>
          <w:sz w:val="22"/>
        </w:rPr>
        <w:footnoteRef/>
      </w:r>
      <w:r w:rsidRPr="00C478F1">
        <w:rPr>
          <w:sz w:val="22"/>
        </w:rPr>
        <w:t xml:space="preserve"> Su questi passaggi importantissimi sono gli studi di Bruno Cavallone. Quest’ultimo, </w:t>
      </w:r>
      <w:r w:rsidRPr="00C478F1">
        <w:rPr>
          <w:rFonts w:cs="Verdana"/>
          <w:sz w:val="22"/>
          <w:szCs w:val="30"/>
          <w:lang w:bidi="it-IT"/>
        </w:rPr>
        <w:t xml:space="preserve">processualista dell’Università di Milano, nel tempo ha dedicato molte energie e diversi studi pregevoli riconducibili al tema di </w:t>
      </w:r>
      <w:r w:rsidRPr="00C478F1">
        <w:rPr>
          <w:rFonts w:cs="Verdana"/>
          <w:i/>
          <w:sz w:val="22"/>
          <w:szCs w:val="30"/>
          <w:lang w:bidi="it-IT"/>
        </w:rPr>
        <w:t>Law and Humanities</w:t>
      </w:r>
      <w:r w:rsidRPr="00C478F1">
        <w:rPr>
          <w:rFonts w:cs="Verdana"/>
          <w:sz w:val="22"/>
          <w:szCs w:val="30"/>
          <w:lang w:bidi="it-IT"/>
        </w:rPr>
        <w:t xml:space="preserve">, indagando tra l’altro i rapporti tra questi due spazi culturali fondamentali: fiaba e diritto. In particolare Cavallone, che detto per inciso alle competenze giuridiche ha da sempre associato quelle di grande esperto di letteratura e anche di fumetti e </w:t>
      </w:r>
      <w:r w:rsidRPr="00C478F1">
        <w:rPr>
          <w:rFonts w:cs="Verdana"/>
          <w:i/>
          <w:sz w:val="22"/>
          <w:szCs w:val="30"/>
          <w:lang w:bidi="it-IT"/>
        </w:rPr>
        <w:t>cartoons</w:t>
      </w:r>
      <w:r w:rsidRPr="00C478F1">
        <w:rPr>
          <w:rFonts w:cs="Verdana"/>
          <w:sz w:val="22"/>
          <w:szCs w:val="30"/>
          <w:lang w:bidi="it-IT"/>
        </w:rPr>
        <w:t xml:space="preserve">, ha tenuto per anni corsi universitari di </w:t>
      </w:r>
      <w:r w:rsidRPr="00C478F1">
        <w:rPr>
          <w:rFonts w:cs="Verdana"/>
          <w:i/>
          <w:sz w:val="22"/>
          <w:szCs w:val="30"/>
          <w:lang w:bidi="it-IT"/>
        </w:rPr>
        <w:t>diritto e letteratura</w:t>
      </w:r>
      <w:r w:rsidRPr="00C478F1">
        <w:rPr>
          <w:rFonts w:cs="Verdana"/>
          <w:sz w:val="22"/>
          <w:szCs w:val="30"/>
          <w:lang w:bidi="it-IT"/>
        </w:rPr>
        <w:t xml:space="preserve">, inseriti nell’ambito del proprio insegnamento istituzionale di diritto processuale comparato. In questo contesto sono nati, negli anni, lavori originali ed importanti, quali, ad esempio, quelli dedicati alle figure di </w:t>
      </w:r>
      <w:r w:rsidRPr="00C478F1">
        <w:rPr>
          <w:rFonts w:cs="Verdana"/>
          <w:i/>
          <w:sz w:val="22"/>
          <w:szCs w:val="30"/>
          <w:lang w:bidi="it-IT"/>
        </w:rPr>
        <w:t>François Rabelais</w:t>
      </w:r>
      <w:r w:rsidRPr="00C478F1">
        <w:rPr>
          <w:rFonts w:cs="Verdana"/>
          <w:sz w:val="22"/>
          <w:szCs w:val="30"/>
          <w:lang w:bidi="it-IT"/>
        </w:rPr>
        <w:t xml:space="preserve"> e di </w:t>
      </w:r>
      <w:r w:rsidRPr="00C478F1">
        <w:rPr>
          <w:rFonts w:cs="Verdana"/>
          <w:i/>
          <w:sz w:val="22"/>
          <w:szCs w:val="30"/>
          <w:lang w:bidi="it-IT"/>
        </w:rPr>
        <w:t>Lewis Carroll processualisti</w:t>
      </w:r>
      <w:r w:rsidRPr="00C478F1">
        <w:rPr>
          <w:rFonts w:cs="Verdana"/>
          <w:sz w:val="22"/>
          <w:szCs w:val="30"/>
          <w:lang w:bidi="it-IT"/>
        </w:rPr>
        <w:t xml:space="preserve">, con ampia analisi dei luoghi giuridici contenuti tanto nel </w:t>
      </w:r>
      <w:r w:rsidRPr="00C478F1">
        <w:rPr>
          <w:rFonts w:cs="Verdana"/>
          <w:i/>
          <w:sz w:val="22"/>
          <w:szCs w:val="30"/>
          <w:lang w:bidi="it-IT"/>
        </w:rPr>
        <w:t>Gargantua e Pantagruele</w:t>
      </w:r>
      <w:r w:rsidRPr="00C478F1">
        <w:rPr>
          <w:rFonts w:cs="Verdana"/>
          <w:sz w:val="22"/>
          <w:szCs w:val="30"/>
          <w:lang w:bidi="it-IT"/>
        </w:rPr>
        <w:t xml:space="preserve"> del pensatore francese quanto nel più noto </w:t>
      </w:r>
      <w:r w:rsidRPr="00C478F1">
        <w:rPr>
          <w:rFonts w:cs="Verdana"/>
          <w:i/>
          <w:sz w:val="22"/>
          <w:szCs w:val="30"/>
          <w:lang w:bidi="it-IT"/>
        </w:rPr>
        <w:t>Alice nel paese delle meraviglie</w:t>
      </w:r>
      <w:r w:rsidRPr="00C478F1">
        <w:rPr>
          <w:rFonts w:cs="Verdana"/>
          <w:sz w:val="22"/>
          <w:szCs w:val="30"/>
          <w:lang w:bidi="it-IT"/>
        </w:rPr>
        <w:t xml:space="preserve">, o ancora nel misconosciuto ma assai denso poemetto, sempre di Carroll, </w:t>
      </w:r>
      <w:r w:rsidRPr="00C478F1">
        <w:rPr>
          <w:rFonts w:cs="Verdana"/>
          <w:i/>
          <w:sz w:val="22"/>
          <w:szCs w:val="30"/>
          <w:lang w:bidi="it-IT"/>
        </w:rPr>
        <w:t>The hunting of the Snark</w:t>
      </w:r>
      <w:r w:rsidRPr="00C478F1">
        <w:rPr>
          <w:rFonts w:cs="Verdana"/>
          <w:sz w:val="22"/>
          <w:szCs w:val="30"/>
          <w:lang w:bidi="it-IT"/>
        </w:rPr>
        <w:t>. Nella sua ricerca Cavallone, studioso aperto e molto curioso, è stato capace di reperire molto materiale, puntualmente riportato in quelle pagine, ove risultano affrontati temi processuali in testi impensabili, come remote ninne nanne (</w:t>
      </w:r>
      <w:r w:rsidRPr="00C478F1">
        <w:rPr>
          <w:rFonts w:cs="Verdana"/>
          <w:i/>
          <w:sz w:val="22"/>
          <w:szCs w:val="30"/>
          <w:lang w:bidi="it-IT"/>
        </w:rPr>
        <w:t>nursery rhymes</w:t>
      </w:r>
      <w:r w:rsidRPr="00C478F1">
        <w:rPr>
          <w:rFonts w:cs="Verdana"/>
          <w:sz w:val="22"/>
          <w:szCs w:val="30"/>
          <w:lang w:bidi="it-IT"/>
        </w:rPr>
        <w:t xml:space="preserve">) od altro ancora; cfr. Bruno Cavallone, </w:t>
      </w:r>
      <w:r w:rsidRPr="00C478F1">
        <w:rPr>
          <w:rFonts w:cs="Verdana"/>
          <w:i/>
          <w:sz w:val="22"/>
          <w:szCs w:val="30"/>
          <w:lang w:bidi="it-IT"/>
        </w:rPr>
        <w:t>“Non siete che un mazzo di carte!” (Lewis Carroll e la teoria del processo)</w:t>
      </w:r>
      <w:r w:rsidRPr="00C478F1">
        <w:rPr>
          <w:rFonts w:cs="Verdana"/>
          <w:sz w:val="22"/>
          <w:szCs w:val="30"/>
          <w:lang w:bidi="it-IT"/>
        </w:rPr>
        <w:t xml:space="preserve">, in </w:t>
      </w:r>
      <w:r w:rsidRPr="00C478F1">
        <w:rPr>
          <w:rFonts w:cs="Verdana"/>
          <w:i/>
          <w:sz w:val="22"/>
          <w:szCs w:val="30"/>
          <w:lang w:bidi="it-IT"/>
        </w:rPr>
        <w:t>Studi in onore di Ugo Gualazzini</w:t>
      </w:r>
      <w:r w:rsidRPr="00C478F1">
        <w:rPr>
          <w:rFonts w:cs="Verdana"/>
          <w:sz w:val="22"/>
          <w:szCs w:val="30"/>
          <w:lang w:bidi="it-IT"/>
        </w:rPr>
        <w:t xml:space="preserve">, Giuffrè, Milano 1981, Vol. I, pp. 309 - 349; ora in Bruno Cavallone </w:t>
      </w:r>
      <w:r w:rsidRPr="00C478F1">
        <w:rPr>
          <w:rFonts w:cs="Verdana"/>
          <w:i/>
          <w:sz w:val="22"/>
          <w:szCs w:val="30"/>
          <w:lang w:bidi="it-IT"/>
        </w:rPr>
        <w:t>Il giudice e la prova nel processo civile</w:t>
      </w:r>
      <w:r w:rsidRPr="00C478F1">
        <w:rPr>
          <w:rFonts w:cs="Verdana"/>
          <w:sz w:val="22"/>
          <w:szCs w:val="30"/>
          <w:lang w:bidi="it-IT"/>
        </w:rPr>
        <w:t xml:space="preserve">, Cedam, Padova 1991, p. 515 e ss. Si tratta di uno studio lungo e molto denso e accattivante, il cui punto di partenza è, ad onor del vero, costituito dall’osservazione che i testi di Lewis Carrol, fortemente caratterizzati anche in senso giuridico, siano più che letteratura per l’infanzia, produzione di alta teoresi e profonda cultura. Un denso riconoscimento alla pionieristica opera di Cavallone è ora in Antonio Incampo, </w:t>
      </w:r>
      <w:r w:rsidRPr="00C478F1">
        <w:rPr>
          <w:rFonts w:cs="Verdana"/>
          <w:i/>
          <w:sz w:val="22"/>
          <w:szCs w:val="30"/>
          <w:lang w:bidi="it-IT"/>
        </w:rPr>
        <w:t>Metafisica del Processo. Idee per una critica della ragione giuridica</w:t>
      </w:r>
      <w:r w:rsidRPr="00C478F1">
        <w:rPr>
          <w:rFonts w:cs="Verdana"/>
          <w:sz w:val="22"/>
          <w:szCs w:val="30"/>
          <w:lang w:bidi="it-IT"/>
        </w:rPr>
        <w:t xml:space="preserve">, Cacucci Editore, Bari 2010, p. 95 in nota, con ampie indicazioni bibliografiche. Sulla drammaturgia del processo, spazio teatrale e </w:t>
      </w:r>
      <w:r w:rsidRPr="00C478F1">
        <w:rPr>
          <w:rFonts w:cs="Verdana"/>
          <w:i/>
          <w:sz w:val="22"/>
          <w:szCs w:val="30"/>
          <w:lang w:bidi="it-IT"/>
        </w:rPr>
        <w:t xml:space="preserve">letterario </w:t>
      </w:r>
      <w:r w:rsidRPr="00C478F1">
        <w:rPr>
          <w:rFonts w:cs="Verdana"/>
          <w:sz w:val="22"/>
          <w:szCs w:val="30"/>
          <w:lang w:bidi="it-IT"/>
        </w:rPr>
        <w:t xml:space="preserve">per eccellenza, non può non rimandarsi al lavoro di Antoine Garapon, magistrato, sociologo e giurista, </w:t>
      </w:r>
      <w:r w:rsidRPr="00C478F1">
        <w:rPr>
          <w:rFonts w:cs="Verdana"/>
          <w:i/>
          <w:sz w:val="22"/>
          <w:szCs w:val="30"/>
          <w:lang w:bidi="it-IT"/>
        </w:rPr>
        <w:t>Del giudicare. Saggio sul rituale giudiziario</w:t>
      </w:r>
      <w:r w:rsidRPr="00C478F1">
        <w:rPr>
          <w:rFonts w:cs="Verdana"/>
          <w:sz w:val="22"/>
          <w:szCs w:val="30"/>
          <w:lang w:bidi="it-IT"/>
        </w:rPr>
        <w:t>, Raffaello Cortina, Milano 2007.</w:t>
      </w:r>
    </w:p>
    <w:p w:rsidR="00D34104" w:rsidRPr="00C478F1" w:rsidRDefault="00D34104" w:rsidP="00D34104">
      <w:pPr>
        <w:pStyle w:val="Testonotaapidipagina"/>
        <w:ind w:right="276"/>
        <w:rPr>
          <w:sz w:val="22"/>
        </w:rPr>
      </w:pPr>
    </w:p>
  </w:footnote>
  <w:footnote w:id="74">
    <w:p w:rsidR="00D34104" w:rsidRPr="00282D97" w:rsidRDefault="00D34104" w:rsidP="00D34104">
      <w:pPr>
        <w:pStyle w:val="Testonotaapidipagina"/>
        <w:ind w:left="284" w:right="276" w:firstLine="425"/>
        <w:jc w:val="both"/>
        <w:rPr>
          <w:sz w:val="22"/>
        </w:rPr>
      </w:pPr>
      <w:r w:rsidRPr="00282D97">
        <w:rPr>
          <w:rStyle w:val="Rimandonotaapidipagina"/>
          <w:sz w:val="22"/>
        </w:rPr>
        <w:footnoteRef/>
      </w:r>
      <w:r w:rsidRPr="00282D97">
        <w:rPr>
          <w:sz w:val="22"/>
        </w:rPr>
        <w:t xml:space="preserve"> La bella è immaginifica traduzione che abbiamo scelto è quella di Adriano Orefice. Per una bella nota introduttiva alla giuridicità dell’opera di Lewis Carroll, si rimanda senz’altro a Michele Marchesiello e Roberto Negro (a cura di), </w:t>
      </w:r>
      <w:r w:rsidRPr="00282D97">
        <w:rPr>
          <w:i/>
          <w:sz w:val="22"/>
        </w:rPr>
        <w:t>Il diritto allo specchio della letteratura: materiali di lettura per giuristi e non</w:t>
      </w:r>
      <w:r w:rsidRPr="00282D97">
        <w:rPr>
          <w:sz w:val="22"/>
        </w:rPr>
        <w:t>, De Ferrari, Genova 2010, p. 33.</w:t>
      </w:r>
    </w:p>
  </w:footnote>
  <w:footnote w:id="75">
    <w:p w:rsidR="00D34104" w:rsidRPr="00282D97" w:rsidRDefault="00D34104" w:rsidP="00D34104">
      <w:pPr>
        <w:widowControl w:val="0"/>
        <w:autoSpaceDE w:val="0"/>
        <w:autoSpaceDN w:val="0"/>
        <w:adjustRightInd w:val="0"/>
        <w:ind w:left="284" w:right="276" w:firstLine="425"/>
        <w:jc w:val="both"/>
        <w:rPr>
          <w:rFonts w:cs="Verdana"/>
          <w:sz w:val="22"/>
          <w:lang w:bidi="it-IT"/>
        </w:rPr>
      </w:pPr>
      <w:r w:rsidRPr="00282D97">
        <w:rPr>
          <w:rStyle w:val="Rimandonotaapidipagina"/>
          <w:sz w:val="22"/>
        </w:rPr>
        <w:footnoteRef/>
      </w:r>
      <w:r w:rsidRPr="00282D97">
        <w:rPr>
          <w:sz w:val="22"/>
        </w:rPr>
        <w:t xml:space="preserve"> </w:t>
      </w:r>
      <w:r w:rsidRPr="00282D97">
        <w:rPr>
          <w:rFonts w:cs="Verdana"/>
          <w:sz w:val="22"/>
          <w:lang w:bidi="it-IT"/>
        </w:rPr>
        <w:t>Un ricco signore di mezza età, Samuel Pickwick, fonda a Londra un circolo. Parte, con alcuni amici, per un viaggio nella provincia inglese. Jingle, un abile truffatore incontrato per caso, li trascina in ogni sorta di guai. Si intrecciano idilli, nascono amicizie, vengono fatti incontri importanti. Pickwick incontra un lustrascarpe dall'impagabile senso dell'umorismo, che diventerà suo cameriere e suo compagno di avventure. Episodio centrale è u</w:t>
      </w:r>
      <w:r w:rsidRPr="00282D97">
        <w:rPr>
          <w:rFonts w:cs="Verdana"/>
          <w:i/>
          <w:sz w:val="22"/>
          <w:lang w:bidi="it-IT"/>
        </w:rPr>
        <w:t>n processo intentato al protagonista dalla sua padrona di casa per mancata promessa di matrimonio</w:t>
      </w:r>
      <w:r w:rsidRPr="00282D97">
        <w:rPr>
          <w:rFonts w:cs="Verdana"/>
          <w:sz w:val="22"/>
          <w:lang w:bidi="it-IT"/>
        </w:rPr>
        <w:t>. Ingiustamente condannato Pickwick si rifiuta di pagare e va in prigione. Infine chiude il circolo e si ritira in campagna con il fedele cameriere e la sua famiglia.</w:t>
      </w:r>
    </w:p>
    <w:p w:rsidR="00D34104" w:rsidRDefault="00D34104" w:rsidP="00D34104">
      <w:pPr>
        <w:pStyle w:val="Testonotaapidipagina"/>
      </w:pPr>
    </w:p>
  </w:footnote>
  <w:footnote w:id="76">
    <w:p w:rsidR="00D34104" w:rsidRPr="00CC12F4" w:rsidRDefault="00D34104" w:rsidP="00D34104">
      <w:pPr>
        <w:pStyle w:val="Testonotaapidipagina"/>
        <w:ind w:left="284" w:firstLine="425"/>
        <w:rPr>
          <w:sz w:val="22"/>
        </w:rPr>
      </w:pPr>
      <w:r w:rsidRPr="00CC12F4">
        <w:rPr>
          <w:rStyle w:val="Rimandonotaapidipagina"/>
          <w:sz w:val="22"/>
        </w:rPr>
        <w:footnoteRef/>
      </w:r>
      <w:r w:rsidRPr="00CC12F4">
        <w:rPr>
          <w:sz w:val="22"/>
        </w:rPr>
        <w:t xml:space="preserve"> Fedro, </w:t>
      </w:r>
      <w:r w:rsidRPr="00CC12F4">
        <w:rPr>
          <w:i/>
          <w:sz w:val="22"/>
        </w:rPr>
        <w:t>Favole</w:t>
      </w:r>
      <w:r w:rsidRPr="00CC12F4">
        <w:rPr>
          <w:sz w:val="22"/>
        </w:rPr>
        <w:t xml:space="preserve">, Libro I - numero 5. </w:t>
      </w:r>
    </w:p>
  </w:footnote>
  <w:footnote w:id="77">
    <w:p w:rsidR="00D34104" w:rsidRPr="001B3956" w:rsidRDefault="00D34104" w:rsidP="00D34104">
      <w:pPr>
        <w:pStyle w:val="Testonotaapidipagina"/>
        <w:ind w:left="284" w:firstLine="425"/>
        <w:jc w:val="both"/>
        <w:rPr>
          <w:sz w:val="22"/>
        </w:rPr>
      </w:pPr>
      <w:r w:rsidRPr="001B3956">
        <w:rPr>
          <w:rStyle w:val="Rimandonotaapidipagina"/>
          <w:sz w:val="22"/>
        </w:rPr>
        <w:footnoteRef/>
      </w:r>
      <w:r w:rsidRPr="001B3956">
        <w:rPr>
          <w:sz w:val="22"/>
        </w:rPr>
        <w:t xml:space="preserve"> La genesi favolistica, di Fedro in particolare, della locuzione è esplicitamente riconosciuta dai giuristi. Si veda il denso articolo del romanista Antonio Guarino, </w:t>
      </w:r>
      <w:r w:rsidRPr="001B3956">
        <w:rPr>
          <w:i/>
          <w:sz w:val="22"/>
        </w:rPr>
        <w:t>La società col leone</w:t>
      </w:r>
      <w:r w:rsidRPr="001B3956">
        <w:rPr>
          <w:sz w:val="22"/>
        </w:rPr>
        <w:t xml:space="preserve">, in </w:t>
      </w:r>
      <w:r w:rsidRPr="001B3956">
        <w:rPr>
          <w:i/>
          <w:sz w:val="22"/>
        </w:rPr>
        <w:t>Labeo. Rassegna di diritto romano</w:t>
      </w:r>
      <w:r w:rsidRPr="001B3956">
        <w:rPr>
          <w:sz w:val="22"/>
        </w:rPr>
        <w:t xml:space="preserve">, Napoli 1972, XVIII, p. 72 e ss. Di </w:t>
      </w:r>
      <w:r w:rsidRPr="001B3956">
        <w:rPr>
          <w:i/>
          <w:sz w:val="22"/>
        </w:rPr>
        <w:t>Societas leonina</w:t>
      </w:r>
      <w:r w:rsidRPr="001B3956">
        <w:rPr>
          <w:sz w:val="22"/>
        </w:rPr>
        <w:t xml:space="preserve"> avevano parlato, nella tradizione romanistica Ulpiano e Cassio Longino.</w:t>
      </w:r>
    </w:p>
  </w:footnote>
  <w:footnote w:id="78">
    <w:p w:rsidR="00D34104" w:rsidRPr="0003087B" w:rsidRDefault="00D34104" w:rsidP="00D34104">
      <w:pPr>
        <w:pStyle w:val="Testonotaapidipagina"/>
        <w:ind w:left="284" w:firstLine="425"/>
        <w:jc w:val="both"/>
        <w:rPr>
          <w:sz w:val="22"/>
        </w:rPr>
      </w:pPr>
      <w:r w:rsidRPr="001B3956">
        <w:rPr>
          <w:rStyle w:val="Rimandonotaapidipagina"/>
          <w:sz w:val="22"/>
        </w:rPr>
        <w:footnoteRef/>
      </w:r>
      <w:r w:rsidRPr="001B3956">
        <w:rPr>
          <w:sz w:val="22"/>
        </w:rPr>
        <w:t xml:space="preserve"> L’art. 2265 del codice civile italiano, intitolato appunto </w:t>
      </w:r>
      <w:r w:rsidRPr="001B3956">
        <w:rPr>
          <w:i/>
          <w:sz w:val="22"/>
        </w:rPr>
        <w:t>Patto leonino</w:t>
      </w:r>
      <w:r w:rsidRPr="001B3956">
        <w:rPr>
          <w:sz w:val="22"/>
        </w:rPr>
        <w:t xml:space="preserve">, esplicitamente prescrive che “E’ nullo il patto con il quale uno o più soci sono esclusi da ogni partecipazione agli utili o alle perdite”. </w:t>
      </w:r>
    </w:p>
  </w:footnote>
  <w:footnote w:id="79">
    <w:p w:rsidR="00D34104" w:rsidRPr="0003087B" w:rsidRDefault="00D34104" w:rsidP="00D34104">
      <w:pPr>
        <w:pStyle w:val="Testonotaapidipagina"/>
        <w:ind w:left="284" w:right="276" w:firstLine="425"/>
        <w:jc w:val="both"/>
        <w:rPr>
          <w:sz w:val="22"/>
        </w:rPr>
      </w:pPr>
      <w:r w:rsidRPr="0003087B">
        <w:rPr>
          <w:rStyle w:val="Rimandonotaapidipagina"/>
          <w:sz w:val="22"/>
        </w:rPr>
        <w:footnoteRef/>
      </w:r>
      <w:r w:rsidRPr="0003087B">
        <w:rPr>
          <w:sz w:val="22"/>
        </w:rPr>
        <w:t xml:space="preserve"> Italo Calvino, </w:t>
      </w:r>
      <w:r w:rsidRPr="0003087B">
        <w:rPr>
          <w:i/>
          <w:sz w:val="22"/>
        </w:rPr>
        <w:t>Il castello dei destini incrociati</w:t>
      </w:r>
      <w:r w:rsidRPr="0003087B">
        <w:rPr>
          <w:sz w:val="22"/>
        </w:rPr>
        <w:t>, Einaudi, Torino 1973.</w:t>
      </w:r>
    </w:p>
  </w:footnote>
  <w:footnote w:id="80">
    <w:p w:rsidR="00D34104" w:rsidRPr="005B26C5" w:rsidRDefault="00D34104" w:rsidP="00D34104">
      <w:pPr>
        <w:pStyle w:val="Testonotaapidipagina"/>
        <w:ind w:left="284" w:right="276" w:firstLine="425"/>
        <w:jc w:val="both"/>
        <w:rPr>
          <w:sz w:val="22"/>
        </w:rPr>
      </w:pPr>
      <w:r w:rsidRPr="005B26C5">
        <w:rPr>
          <w:rStyle w:val="Rimandonotaapidipagina"/>
          <w:sz w:val="22"/>
        </w:rPr>
        <w:footnoteRef/>
      </w:r>
      <w:r w:rsidRPr="005B26C5">
        <w:rPr>
          <w:sz w:val="22"/>
        </w:rPr>
        <w:t xml:space="preserve"> La segnalazione di questo brano in quanto paradigmatico della concezione premiale del diritto si deve a Gianni Bernardini, </w:t>
      </w:r>
      <w:r w:rsidRPr="005B26C5">
        <w:rPr>
          <w:i/>
          <w:sz w:val="22"/>
        </w:rPr>
        <w:t>Realtà e conoscenza giuridica</w:t>
      </w:r>
      <w:r w:rsidRPr="005B26C5">
        <w:rPr>
          <w:sz w:val="22"/>
        </w:rPr>
        <w:t xml:space="preserve">, Guaraldi, Rimini 1999, pp. 31 e 32. Forse non tutti sanno che Jonhatan Swift, l’autore de </w:t>
      </w:r>
      <w:r w:rsidRPr="005B26C5">
        <w:rPr>
          <w:i/>
          <w:sz w:val="22"/>
        </w:rPr>
        <w:t>I viaggi di Gulliver</w:t>
      </w:r>
      <w:r w:rsidRPr="005B26C5">
        <w:rPr>
          <w:sz w:val="22"/>
        </w:rPr>
        <w:t>, fu uno dei più importanti intellettuali europei del suo tempo, scrittore e pensatore versatile la cui produzione fu sempre caratterizzata da un’</w:t>
      </w:r>
      <w:r w:rsidRPr="005B26C5">
        <w:rPr>
          <w:rFonts w:cs="Helvetica"/>
          <w:sz w:val="22"/>
          <w:szCs w:val="26"/>
          <w:lang w:bidi="it-IT"/>
        </w:rPr>
        <w:t>ideologia pessimistica e negativa, secondo la quale l'uomo è debole, corrotto, ignorante e affamato di potere, dotato di soli vizi e di nessuna virtù. In quest’ottica antropologicamente demolitoria Swift, anche nella propria produzione fantastica, fu particolarmente critico, tra l’altro, nei confronti dei guasti delle tecniche di produzione legislativa del tempo, anticipando problemi e sensibilità che decenni dopo si sarebbero riproposti ancor più gravi.</w:t>
      </w:r>
      <w:r w:rsidRPr="005B26C5">
        <w:rPr>
          <w:rFonts w:eastAsia="Apple LiGothic Medium"/>
          <w:sz w:val="22"/>
          <w:lang w:eastAsia="zh-TW"/>
        </w:rPr>
        <w:t xml:space="preserve"> A questo proposito, c’è un luogo molto noto nell’opera swiftiana che la dice lunga su quanto l’esigenza di una produzione normativa semplice, ben scritta ed essenziale, fosse avvertita </w:t>
      </w:r>
      <w:r w:rsidRPr="005B26C5">
        <w:rPr>
          <w:rFonts w:eastAsia="Apple LiGothic Medium"/>
          <w:i/>
          <w:sz w:val="22"/>
          <w:lang w:eastAsia="zh-TW"/>
        </w:rPr>
        <w:t>anche</w:t>
      </w:r>
      <w:r w:rsidRPr="005B26C5">
        <w:rPr>
          <w:rFonts w:eastAsia="Apple LiGothic Medium"/>
          <w:sz w:val="22"/>
          <w:lang w:eastAsia="zh-TW"/>
        </w:rPr>
        <w:t xml:space="preserve"> in quella cultura di </w:t>
      </w:r>
      <w:r w:rsidRPr="005B26C5">
        <w:rPr>
          <w:rFonts w:eastAsia="Apple LiGothic Medium"/>
          <w:i/>
          <w:sz w:val="22"/>
          <w:lang w:eastAsia="zh-TW"/>
        </w:rPr>
        <w:t>common law</w:t>
      </w:r>
      <w:r w:rsidRPr="005B26C5">
        <w:rPr>
          <w:rFonts w:eastAsia="Apple LiGothic Medium"/>
          <w:sz w:val="22"/>
          <w:lang w:eastAsia="zh-TW"/>
        </w:rPr>
        <w:t xml:space="preserve">, che noi, talvolta, tendiamo a considerare del tutto immune dai guasti e dalle lungaggini delle società giuridica del diritto continentale. Si tratta del famoso dialogo tra Lemuel Gulliver ed il Signore del paese degli </w:t>
      </w:r>
      <w:r w:rsidRPr="005B26C5">
        <w:rPr>
          <w:rFonts w:cs="Helvetica-Oblique"/>
          <w:i/>
          <w:iCs/>
          <w:sz w:val="22"/>
          <w:szCs w:val="26"/>
          <w:lang w:bidi="it-IT"/>
        </w:rPr>
        <w:t>Houyhnhnms</w:t>
      </w:r>
      <w:r w:rsidRPr="005B26C5">
        <w:rPr>
          <w:rFonts w:eastAsia="Apple LiGothic Medium"/>
          <w:sz w:val="22"/>
          <w:lang w:eastAsia="zh-TW"/>
        </w:rPr>
        <w:t xml:space="preserve">, tratto, appunto da </w:t>
      </w:r>
      <w:r w:rsidRPr="005B26C5">
        <w:rPr>
          <w:rFonts w:eastAsia="Apple LiGothic Medium"/>
          <w:i/>
          <w:sz w:val="22"/>
          <w:lang w:eastAsia="zh-TW"/>
        </w:rPr>
        <w:t>I viaggi di Gulliver</w:t>
      </w:r>
      <w:r w:rsidRPr="005B26C5">
        <w:rPr>
          <w:rFonts w:eastAsia="Apple LiGothic Medium"/>
          <w:sz w:val="22"/>
          <w:lang w:eastAsia="zh-TW"/>
        </w:rPr>
        <w:t>: “Si vuole anche osservare” – spiegava Gulliver al suo interlocutore, il Governatore di quella favolosa terra – “che la classe dei legali ha un suo proprio gergo, che nessuno capisce, e nel quale sono scritte tutte le leggi divenute, per speciale loro cura, innumerevoli. Così sono riusciti a confondere l’essenza stessa del vero e del falso, del diritto e del torto, con questo bel risultato: che ci vogliono tre decenni prima che sia deciso se il campo lasciatomi dai miei antenati per sei generazioni appartenga a me, o non piuttosto a un estraneo dimorante trecento miglia lontano…”. Swift, si dimostra, come sempre, acuto, anticipatore e molto disincantato sulle cose degli uomini!</w:t>
      </w:r>
    </w:p>
    <w:p w:rsidR="00D34104" w:rsidRPr="005B26C5" w:rsidRDefault="00D34104" w:rsidP="00D34104">
      <w:pPr>
        <w:ind w:left="284" w:right="276" w:firstLine="425"/>
        <w:jc w:val="both"/>
        <w:rPr>
          <w:sz w:val="22"/>
        </w:rPr>
      </w:pPr>
    </w:p>
    <w:p w:rsidR="00D34104" w:rsidRPr="005B26C5" w:rsidRDefault="00D34104" w:rsidP="00D34104">
      <w:pPr>
        <w:ind w:left="284" w:right="276" w:firstLine="425"/>
        <w:contextualSpacing/>
        <w:jc w:val="both"/>
        <w:rPr>
          <w:sz w:val="22"/>
        </w:rPr>
      </w:pPr>
    </w:p>
    <w:p w:rsidR="00D34104" w:rsidRPr="005B26C5" w:rsidRDefault="00D34104" w:rsidP="00D34104">
      <w:pPr>
        <w:ind w:left="284" w:right="276" w:firstLine="425"/>
        <w:contextualSpacing/>
        <w:jc w:val="both"/>
        <w:rPr>
          <w:sz w:val="22"/>
        </w:rPr>
      </w:pPr>
    </w:p>
    <w:p w:rsidR="00D34104" w:rsidRPr="00DA4DE1" w:rsidRDefault="00D34104" w:rsidP="00D34104">
      <w:pPr>
        <w:ind w:left="284" w:right="276" w:firstLine="425"/>
        <w:contextualSpacing/>
        <w:jc w:val="both"/>
        <w:rPr>
          <w:sz w:val="28"/>
        </w:rPr>
      </w:pPr>
    </w:p>
    <w:p w:rsidR="00D34104" w:rsidRPr="00DA4DE1" w:rsidRDefault="00D34104" w:rsidP="00D34104">
      <w:pPr>
        <w:ind w:left="284" w:right="276" w:firstLine="425"/>
        <w:contextualSpacing/>
        <w:jc w:val="both"/>
        <w:rPr>
          <w:sz w:val="28"/>
        </w:rPr>
      </w:pPr>
    </w:p>
    <w:p w:rsidR="00D34104" w:rsidRDefault="00D34104" w:rsidP="00D34104">
      <w:pPr>
        <w:pStyle w:val="Testonotaapidipagina"/>
      </w:pPr>
    </w:p>
  </w:footnote>
  <w:footnote w:id="81">
    <w:p w:rsidR="00D34104" w:rsidRPr="00865FBE" w:rsidRDefault="00D34104" w:rsidP="00D34104">
      <w:pPr>
        <w:pStyle w:val="Testonotaapidipagina"/>
        <w:ind w:left="284" w:right="276" w:firstLine="425"/>
        <w:jc w:val="both"/>
        <w:rPr>
          <w:sz w:val="22"/>
        </w:rPr>
      </w:pPr>
      <w:r w:rsidRPr="00865FBE">
        <w:rPr>
          <w:rStyle w:val="Rimandonotaapidipagina"/>
          <w:sz w:val="22"/>
        </w:rPr>
        <w:footnoteRef/>
      </w:r>
      <w:r w:rsidRPr="00865FBE">
        <w:rPr>
          <w:sz w:val="22"/>
        </w:rPr>
        <w:t xml:space="preserve"> </w:t>
      </w:r>
      <w:r w:rsidRPr="00865FBE">
        <w:rPr>
          <w:rFonts w:eastAsia="AppleGothic"/>
          <w:sz w:val="22"/>
          <w:lang w:eastAsia="ko-KR"/>
        </w:rPr>
        <w:t xml:space="preserve">Piero Calamandrei, </w:t>
      </w:r>
      <w:r w:rsidRPr="00865FBE">
        <w:rPr>
          <w:rFonts w:eastAsia="AppleGothic"/>
          <w:i/>
          <w:sz w:val="22"/>
          <w:lang w:eastAsia="ko-KR"/>
        </w:rPr>
        <w:t>La burla di Primavera con altre fiabe, e prose sparse</w:t>
      </w:r>
      <w:r w:rsidRPr="00865FBE">
        <w:rPr>
          <w:rFonts w:eastAsia="AppleGothic"/>
          <w:sz w:val="22"/>
          <w:lang w:eastAsia="ko-KR"/>
        </w:rPr>
        <w:t xml:space="preserve">, Sellerio, Palermo 2006, p. 11 e ss. Calamandrei era andato pubblicandole, in gioventù, sul </w:t>
      </w:r>
      <w:r w:rsidRPr="00350EC3">
        <w:rPr>
          <w:rFonts w:eastAsia="AppleGothic"/>
          <w:i/>
          <w:sz w:val="22"/>
          <w:lang w:eastAsia="ko-KR"/>
        </w:rPr>
        <w:t>Corriere dei Piccoli</w:t>
      </w:r>
      <w:r w:rsidRPr="00865FBE">
        <w:rPr>
          <w:rFonts w:eastAsia="AppleGothic"/>
          <w:sz w:val="22"/>
          <w:lang w:eastAsia="ko-KR"/>
        </w:rPr>
        <w:t>.</w:t>
      </w:r>
    </w:p>
  </w:footnote>
  <w:footnote w:id="82">
    <w:p w:rsidR="00D34104" w:rsidRPr="00865FBE" w:rsidRDefault="00D34104" w:rsidP="00D34104">
      <w:pPr>
        <w:pStyle w:val="Testonotaapidipagina"/>
        <w:ind w:left="284" w:right="276" w:firstLine="425"/>
        <w:jc w:val="both"/>
        <w:rPr>
          <w:sz w:val="22"/>
        </w:rPr>
      </w:pPr>
      <w:r w:rsidRPr="00865FBE">
        <w:rPr>
          <w:rStyle w:val="Rimandonotaapidipagina"/>
          <w:sz w:val="22"/>
        </w:rPr>
        <w:footnoteRef/>
      </w:r>
      <w:r w:rsidRPr="00865FBE">
        <w:rPr>
          <w:sz w:val="22"/>
        </w:rPr>
        <w:t xml:space="preserve"> Per queste notazioni si rimanda ad Alessandra Bellini, </w:t>
      </w:r>
      <w:r w:rsidRPr="00865FBE">
        <w:rPr>
          <w:i/>
          <w:sz w:val="22"/>
        </w:rPr>
        <w:t>Ermeneutica giuridica e ermeneutica letteraria: Emilio e Ugo Betti</w:t>
      </w:r>
      <w:r w:rsidRPr="00865FBE">
        <w:rPr>
          <w:sz w:val="22"/>
        </w:rPr>
        <w:t xml:space="preserve">, in Giuseppe Limone (a cura di) </w:t>
      </w:r>
      <w:r w:rsidRPr="00865FBE">
        <w:rPr>
          <w:i/>
          <w:sz w:val="22"/>
        </w:rPr>
        <w:t>Il certo alla prova del vero, il vero alla prova del certo. Certezza e diritto in discussione</w:t>
      </w:r>
      <w:r w:rsidRPr="00865FBE">
        <w:rPr>
          <w:sz w:val="22"/>
        </w:rPr>
        <w:t xml:space="preserve">, Franco Angeli, Milano 2008, p. 761 e ss. Un’altra interessante e documentata ricerca sui rapporti tra diritto e letteratura nella drammaturgia di Ugo Betti si deve a Tina Achilli, </w:t>
      </w:r>
      <w:r w:rsidRPr="00865FBE">
        <w:rPr>
          <w:i/>
          <w:sz w:val="22"/>
        </w:rPr>
        <w:t>Rivoluzione e diritto. Libertà e persona nel teatro di Ugo Betti</w:t>
      </w:r>
      <w:r w:rsidRPr="00865FBE">
        <w:rPr>
          <w:sz w:val="22"/>
        </w:rPr>
        <w:t>, Progedit, Bari 2011, ove ci si sofferma in particolare sullo scetticismo giuridico dell’autore e sulla sua trasposizione nei drammi principali.</w:t>
      </w:r>
    </w:p>
  </w:footnote>
  <w:footnote w:id="83">
    <w:p w:rsidR="00D34104" w:rsidRPr="00865FBE" w:rsidRDefault="00D34104" w:rsidP="00D34104">
      <w:pPr>
        <w:pStyle w:val="Testonotaapidipagina"/>
        <w:ind w:left="284" w:right="276" w:firstLine="425"/>
        <w:jc w:val="both"/>
        <w:rPr>
          <w:sz w:val="22"/>
        </w:rPr>
      </w:pPr>
      <w:r w:rsidRPr="00865FBE">
        <w:rPr>
          <w:rStyle w:val="Rimandonotaapidipagina"/>
          <w:sz w:val="22"/>
        </w:rPr>
        <w:footnoteRef/>
      </w:r>
      <w:r w:rsidRPr="00865FBE">
        <w:rPr>
          <w:sz w:val="22"/>
        </w:rPr>
        <w:t xml:space="preserve"> Cfr. Ugo Betti, </w:t>
      </w:r>
      <w:r w:rsidRPr="00865FBE">
        <w:rPr>
          <w:i/>
          <w:sz w:val="22"/>
        </w:rPr>
        <w:t>Novelle inedite e altri scritti</w:t>
      </w:r>
      <w:r w:rsidRPr="00865FBE">
        <w:rPr>
          <w:sz w:val="22"/>
        </w:rPr>
        <w:t xml:space="preserve">, Bulzoni Editore, Roma 2009. </w:t>
      </w:r>
    </w:p>
  </w:footnote>
  <w:footnote w:id="84">
    <w:p w:rsidR="00D34104" w:rsidRPr="00865FBE" w:rsidRDefault="00D34104" w:rsidP="00D34104">
      <w:pPr>
        <w:pStyle w:val="Testonotaapidipagina"/>
        <w:ind w:left="284" w:right="276" w:firstLine="425"/>
        <w:jc w:val="both"/>
        <w:rPr>
          <w:sz w:val="22"/>
        </w:rPr>
      </w:pPr>
      <w:r w:rsidRPr="00865FBE">
        <w:rPr>
          <w:rStyle w:val="Rimandonotaapidipagina"/>
          <w:sz w:val="22"/>
        </w:rPr>
        <w:footnoteRef/>
      </w:r>
      <w:r w:rsidRPr="00865FBE">
        <w:rPr>
          <w:sz w:val="22"/>
        </w:rPr>
        <w:t xml:space="preserve"> Cfr. Vito Tenore (a cura di) </w:t>
      </w:r>
      <w:r w:rsidRPr="00865FBE">
        <w:rPr>
          <w:i/>
          <w:sz w:val="22"/>
        </w:rPr>
        <w:t>Fiabe scritte da giuristi</w:t>
      </w:r>
      <w:r w:rsidRPr="00865FBE">
        <w:rPr>
          <w:sz w:val="22"/>
        </w:rPr>
        <w:t>, Giuffrè, Milano 2003.</w:t>
      </w:r>
    </w:p>
  </w:footnote>
  <w:footnote w:id="85">
    <w:p w:rsidR="00D34104" w:rsidRPr="00865FBE" w:rsidRDefault="00D34104" w:rsidP="00D34104">
      <w:pPr>
        <w:pStyle w:val="Testonotaapidipagina"/>
        <w:ind w:left="284" w:right="276" w:firstLine="425"/>
        <w:jc w:val="both"/>
        <w:rPr>
          <w:sz w:val="22"/>
        </w:rPr>
      </w:pPr>
      <w:r w:rsidRPr="00865FBE">
        <w:rPr>
          <w:rStyle w:val="Rimandonotaapidipagina"/>
          <w:sz w:val="22"/>
        </w:rPr>
        <w:footnoteRef/>
      </w:r>
      <w:r w:rsidRPr="00865FBE">
        <w:rPr>
          <w:sz w:val="22"/>
        </w:rPr>
        <w:t xml:space="preserve"> Per analoghe considerazione vedi anche Francesco Galgano, </w:t>
      </w:r>
      <w:r w:rsidRPr="00865FBE">
        <w:rPr>
          <w:i/>
          <w:sz w:val="22"/>
        </w:rPr>
        <w:t>Il diritto e le altre arti</w:t>
      </w:r>
      <w:r w:rsidRPr="00865FBE">
        <w:rPr>
          <w:sz w:val="22"/>
        </w:rPr>
        <w:t>, Editrice Compositori, Bologna 2009, p. 32.</w:t>
      </w:r>
    </w:p>
    <w:p w:rsidR="00D34104" w:rsidRPr="0003087B" w:rsidRDefault="00D34104" w:rsidP="00D34104">
      <w:pPr>
        <w:pStyle w:val="Testonotaapidipagina"/>
        <w:ind w:left="284" w:right="276" w:firstLine="425"/>
        <w:jc w:val="both"/>
        <w:rPr>
          <w:sz w:val="28"/>
        </w:rPr>
      </w:pPr>
    </w:p>
    <w:p w:rsidR="00D34104" w:rsidRDefault="00D34104" w:rsidP="00D34104">
      <w:pPr>
        <w:pStyle w:val="Testonotaapidipagina"/>
        <w:jc w:val="both"/>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characterSpacingControl w:val="doNotCompress"/>
  <w:footnotePr>
    <w:footnote w:id="-1"/>
    <w:footnote w:id="0"/>
  </w:footnotePr>
  <w:endnotePr>
    <w:endnote w:id="-1"/>
    <w:endnote w:id="0"/>
  </w:endnotePr>
  <w:compat>
    <w:useFELayout/>
  </w:compat>
  <w:rsids>
    <w:rsidRoot w:val="00503727"/>
    <w:rsid w:val="000F4224"/>
    <w:rsid w:val="001509B3"/>
    <w:rsid w:val="001C487A"/>
    <w:rsid w:val="00203C10"/>
    <w:rsid w:val="00385DE0"/>
    <w:rsid w:val="00503727"/>
    <w:rsid w:val="00544D05"/>
    <w:rsid w:val="006156CD"/>
    <w:rsid w:val="006A0EE5"/>
    <w:rsid w:val="008F50A1"/>
    <w:rsid w:val="009003CB"/>
    <w:rsid w:val="009665C7"/>
    <w:rsid w:val="009A0BE8"/>
    <w:rsid w:val="009A2A48"/>
    <w:rsid w:val="009D76D8"/>
    <w:rsid w:val="009F447B"/>
    <w:rsid w:val="00AA66D7"/>
    <w:rsid w:val="00B606FD"/>
    <w:rsid w:val="00C77293"/>
    <w:rsid w:val="00D34104"/>
    <w:rsid w:val="00E204E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it-IT"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03727"/>
    <w:rPr>
      <w:rFonts w:ascii="Times New Roman" w:eastAsia="Times New Roman" w:hAnsi="Times New Roman"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semiHidden/>
    <w:rsid w:val="00503727"/>
  </w:style>
  <w:style w:type="character" w:customStyle="1" w:styleId="TestonotaapidipaginaCarattere">
    <w:name w:val="Testo nota a piè di pagina Carattere"/>
    <w:basedOn w:val="Carpredefinitoparagrafo"/>
    <w:link w:val="Testonotaapidipagina"/>
    <w:semiHidden/>
    <w:rsid w:val="00503727"/>
    <w:rPr>
      <w:rFonts w:ascii="Times New Roman" w:eastAsia="Times New Roman" w:hAnsi="Times New Roman" w:cs="Times New Roman"/>
      <w:lang w:eastAsia="it-IT"/>
    </w:rPr>
  </w:style>
  <w:style w:type="character" w:styleId="Rimandonotaapidipagina">
    <w:name w:val="footnote reference"/>
    <w:semiHidden/>
    <w:rsid w:val="00503727"/>
    <w:rPr>
      <w:vertAlign w:val="superscript"/>
    </w:rPr>
  </w:style>
  <w:style w:type="character" w:styleId="Enfasicorsivo">
    <w:name w:val="Emphasis"/>
    <w:qFormat/>
    <w:rsid w:val="00D34104"/>
    <w:rPr>
      <w:i/>
    </w:rPr>
  </w:style>
  <w:style w:type="paragraph" w:styleId="Pidipagina">
    <w:name w:val="footer"/>
    <w:basedOn w:val="Normale"/>
    <w:link w:val="PidipaginaCarattere"/>
    <w:uiPriority w:val="99"/>
    <w:unhideWhenUsed/>
    <w:rsid w:val="00D34104"/>
    <w:pPr>
      <w:tabs>
        <w:tab w:val="center" w:pos="4819"/>
        <w:tab w:val="right" w:pos="9638"/>
      </w:tabs>
    </w:pPr>
  </w:style>
  <w:style w:type="character" w:customStyle="1" w:styleId="PidipaginaCarattere">
    <w:name w:val="Piè di pagina Carattere"/>
    <w:basedOn w:val="Carpredefinitoparagrafo"/>
    <w:link w:val="Pidipagina"/>
    <w:uiPriority w:val="99"/>
    <w:rsid w:val="00D34104"/>
    <w:rPr>
      <w:rFonts w:ascii="Times New Roman" w:eastAsia="Times New Roman" w:hAnsi="Times New Roman" w:cs="Times New Roman"/>
      <w:lang w:eastAsia="it-IT"/>
    </w:rPr>
  </w:style>
  <w:style w:type="character" w:styleId="Numeropagina">
    <w:name w:val="page number"/>
    <w:basedOn w:val="Carpredefinitoparagrafo"/>
    <w:uiPriority w:val="99"/>
    <w:semiHidden/>
    <w:unhideWhenUsed/>
    <w:rsid w:val="00D3410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it.wikipedia.org/wiki/Prussia" TargetMode="External"/><Relationship Id="rId13" Type="http://schemas.openxmlformats.org/officeDocument/2006/relationships/hyperlink" Target="http://www.treccani.it/enciclopedia/germania/" TargetMode="External"/><Relationship Id="rId3" Type="http://schemas.openxmlformats.org/officeDocument/2006/relationships/webSettings" Target="webSettings.xml"/><Relationship Id="rId7" Type="http://schemas.openxmlformats.org/officeDocument/2006/relationships/hyperlink" Target="http://it.wikipedia.org/wiki/Kassel" TargetMode="External"/><Relationship Id="rId12" Type="http://schemas.openxmlformats.org/officeDocument/2006/relationships/hyperlink" Target="http://it.wikipedia.org/wiki/Dizionario"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t.wikipedia.org/wiki/Francoforte_sul_Meno" TargetMode="External"/><Relationship Id="rId11" Type="http://schemas.openxmlformats.org/officeDocument/2006/relationships/hyperlink" Target="http://it.wikipedia.org/wiki/Germania"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it.wikipedia.org/wiki/XIX_secolo" TargetMode="External"/><Relationship Id="rId4" Type="http://schemas.openxmlformats.org/officeDocument/2006/relationships/footnotes" Target="footnotes.xml"/><Relationship Id="rId9" Type="http://schemas.openxmlformats.org/officeDocument/2006/relationships/hyperlink" Target="http://it.wikipedia.org/wiki/1848"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65</Pages>
  <Words>21237</Words>
  <Characters>121056</Characters>
  <Application>Microsoft Office Word</Application>
  <DocSecurity>0</DocSecurity>
  <Lines>1008</Lines>
  <Paragraphs>284</Paragraphs>
  <ScaleCrop>false</ScaleCrop>
  <Company/>
  <LinksUpToDate>false</LinksUpToDate>
  <CharactersWithSpaces>142009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Pietro Pellegrino</dc:creator>
  <cp:lastModifiedBy>utente</cp:lastModifiedBy>
  <cp:revision>2</cp:revision>
  <dcterms:created xsi:type="dcterms:W3CDTF">2019-04-03T09:10:00Z</dcterms:created>
  <dcterms:modified xsi:type="dcterms:W3CDTF">2019-04-03T09:10:00Z</dcterms:modified>
</cp:coreProperties>
</file>