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2E0D" w:rsidRPr="000F7B64" w:rsidRDefault="00E02E0D" w:rsidP="00E02E0D">
      <w:pPr>
        <w:pStyle w:val="NormaleWeb"/>
        <w:kinsoku w:val="0"/>
        <w:overflowPunct w:val="0"/>
        <w:spacing w:before="0" w:beforeAutospacing="0" w:after="0" w:afterAutospacing="0" w:line="216" w:lineRule="auto"/>
        <w:jc w:val="center"/>
        <w:textAlignment w:val="baseline"/>
        <w:rPr>
          <w:rFonts w:ascii="Century Gothic" w:hAnsi="Century Gothic"/>
          <w:b/>
          <w:sz w:val="20"/>
          <w:szCs w:val="20"/>
        </w:rPr>
      </w:pPr>
      <w:r w:rsidRPr="000F7B64">
        <w:rPr>
          <w:rFonts w:ascii="Century Gothic" w:eastAsiaTheme="minorEastAsia" w:hAnsi="Century Gothic" w:cs="Arial"/>
          <w:b/>
          <w:bCs/>
          <w:kern w:val="24"/>
          <w:sz w:val="20"/>
          <w:szCs w:val="20"/>
          <w:lang w:val="en-US"/>
          <w14:shadow w14:blurRad="38100" w14:dist="38100" w14:dir="2700000" w14:sx="100000" w14:sy="100000" w14:kx="0" w14:ky="0" w14:algn="tl">
            <w14:srgbClr w14:val="C0C0C0"/>
          </w14:shadow>
        </w:rPr>
        <w:t xml:space="preserve">La </w:t>
      </w:r>
      <w:proofErr w:type="spellStart"/>
      <w:r w:rsidRPr="000F7B64">
        <w:rPr>
          <w:rFonts w:ascii="Century Gothic" w:eastAsiaTheme="minorEastAsia" w:hAnsi="Century Gothic" w:cs="Arial"/>
          <w:b/>
          <w:bCs/>
          <w:kern w:val="24"/>
          <w:sz w:val="20"/>
          <w:szCs w:val="20"/>
          <w:lang w:val="en-US"/>
          <w14:shadow w14:blurRad="38100" w14:dist="38100" w14:dir="2700000" w14:sx="100000" w14:sy="100000" w14:kx="0" w14:ky="0" w14:algn="tl">
            <w14:srgbClr w14:val="C0C0C0"/>
          </w14:shadow>
        </w:rPr>
        <w:t>genetica</w:t>
      </w:r>
      <w:proofErr w:type="spellEnd"/>
      <w:r w:rsidRPr="000F7B64">
        <w:rPr>
          <w:rFonts w:ascii="Century Gothic" w:eastAsiaTheme="minorEastAsia" w:hAnsi="Century Gothic" w:cs="Arial"/>
          <w:b/>
          <w:bCs/>
          <w:kern w:val="24"/>
          <w:sz w:val="20"/>
          <w:szCs w:val="20"/>
          <w:lang w:val="en-US"/>
          <w14:shadow w14:blurRad="38100" w14:dist="38100" w14:dir="2700000" w14:sx="100000" w14:sy="100000" w14:kx="0" w14:ky="0" w14:algn="tl">
            <w14:srgbClr w14:val="C0C0C0"/>
          </w14:shadow>
        </w:rPr>
        <w:t xml:space="preserve"> </w:t>
      </w:r>
      <w:proofErr w:type="spellStart"/>
      <w:r w:rsidRPr="000F7B64">
        <w:rPr>
          <w:rFonts w:ascii="Century Gothic" w:eastAsiaTheme="minorEastAsia" w:hAnsi="Century Gothic" w:cs="Arial"/>
          <w:b/>
          <w:bCs/>
          <w:kern w:val="24"/>
          <w:sz w:val="20"/>
          <w:szCs w:val="20"/>
          <w:lang w:val="en-US"/>
          <w14:shadow w14:blurRad="38100" w14:dist="38100" w14:dir="2700000" w14:sx="100000" w14:sy="100000" w14:kx="0" w14:ky="0" w14:algn="tl">
            <w14:srgbClr w14:val="C0C0C0"/>
          </w14:shadow>
        </w:rPr>
        <w:t>dell’obesità</w:t>
      </w:r>
      <w:proofErr w:type="spellEnd"/>
    </w:p>
    <w:p w:rsidR="00E02E0D" w:rsidRPr="000F7B64" w:rsidRDefault="00E02E0D" w:rsidP="00E02E0D">
      <w:pPr>
        <w:pStyle w:val="NormaleWeb"/>
        <w:kinsoku w:val="0"/>
        <w:overflowPunct w:val="0"/>
        <w:spacing w:before="0" w:beforeAutospacing="0" w:after="0" w:afterAutospacing="0" w:line="216" w:lineRule="auto"/>
        <w:jc w:val="center"/>
        <w:textAlignment w:val="baseline"/>
        <w:rPr>
          <w:rFonts w:ascii="Century Gothic" w:hAnsi="Century Gothic"/>
          <w:b/>
          <w:sz w:val="20"/>
          <w:szCs w:val="20"/>
        </w:rPr>
      </w:pPr>
      <w:proofErr w:type="spellStart"/>
      <w:r w:rsidRPr="000F7B64">
        <w:rPr>
          <w:rFonts w:ascii="Century Gothic" w:eastAsiaTheme="minorEastAsia" w:hAnsi="Century Gothic" w:cs="Arial"/>
          <w:b/>
          <w:bCs/>
          <w:kern w:val="24"/>
          <w:sz w:val="20"/>
          <w:szCs w:val="20"/>
          <w:lang w:val="en-US"/>
          <w14:shadow w14:blurRad="38100" w14:dist="38100" w14:dir="2700000" w14:sx="100000" w14:sy="100000" w14:kx="0" w14:ky="0" w14:algn="tl">
            <w14:srgbClr w14:val="C0C0C0"/>
          </w14:shadow>
        </w:rPr>
        <w:t>dalla</w:t>
      </w:r>
      <w:proofErr w:type="spellEnd"/>
      <w:r w:rsidRPr="000F7B64">
        <w:rPr>
          <w:rFonts w:ascii="Century Gothic" w:eastAsiaTheme="minorEastAsia" w:hAnsi="Century Gothic" w:cs="Arial"/>
          <w:b/>
          <w:bCs/>
          <w:kern w:val="24"/>
          <w:sz w:val="20"/>
          <w:szCs w:val="20"/>
          <w:lang w:val="en-US"/>
          <w14:shadow w14:blurRad="38100" w14:dist="38100" w14:dir="2700000" w14:sx="100000" w14:sy="100000" w14:kx="0" w14:ky="0" w14:algn="tl">
            <w14:srgbClr w14:val="C0C0C0"/>
          </w14:shadow>
        </w:rPr>
        <w:t xml:space="preserve"> </w:t>
      </w:r>
      <w:proofErr w:type="spellStart"/>
      <w:r w:rsidRPr="000F7B64">
        <w:rPr>
          <w:rFonts w:ascii="Century Gothic" w:eastAsiaTheme="minorEastAsia" w:hAnsi="Century Gothic" w:cs="Arial"/>
          <w:b/>
          <w:bCs/>
          <w:kern w:val="24"/>
          <w:sz w:val="20"/>
          <w:szCs w:val="20"/>
          <w:lang w:val="en-US"/>
          <w14:shadow w14:blurRad="38100" w14:dist="38100" w14:dir="2700000" w14:sx="100000" w14:sy="100000" w14:kx="0" w14:ky="0" w14:algn="tl">
            <w14:srgbClr w14:val="C0C0C0"/>
          </w14:shadow>
        </w:rPr>
        <w:t>genetica</w:t>
      </w:r>
      <w:proofErr w:type="spellEnd"/>
      <w:r w:rsidRPr="000F7B64">
        <w:rPr>
          <w:rFonts w:ascii="Century Gothic" w:eastAsiaTheme="minorEastAsia" w:hAnsi="Century Gothic" w:cs="Arial"/>
          <w:b/>
          <w:bCs/>
          <w:kern w:val="24"/>
          <w:sz w:val="20"/>
          <w:szCs w:val="20"/>
          <w:lang w:val="en-US"/>
          <w14:shadow w14:blurRad="38100" w14:dist="38100" w14:dir="2700000" w14:sx="100000" w14:sy="100000" w14:kx="0" w14:ky="0" w14:algn="tl">
            <w14:srgbClr w14:val="C0C0C0"/>
          </w14:shadow>
        </w:rPr>
        <w:t xml:space="preserve"> </w:t>
      </w:r>
      <w:proofErr w:type="spellStart"/>
      <w:r w:rsidRPr="000F7B64">
        <w:rPr>
          <w:rFonts w:ascii="Century Gothic" w:eastAsiaTheme="minorEastAsia" w:hAnsi="Century Gothic" w:cs="Arial"/>
          <w:b/>
          <w:bCs/>
          <w:kern w:val="24"/>
          <w:sz w:val="20"/>
          <w:szCs w:val="20"/>
          <w:lang w:val="en-US"/>
          <w14:shadow w14:blurRad="38100" w14:dist="38100" w14:dir="2700000" w14:sx="100000" w14:sy="100000" w14:kx="0" w14:ky="0" w14:algn="tl">
            <w14:srgbClr w14:val="C0C0C0"/>
          </w14:shadow>
        </w:rPr>
        <w:t>alla</w:t>
      </w:r>
      <w:proofErr w:type="spellEnd"/>
      <w:r w:rsidRPr="000F7B64">
        <w:rPr>
          <w:rFonts w:ascii="Century Gothic" w:eastAsiaTheme="minorEastAsia" w:hAnsi="Century Gothic" w:cs="Arial"/>
          <w:b/>
          <w:bCs/>
          <w:kern w:val="24"/>
          <w:sz w:val="20"/>
          <w:szCs w:val="20"/>
          <w:lang w:val="en-US"/>
          <w14:shadow w14:blurRad="38100" w14:dist="38100" w14:dir="2700000" w14:sx="100000" w14:sy="100000" w14:kx="0" w14:ky="0" w14:algn="tl">
            <w14:srgbClr w14:val="C0C0C0"/>
          </w14:shadow>
        </w:rPr>
        <w:t xml:space="preserve"> </w:t>
      </w:r>
      <w:proofErr w:type="spellStart"/>
      <w:r w:rsidRPr="000F7B64">
        <w:rPr>
          <w:rFonts w:ascii="Century Gothic" w:eastAsiaTheme="minorEastAsia" w:hAnsi="Century Gothic" w:cs="Arial"/>
          <w:b/>
          <w:bCs/>
          <w:kern w:val="24"/>
          <w:sz w:val="20"/>
          <w:szCs w:val="20"/>
          <w:lang w:val="en-US"/>
          <w14:shadow w14:blurRad="38100" w14:dist="38100" w14:dir="2700000" w14:sx="100000" w14:sy="100000" w14:kx="0" w14:ky="0" w14:algn="tl">
            <w14:srgbClr w14:val="C0C0C0"/>
          </w14:shadow>
        </w:rPr>
        <w:t>genomica</w:t>
      </w:r>
      <w:proofErr w:type="spellEnd"/>
      <w:r w:rsidRPr="000F7B64">
        <w:rPr>
          <w:rFonts w:ascii="Century Gothic" w:eastAsiaTheme="minorEastAsia" w:hAnsi="Century Gothic" w:cs="Arial"/>
          <w:b/>
          <w:bCs/>
          <w:kern w:val="24"/>
          <w:sz w:val="20"/>
          <w:szCs w:val="20"/>
          <w:lang w:val="en-US"/>
          <w14:shadow w14:blurRad="38100" w14:dist="38100" w14:dir="2700000" w14:sx="100000" w14:sy="100000" w14:kx="0" w14:ky="0" w14:algn="tl">
            <w14:srgbClr w14:val="C0C0C0"/>
          </w14:shadow>
        </w:rPr>
        <w:t xml:space="preserve"> </w:t>
      </w:r>
      <w:proofErr w:type="spellStart"/>
      <w:r w:rsidRPr="000F7B64">
        <w:rPr>
          <w:rFonts w:ascii="Century Gothic" w:eastAsiaTheme="minorEastAsia" w:hAnsi="Century Gothic" w:cs="Arial"/>
          <w:b/>
          <w:bCs/>
          <w:kern w:val="24"/>
          <w:sz w:val="20"/>
          <w:szCs w:val="20"/>
          <w:lang w:val="en-US"/>
          <w14:shadow w14:blurRad="38100" w14:dist="38100" w14:dir="2700000" w14:sx="100000" w14:sy="100000" w14:kx="0" w14:ky="0" w14:algn="tl">
            <w14:srgbClr w14:val="C0C0C0"/>
          </w14:shadow>
        </w:rPr>
        <w:t>funzionale</w:t>
      </w:r>
      <w:proofErr w:type="spellEnd"/>
    </w:p>
    <w:p w:rsidR="00F01F38" w:rsidRPr="008B31DF" w:rsidRDefault="00F01F38">
      <w:pPr>
        <w:rPr>
          <w:rFonts w:ascii="Century Gothic" w:hAnsi="Century Gothic"/>
          <w:sz w:val="20"/>
          <w:szCs w:val="20"/>
        </w:rPr>
      </w:pPr>
    </w:p>
    <w:p w:rsidR="00E02E0D" w:rsidRPr="008B31DF" w:rsidRDefault="00E02E0D">
      <w:pPr>
        <w:rPr>
          <w:rFonts w:ascii="Century Gothic" w:hAnsi="Century Gothic"/>
          <w:b/>
          <w:sz w:val="20"/>
          <w:szCs w:val="20"/>
        </w:rPr>
      </w:pPr>
      <w:r w:rsidRPr="008B31DF">
        <w:rPr>
          <w:rFonts w:ascii="Century Gothic" w:hAnsi="Century Gothic"/>
          <w:b/>
          <w:sz w:val="20"/>
          <w:szCs w:val="20"/>
        </w:rPr>
        <w:t>Introduzione</w:t>
      </w:r>
    </w:p>
    <w:p w:rsidR="000D47F3" w:rsidRDefault="000D47F3" w:rsidP="000D47F3">
      <w:pPr>
        <w:jc w:val="both"/>
        <w:rPr>
          <w:rFonts w:ascii="Century Gothic" w:hAnsi="Century Gothic"/>
          <w:sz w:val="20"/>
          <w:szCs w:val="20"/>
        </w:rPr>
      </w:pPr>
      <w:r w:rsidRPr="008B31DF">
        <w:rPr>
          <w:rFonts w:ascii="Century Gothic" w:hAnsi="Century Gothic"/>
          <w:sz w:val="20"/>
          <w:szCs w:val="20"/>
        </w:rPr>
        <w:t>L’</w:t>
      </w:r>
      <w:r w:rsidRPr="008B31DF">
        <w:rPr>
          <w:rFonts w:ascii="Century Gothic" w:hAnsi="Century Gothic"/>
          <w:b/>
          <w:sz w:val="20"/>
          <w:szCs w:val="20"/>
        </w:rPr>
        <w:t>obesità</w:t>
      </w:r>
      <w:r w:rsidRPr="008B31DF">
        <w:rPr>
          <w:rFonts w:ascii="Century Gothic" w:hAnsi="Century Gothic"/>
          <w:sz w:val="20"/>
          <w:szCs w:val="20"/>
        </w:rPr>
        <w:t xml:space="preserve"> è il risultato di un eccesso di accumulo di massa grassa e questo accumulo ha effetti avversi sulla salute e favorisce l’insorgenza di malattie cardiovascolari, diabete di tipo II o </w:t>
      </w:r>
      <w:proofErr w:type="spellStart"/>
      <w:r w:rsidRPr="008B31DF">
        <w:rPr>
          <w:rFonts w:ascii="Century Gothic" w:hAnsi="Century Gothic"/>
          <w:sz w:val="20"/>
          <w:szCs w:val="20"/>
        </w:rPr>
        <w:t>insulino</w:t>
      </w:r>
      <w:proofErr w:type="spellEnd"/>
      <w:r w:rsidRPr="008B31DF">
        <w:rPr>
          <w:rFonts w:ascii="Century Gothic" w:hAnsi="Century Gothic"/>
          <w:sz w:val="20"/>
          <w:szCs w:val="20"/>
        </w:rPr>
        <w:t xml:space="preserve"> indipendente e cancro.</w:t>
      </w:r>
    </w:p>
    <w:p w:rsidR="008B31DF" w:rsidRDefault="008B31DF" w:rsidP="000D47F3">
      <w:pPr>
        <w:jc w:val="both"/>
        <w:rPr>
          <w:rFonts w:ascii="Century Gothic" w:hAnsi="Century Gothic"/>
          <w:sz w:val="20"/>
          <w:szCs w:val="20"/>
        </w:rPr>
      </w:pPr>
      <w:r>
        <w:rPr>
          <w:rFonts w:ascii="Century Gothic" w:hAnsi="Century Gothic"/>
          <w:sz w:val="20"/>
          <w:szCs w:val="20"/>
        </w:rPr>
        <w:t>L’obesità è caratterizzata da elevata eterogeneità fenotipica e da stadi differenti di progressione della malattia</w:t>
      </w:r>
      <w:r w:rsidR="001E4FFD">
        <w:rPr>
          <w:rFonts w:ascii="Century Gothic" w:hAnsi="Century Gothic"/>
          <w:sz w:val="20"/>
          <w:szCs w:val="20"/>
        </w:rPr>
        <w:t xml:space="preserve"> (acquisto di peso, </w:t>
      </w:r>
      <w:r w:rsidR="000F7B64">
        <w:rPr>
          <w:rFonts w:ascii="Century Gothic" w:hAnsi="Century Gothic"/>
          <w:sz w:val="20"/>
          <w:szCs w:val="20"/>
        </w:rPr>
        <w:t>cronicizzazione del sovrappeso, risposta variabile ai trattamenti). Le complicazioni sono associate a differenti meccanismi molecolari molti dei quali devono essere ancora chiariti.</w:t>
      </w:r>
      <w:r w:rsidR="00423E4C">
        <w:rPr>
          <w:rFonts w:ascii="Century Gothic" w:hAnsi="Century Gothic"/>
          <w:sz w:val="20"/>
          <w:szCs w:val="20"/>
        </w:rPr>
        <w:t xml:space="preserve"> Una volta stabilizzatasi l’obesità diventa una patologia sistemica ed i soggetti diventano resistenti alla perdita di peso.</w:t>
      </w:r>
    </w:p>
    <w:p w:rsidR="0088329F" w:rsidRDefault="0088329F" w:rsidP="000D47F3">
      <w:pPr>
        <w:jc w:val="both"/>
        <w:rPr>
          <w:rFonts w:ascii="Century Gothic" w:hAnsi="Century Gothic"/>
          <w:sz w:val="20"/>
          <w:szCs w:val="20"/>
        </w:rPr>
      </w:pPr>
      <w:r>
        <w:rPr>
          <w:rFonts w:ascii="Century Gothic" w:hAnsi="Century Gothic"/>
          <w:sz w:val="20"/>
          <w:szCs w:val="20"/>
        </w:rPr>
        <w:t>Circa 3 milioni di persone all’anno nel mondo muoiono per malattie legate al sovrappeso.</w:t>
      </w:r>
    </w:p>
    <w:p w:rsidR="002562B6" w:rsidRDefault="0088329F" w:rsidP="000D47F3">
      <w:pPr>
        <w:jc w:val="both"/>
        <w:rPr>
          <w:rFonts w:ascii="Century Gothic" w:hAnsi="Century Gothic"/>
          <w:sz w:val="20"/>
          <w:szCs w:val="20"/>
        </w:rPr>
      </w:pPr>
      <w:r>
        <w:rPr>
          <w:rFonts w:ascii="Century Gothic" w:hAnsi="Century Gothic"/>
          <w:sz w:val="20"/>
          <w:szCs w:val="20"/>
        </w:rPr>
        <w:t xml:space="preserve">Classifica della </w:t>
      </w:r>
      <w:r w:rsidR="002562B6" w:rsidRPr="0088329F">
        <w:rPr>
          <w:rFonts w:ascii="Century Gothic" w:hAnsi="Century Gothic"/>
          <w:sz w:val="20"/>
          <w:szCs w:val="20"/>
        </w:rPr>
        <w:t xml:space="preserve">organizzazione mondiale della sanità </w:t>
      </w:r>
      <w:r w:rsidR="002562B6" w:rsidRPr="00334EB8">
        <w:rPr>
          <w:rFonts w:ascii="Century Gothic" w:hAnsi="Century Gothic"/>
          <w:b/>
          <w:sz w:val="20"/>
          <w:szCs w:val="20"/>
        </w:rPr>
        <w:t>OMS</w:t>
      </w:r>
      <w:r>
        <w:rPr>
          <w:rFonts w:ascii="Century Gothic" w:hAnsi="Century Gothic"/>
          <w:sz w:val="20"/>
          <w:szCs w:val="20"/>
        </w:rPr>
        <w:t>:</w:t>
      </w:r>
      <w:r w:rsidR="002562B6" w:rsidRPr="0088329F">
        <w:rPr>
          <w:rFonts w:ascii="Century Gothic" w:hAnsi="Century Gothic"/>
          <w:sz w:val="20"/>
          <w:szCs w:val="20"/>
        </w:rPr>
        <w:t xml:space="preserve"> </w:t>
      </w:r>
      <w:r w:rsidR="00DB3688">
        <w:rPr>
          <w:rFonts w:ascii="Century Gothic" w:hAnsi="Century Gothic"/>
          <w:sz w:val="20"/>
          <w:szCs w:val="20"/>
        </w:rPr>
        <w:t>sovrappeso</w:t>
      </w:r>
    </w:p>
    <w:p w:rsidR="0088329F" w:rsidRDefault="00334EB8" w:rsidP="000D47F3">
      <w:pPr>
        <w:jc w:val="both"/>
        <w:rPr>
          <w:rFonts w:ascii="Century Gothic" w:hAnsi="Century Gothic"/>
          <w:sz w:val="20"/>
          <w:szCs w:val="20"/>
        </w:rPr>
      </w:pPr>
      <w:r>
        <w:rPr>
          <w:rFonts w:ascii="Century Gothic" w:hAnsi="Century Gothic"/>
          <w:sz w:val="20"/>
          <w:szCs w:val="20"/>
        </w:rPr>
        <w:t>Abitanti delle isole Samoa Americane 93.5% abitanti in sovrappeso</w:t>
      </w:r>
      <w:r w:rsidR="004E6AA8">
        <w:rPr>
          <w:rFonts w:ascii="Century Gothic" w:hAnsi="Century Gothic"/>
          <w:sz w:val="20"/>
          <w:szCs w:val="20"/>
        </w:rPr>
        <w:t xml:space="preserve">, isole Kiribati arcipelago dell’Oceania 81,5%, </w:t>
      </w:r>
      <w:r w:rsidR="0076215F">
        <w:rPr>
          <w:rFonts w:ascii="Century Gothic" w:hAnsi="Century Gothic"/>
          <w:sz w:val="20"/>
          <w:szCs w:val="20"/>
        </w:rPr>
        <w:t xml:space="preserve">Stati Uniti 66.7%, Germania 66.5%, </w:t>
      </w:r>
      <w:r w:rsidR="0088329F">
        <w:rPr>
          <w:rFonts w:ascii="Century Gothic" w:hAnsi="Century Gothic"/>
          <w:sz w:val="20"/>
          <w:szCs w:val="20"/>
        </w:rPr>
        <w:t>Regno Unito 61% abitanti in sovrappeso</w:t>
      </w:r>
      <w:r w:rsidR="0076215F">
        <w:rPr>
          <w:rFonts w:ascii="Century Gothic" w:hAnsi="Century Gothic"/>
          <w:sz w:val="20"/>
          <w:szCs w:val="20"/>
        </w:rPr>
        <w:t>, Egitto 66%, Bosnia-Erzegovina 62.9%</w:t>
      </w:r>
      <w:r w:rsidR="0009758A">
        <w:rPr>
          <w:rFonts w:ascii="Century Gothic" w:hAnsi="Century Gothic"/>
          <w:sz w:val="20"/>
          <w:szCs w:val="20"/>
        </w:rPr>
        <w:t>,</w:t>
      </w:r>
      <w:r w:rsidR="0076215F">
        <w:rPr>
          <w:rFonts w:ascii="Century Gothic" w:hAnsi="Century Gothic"/>
          <w:sz w:val="20"/>
          <w:szCs w:val="20"/>
        </w:rPr>
        <w:t xml:space="preserve"> </w:t>
      </w:r>
      <w:r w:rsidR="0009758A">
        <w:rPr>
          <w:rFonts w:ascii="Century Gothic" w:hAnsi="Century Gothic"/>
          <w:sz w:val="20"/>
          <w:szCs w:val="20"/>
        </w:rPr>
        <w:t>Regno Unito 61%.</w:t>
      </w:r>
    </w:p>
    <w:p w:rsidR="00DB3688" w:rsidRDefault="00DB3688" w:rsidP="000D47F3">
      <w:pPr>
        <w:jc w:val="both"/>
        <w:rPr>
          <w:rFonts w:ascii="Century Gothic" w:hAnsi="Century Gothic"/>
          <w:sz w:val="20"/>
          <w:szCs w:val="20"/>
        </w:rPr>
      </w:pPr>
      <w:r>
        <w:rPr>
          <w:rFonts w:ascii="Century Gothic" w:hAnsi="Century Gothic"/>
          <w:sz w:val="20"/>
          <w:szCs w:val="20"/>
        </w:rPr>
        <w:t>Ci sono molti segnali che giocano un ruolo nella fisiopatologia dell’obesità. Segnali afferenti sono prodotti dagli organi periferici ed informano il SNC dello stato delle riserve energetiche. Questi segnali vengono integrati nel cervello che adatta il metabolismo alle informazioni fornite.</w:t>
      </w:r>
    </w:p>
    <w:p w:rsidR="005D7B51" w:rsidRDefault="00E04A65" w:rsidP="000D47F3">
      <w:pPr>
        <w:jc w:val="both"/>
        <w:rPr>
          <w:rFonts w:ascii="Century Gothic" w:hAnsi="Century Gothic"/>
          <w:sz w:val="20"/>
          <w:szCs w:val="20"/>
        </w:rPr>
      </w:pPr>
      <w:r>
        <w:rPr>
          <w:rFonts w:ascii="Century Gothic" w:hAnsi="Century Gothic"/>
          <w:sz w:val="20"/>
          <w:szCs w:val="20"/>
        </w:rPr>
        <w:t xml:space="preserve">Uno dei segnali meglio conosciuti è quello della leptina. La </w:t>
      </w:r>
      <w:r w:rsidRPr="00DB1187">
        <w:rPr>
          <w:rFonts w:ascii="Century Gothic" w:hAnsi="Century Gothic"/>
          <w:b/>
          <w:sz w:val="20"/>
          <w:szCs w:val="20"/>
        </w:rPr>
        <w:t>leptina</w:t>
      </w:r>
      <w:r>
        <w:rPr>
          <w:rFonts w:ascii="Century Gothic" w:hAnsi="Century Gothic"/>
          <w:sz w:val="20"/>
          <w:szCs w:val="20"/>
        </w:rPr>
        <w:t xml:space="preserve"> è prodotta dagli adipociti del grasso bianco ed ha recettori nell’ipotalamo dove induce il senso di sazietà, </w:t>
      </w:r>
      <w:r w:rsidR="00041BF6">
        <w:rPr>
          <w:rFonts w:ascii="Century Gothic" w:hAnsi="Century Gothic"/>
          <w:sz w:val="20"/>
          <w:szCs w:val="20"/>
        </w:rPr>
        <w:t>ha</w:t>
      </w:r>
      <w:r w:rsidR="003D3C99">
        <w:rPr>
          <w:rFonts w:ascii="Century Gothic" w:hAnsi="Century Gothic"/>
          <w:sz w:val="20"/>
          <w:szCs w:val="20"/>
        </w:rPr>
        <w:t xml:space="preserve"> dunque un </w:t>
      </w:r>
      <w:r>
        <w:rPr>
          <w:rFonts w:ascii="Century Gothic" w:hAnsi="Century Gothic"/>
          <w:sz w:val="20"/>
          <w:szCs w:val="20"/>
        </w:rPr>
        <w:t xml:space="preserve">effetto </w:t>
      </w:r>
      <w:proofErr w:type="spellStart"/>
      <w:r>
        <w:rPr>
          <w:rFonts w:ascii="Century Gothic" w:hAnsi="Century Gothic"/>
          <w:sz w:val="20"/>
          <w:szCs w:val="20"/>
        </w:rPr>
        <w:t>anoressizante</w:t>
      </w:r>
      <w:proofErr w:type="spellEnd"/>
      <w:r w:rsidR="009110E5">
        <w:rPr>
          <w:rFonts w:ascii="Century Gothic" w:hAnsi="Century Gothic"/>
          <w:sz w:val="20"/>
          <w:szCs w:val="20"/>
        </w:rPr>
        <w:t>.</w:t>
      </w:r>
      <w:r w:rsidR="00DB1187">
        <w:rPr>
          <w:rFonts w:ascii="Century Gothic" w:hAnsi="Century Gothic"/>
          <w:sz w:val="20"/>
          <w:szCs w:val="20"/>
        </w:rPr>
        <w:t xml:space="preserve"> </w:t>
      </w:r>
      <w:r w:rsidR="00DF01E6">
        <w:rPr>
          <w:rFonts w:ascii="Century Gothic" w:hAnsi="Century Gothic"/>
          <w:sz w:val="20"/>
          <w:szCs w:val="20"/>
        </w:rPr>
        <w:t>L’</w:t>
      </w:r>
      <w:proofErr w:type="spellStart"/>
      <w:r w:rsidR="00DF01E6" w:rsidRPr="00DB1187">
        <w:rPr>
          <w:rFonts w:ascii="Century Gothic" w:hAnsi="Century Gothic"/>
          <w:b/>
          <w:sz w:val="20"/>
          <w:szCs w:val="20"/>
        </w:rPr>
        <w:t>adiponectina</w:t>
      </w:r>
      <w:proofErr w:type="spellEnd"/>
      <w:r w:rsidR="00DF01E6">
        <w:rPr>
          <w:rFonts w:ascii="Century Gothic" w:hAnsi="Century Gothic"/>
          <w:sz w:val="20"/>
          <w:szCs w:val="20"/>
        </w:rPr>
        <w:t xml:space="preserve"> prodotta dagli adipociti media invece i segnali fra il tessuto adiposo e le cellule muscolari o gli epatociti. </w:t>
      </w:r>
      <w:r w:rsidR="00F9088B">
        <w:rPr>
          <w:rFonts w:ascii="Century Gothic" w:hAnsi="Century Gothic"/>
          <w:sz w:val="20"/>
          <w:szCs w:val="20"/>
        </w:rPr>
        <w:t xml:space="preserve">La </w:t>
      </w:r>
      <w:r w:rsidR="00F9088B" w:rsidRPr="00F9088B">
        <w:rPr>
          <w:rFonts w:ascii="Century Gothic" w:hAnsi="Century Gothic"/>
          <w:b/>
          <w:sz w:val="20"/>
          <w:szCs w:val="20"/>
        </w:rPr>
        <w:t>grelina</w:t>
      </w:r>
      <w:r w:rsidR="00F9088B">
        <w:rPr>
          <w:rFonts w:ascii="Century Gothic" w:hAnsi="Century Gothic"/>
          <w:sz w:val="20"/>
          <w:szCs w:val="20"/>
        </w:rPr>
        <w:t xml:space="preserve"> è prodotta dalle cellule della parete dello stomaco o del pancreas ed esercita effetti sul CNS inducendo appetito.</w:t>
      </w:r>
      <w:r w:rsidR="00DB1187">
        <w:rPr>
          <w:rFonts w:ascii="Century Gothic" w:hAnsi="Century Gothic"/>
          <w:sz w:val="20"/>
          <w:szCs w:val="20"/>
        </w:rPr>
        <w:t xml:space="preserve"> </w:t>
      </w:r>
      <w:r w:rsidR="005D7B51">
        <w:rPr>
          <w:rFonts w:ascii="Century Gothic" w:hAnsi="Century Gothic"/>
          <w:sz w:val="20"/>
          <w:szCs w:val="20"/>
        </w:rPr>
        <w:t xml:space="preserve">Il </w:t>
      </w:r>
      <w:r w:rsidR="005D7B51" w:rsidRPr="005D7B51">
        <w:rPr>
          <w:rFonts w:ascii="Century Gothic" w:hAnsi="Century Gothic"/>
          <w:b/>
          <w:sz w:val="20"/>
          <w:szCs w:val="20"/>
        </w:rPr>
        <w:t>Peptide YY</w:t>
      </w:r>
      <w:r w:rsidR="005D7B51">
        <w:rPr>
          <w:rFonts w:ascii="Century Gothic" w:hAnsi="Century Gothic"/>
          <w:sz w:val="20"/>
          <w:szCs w:val="20"/>
        </w:rPr>
        <w:t xml:space="preserve"> è un ormone di 36 aa prodotto dalle cellule della mucosa intestinale dell’ileo e del colon che inibisce le contrazioni intestinale ed ha effetto </w:t>
      </w:r>
      <w:proofErr w:type="spellStart"/>
      <w:r w:rsidR="005D7B51">
        <w:rPr>
          <w:rFonts w:ascii="Century Gothic" w:hAnsi="Century Gothic"/>
          <w:sz w:val="20"/>
          <w:szCs w:val="20"/>
        </w:rPr>
        <w:t>anoressizante</w:t>
      </w:r>
      <w:proofErr w:type="spellEnd"/>
      <w:r w:rsidR="005D7B51">
        <w:rPr>
          <w:rFonts w:ascii="Century Gothic" w:hAnsi="Century Gothic"/>
          <w:sz w:val="20"/>
          <w:szCs w:val="20"/>
        </w:rPr>
        <w:t>. L’</w:t>
      </w:r>
      <w:r w:rsidR="005D7B51" w:rsidRPr="005D7B51">
        <w:rPr>
          <w:rFonts w:ascii="Century Gothic" w:hAnsi="Century Gothic"/>
          <w:b/>
          <w:sz w:val="20"/>
          <w:szCs w:val="20"/>
        </w:rPr>
        <w:t>insulina</w:t>
      </w:r>
      <w:r w:rsidR="005D7B51">
        <w:rPr>
          <w:rFonts w:ascii="Century Gothic" w:hAnsi="Century Gothic"/>
          <w:sz w:val="20"/>
          <w:szCs w:val="20"/>
        </w:rPr>
        <w:t xml:space="preserve"> secreto dalle cellule beta del pancreas regola l’assunzione del glucosio da parte delle cellule e quindi i livelli del glucosio nel sangue. Nel diabete di tipo 2 i livelli di insulina sono insufficienti ed il suo livello ematico aumenta.</w:t>
      </w:r>
      <w:r w:rsidR="00676F7E">
        <w:rPr>
          <w:rFonts w:ascii="Century Gothic" w:hAnsi="Century Gothic"/>
          <w:sz w:val="20"/>
          <w:szCs w:val="20"/>
        </w:rPr>
        <w:t xml:space="preserve"> Mentre induce un aumento della massa grassa </w:t>
      </w:r>
      <w:r w:rsidR="00237D96">
        <w:rPr>
          <w:rFonts w:ascii="Century Gothic" w:hAnsi="Century Gothic"/>
          <w:sz w:val="20"/>
          <w:szCs w:val="20"/>
        </w:rPr>
        <w:t xml:space="preserve">agendo </w:t>
      </w:r>
      <w:r w:rsidR="00676F7E">
        <w:rPr>
          <w:rFonts w:ascii="Century Gothic" w:hAnsi="Century Gothic"/>
          <w:sz w:val="20"/>
          <w:szCs w:val="20"/>
        </w:rPr>
        <w:t>sul cervello ha effetto di indurre sazietà.</w:t>
      </w:r>
    </w:p>
    <w:p w:rsidR="00E04A65" w:rsidRDefault="00DB1187" w:rsidP="000D47F3">
      <w:pPr>
        <w:jc w:val="both"/>
        <w:rPr>
          <w:rFonts w:ascii="Century Gothic" w:hAnsi="Century Gothic"/>
          <w:sz w:val="20"/>
          <w:szCs w:val="20"/>
        </w:rPr>
      </w:pPr>
      <w:r>
        <w:rPr>
          <w:rFonts w:ascii="Century Gothic" w:hAnsi="Century Gothic"/>
          <w:sz w:val="20"/>
          <w:szCs w:val="20"/>
        </w:rPr>
        <w:t>L’approccio genetico è stato proposto come mezzo per capire questo complesso si</w:t>
      </w:r>
      <w:r w:rsidR="00B1388D">
        <w:rPr>
          <w:rFonts w:ascii="Century Gothic" w:hAnsi="Century Gothic"/>
          <w:sz w:val="20"/>
          <w:szCs w:val="20"/>
        </w:rPr>
        <w:t>s</w:t>
      </w:r>
      <w:r>
        <w:rPr>
          <w:rFonts w:ascii="Century Gothic" w:hAnsi="Century Gothic"/>
          <w:sz w:val="20"/>
          <w:szCs w:val="20"/>
        </w:rPr>
        <w:t xml:space="preserve">tema fisiopatologico utilizzando sia </w:t>
      </w:r>
      <w:r w:rsidRPr="00DB1187">
        <w:rPr>
          <w:rFonts w:ascii="Century Gothic" w:hAnsi="Century Gothic"/>
          <w:b/>
          <w:sz w:val="20"/>
          <w:szCs w:val="20"/>
        </w:rPr>
        <w:t>la strategia del gene candidato</w:t>
      </w:r>
      <w:r>
        <w:rPr>
          <w:rFonts w:ascii="Century Gothic" w:hAnsi="Century Gothic"/>
          <w:sz w:val="20"/>
          <w:szCs w:val="20"/>
        </w:rPr>
        <w:t xml:space="preserve"> (riduzionismo) o usando la </w:t>
      </w:r>
      <w:r w:rsidRPr="00DB1187">
        <w:rPr>
          <w:rFonts w:ascii="Century Gothic" w:hAnsi="Century Gothic"/>
          <w:b/>
          <w:sz w:val="20"/>
          <w:szCs w:val="20"/>
        </w:rPr>
        <w:t>GWAS</w:t>
      </w:r>
      <w:r>
        <w:rPr>
          <w:rFonts w:ascii="Century Gothic" w:hAnsi="Century Gothic"/>
          <w:sz w:val="20"/>
          <w:szCs w:val="20"/>
        </w:rPr>
        <w:t xml:space="preserve"> o </w:t>
      </w:r>
      <w:proofErr w:type="spellStart"/>
      <w:r>
        <w:rPr>
          <w:rFonts w:ascii="Century Gothic" w:hAnsi="Century Gothic"/>
          <w:sz w:val="20"/>
          <w:szCs w:val="20"/>
        </w:rPr>
        <w:t>genome</w:t>
      </w:r>
      <w:proofErr w:type="spellEnd"/>
      <w:r>
        <w:rPr>
          <w:rFonts w:ascii="Century Gothic" w:hAnsi="Century Gothic"/>
          <w:sz w:val="20"/>
          <w:szCs w:val="20"/>
        </w:rPr>
        <w:t xml:space="preserve"> wide </w:t>
      </w:r>
      <w:proofErr w:type="spellStart"/>
      <w:r>
        <w:rPr>
          <w:rFonts w:ascii="Century Gothic" w:hAnsi="Century Gothic"/>
          <w:sz w:val="20"/>
          <w:szCs w:val="20"/>
        </w:rPr>
        <w:t>scan</w:t>
      </w:r>
      <w:proofErr w:type="spellEnd"/>
      <w:r>
        <w:rPr>
          <w:rFonts w:ascii="Century Gothic" w:hAnsi="Century Gothic"/>
          <w:sz w:val="20"/>
          <w:szCs w:val="20"/>
        </w:rPr>
        <w:t xml:space="preserve"> approach (olismo).</w:t>
      </w:r>
    </w:p>
    <w:p w:rsidR="00556433" w:rsidRDefault="00556433" w:rsidP="000D47F3">
      <w:pPr>
        <w:jc w:val="both"/>
        <w:rPr>
          <w:rFonts w:ascii="Century Gothic" w:hAnsi="Century Gothic"/>
          <w:sz w:val="20"/>
          <w:szCs w:val="20"/>
        </w:rPr>
      </w:pPr>
      <w:r>
        <w:rPr>
          <w:rFonts w:ascii="Century Gothic" w:hAnsi="Century Gothic"/>
          <w:sz w:val="20"/>
          <w:szCs w:val="20"/>
        </w:rPr>
        <w:t xml:space="preserve">Dal punto di vista genetico l’obesità </w:t>
      </w:r>
      <w:r w:rsidR="007D3030">
        <w:rPr>
          <w:rFonts w:ascii="Century Gothic" w:hAnsi="Century Gothic"/>
          <w:sz w:val="20"/>
          <w:szCs w:val="20"/>
        </w:rPr>
        <w:t>è comunemente classificata in sottogruppi a seconda della presunta eziologia:</w:t>
      </w:r>
    </w:p>
    <w:p w:rsidR="0093387B" w:rsidRDefault="0093387B" w:rsidP="000D47F3">
      <w:pPr>
        <w:jc w:val="both"/>
        <w:rPr>
          <w:rFonts w:ascii="Century Gothic" w:hAnsi="Century Gothic"/>
          <w:sz w:val="20"/>
          <w:szCs w:val="20"/>
        </w:rPr>
      </w:pPr>
      <w:r w:rsidRPr="0093387B">
        <w:rPr>
          <w:rFonts w:ascii="Century Gothic" w:hAnsi="Century Gothic"/>
          <w:b/>
          <w:sz w:val="20"/>
          <w:szCs w:val="20"/>
        </w:rPr>
        <w:t>Obesità monogenica</w:t>
      </w:r>
      <w:r>
        <w:rPr>
          <w:rFonts w:ascii="Century Gothic" w:hAnsi="Century Gothic"/>
          <w:sz w:val="20"/>
          <w:szCs w:val="20"/>
        </w:rPr>
        <w:t>, estremamente severa ma non accompagnata da ritardo dello sviluppo.</w:t>
      </w:r>
    </w:p>
    <w:p w:rsidR="008E5A1A" w:rsidRDefault="008E5A1A" w:rsidP="000D47F3">
      <w:pPr>
        <w:jc w:val="both"/>
        <w:rPr>
          <w:rFonts w:ascii="Century Gothic" w:hAnsi="Century Gothic"/>
          <w:sz w:val="20"/>
          <w:szCs w:val="20"/>
        </w:rPr>
      </w:pPr>
      <w:r w:rsidRPr="008E5A1A">
        <w:rPr>
          <w:rFonts w:ascii="Century Gothic" w:hAnsi="Century Gothic"/>
          <w:b/>
          <w:sz w:val="20"/>
          <w:szCs w:val="20"/>
        </w:rPr>
        <w:t>Obesità sindromica</w:t>
      </w:r>
      <w:r>
        <w:rPr>
          <w:rFonts w:ascii="Century Gothic" w:hAnsi="Century Gothic"/>
          <w:sz w:val="20"/>
          <w:szCs w:val="20"/>
        </w:rPr>
        <w:t xml:space="preserve">, soggetti obesi con </w:t>
      </w:r>
      <w:proofErr w:type="spellStart"/>
      <w:r>
        <w:rPr>
          <w:rFonts w:ascii="Century Gothic" w:hAnsi="Century Gothic"/>
          <w:sz w:val="20"/>
          <w:szCs w:val="20"/>
        </w:rPr>
        <w:t>dismorfie</w:t>
      </w:r>
      <w:proofErr w:type="spellEnd"/>
      <w:r>
        <w:rPr>
          <w:rFonts w:ascii="Century Gothic" w:hAnsi="Century Gothic"/>
          <w:sz w:val="20"/>
          <w:szCs w:val="20"/>
        </w:rPr>
        <w:t>, ritardo mentale e anomalie di sviluppo.</w:t>
      </w:r>
    </w:p>
    <w:p w:rsidR="008E5A1A" w:rsidRDefault="008E5A1A" w:rsidP="000D47F3">
      <w:pPr>
        <w:jc w:val="both"/>
        <w:rPr>
          <w:rFonts w:ascii="Century Gothic" w:hAnsi="Century Gothic"/>
          <w:sz w:val="20"/>
          <w:szCs w:val="20"/>
        </w:rPr>
      </w:pPr>
      <w:r w:rsidRPr="008E5A1A">
        <w:rPr>
          <w:rFonts w:ascii="Century Gothic" w:hAnsi="Century Gothic"/>
          <w:b/>
          <w:sz w:val="20"/>
          <w:szCs w:val="20"/>
        </w:rPr>
        <w:t>Obesità poligenica</w:t>
      </w:r>
      <w:r w:rsidR="009B051B">
        <w:rPr>
          <w:rFonts w:ascii="Century Gothic" w:hAnsi="Century Gothic"/>
          <w:b/>
          <w:sz w:val="20"/>
          <w:szCs w:val="20"/>
        </w:rPr>
        <w:t xml:space="preserve"> detta anche comune</w:t>
      </w:r>
      <w:r>
        <w:rPr>
          <w:rFonts w:ascii="Century Gothic" w:hAnsi="Century Gothic"/>
          <w:sz w:val="20"/>
          <w:szCs w:val="20"/>
        </w:rPr>
        <w:t>, interessa la popolazione generale e si accompagna a malattie cardiovascolari, diabete ed altre patologie sistemiche.</w:t>
      </w:r>
      <w:r w:rsidR="009B051B">
        <w:rPr>
          <w:rFonts w:ascii="Century Gothic" w:hAnsi="Century Gothic"/>
          <w:sz w:val="20"/>
          <w:szCs w:val="20"/>
        </w:rPr>
        <w:t xml:space="preserve"> </w:t>
      </w:r>
      <w:proofErr w:type="gramStart"/>
      <w:r w:rsidR="009B051B">
        <w:rPr>
          <w:rFonts w:ascii="Century Gothic" w:hAnsi="Century Gothic"/>
          <w:sz w:val="20"/>
          <w:szCs w:val="20"/>
        </w:rPr>
        <w:t>E’</w:t>
      </w:r>
      <w:proofErr w:type="gramEnd"/>
      <w:r w:rsidR="003E5C7A">
        <w:rPr>
          <w:rFonts w:ascii="Century Gothic" w:hAnsi="Century Gothic"/>
          <w:sz w:val="20"/>
          <w:szCs w:val="20"/>
        </w:rPr>
        <w:t xml:space="preserve"> </w:t>
      </w:r>
      <w:r w:rsidR="009B051B">
        <w:rPr>
          <w:rFonts w:ascii="Century Gothic" w:hAnsi="Century Gothic"/>
          <w:sz w:val="20"/>
          <w:szCs w:val="20"/>
        </w:rPr>
        <w:t xml:space="preserve">un disordine complesso multifattoriale con </w:t>
      </w:r>
      <w:r w:rsidR="00052C59">
        <w:rPr>
          <w:rFonts w:ascii="Century Gothic" w:hAnsi="Century Gothic"/>
          <w:sz w:val="20"/>
          <w:szCs w:val="20"/>
        </w:rPr>
        <w:t>elevato coefficiente di</w:t>
      </w:r>
      <w:r w:rsidR="009B051B">
        <w:rPr>
          <w:rFonts w:ascii="Century Gothic" w:hAnsi="Century Gothic"/>
          <w:sz w:val="20"/>
          <w:szCs w:val="20"/>
        </w:rPr>
        <w:t xml:space="preserve"> ereditabilità</w:t>
      </w:r>
      <w:r w:rsidR="00052C59">
        <w:rPr>
          <w:rFonts w:ascii="Century Gothic" w:hAnsi="Century Gothic"/>
          <w:sz w:val="20"/>
          <w:szCs w:val="20"/>
        </w:rPr>
        <w:t xml:space="preserve"> (h</w:t>
      </w:r>
      <w:r w:rsidR="00052C59" w:rsidRPr="00052C59">
        <w:rPr>
          <w:rFonts w:ascii="Century Gothic" w:hAnsi="Century Gothic"/>
          <w:sz w:val="20"/>
          <w:szCs w:val="20"/>
          <w:vertAlign w:val="superscript"/>
        </w:rPr>
        <w:t>2</w:t>
      </w:r>
      <w:r w:rsidR="00052C59">
        <w:rPr>
          <w:rFonts w:ascii="Century Gothic" w:hAnsi="Century Gothic"/>
          <w:sz w:val="20"/>
          <w:szCs w:val="20"/>
        </w:rPr>
        <w:t>= 0.4-0.7)</w:t>
      </w:r>
      <w:r w:rsidR="009B051B">
        <w:rPr>
          <w:rFonts w:ascii="Century Gothic" w:hAnsi="Century Gothic"/>
          <w:sz w:val="20"/>
          <w:szCs w:val="20"/>
        </w:rPr>
        <w:t>. Essa evolve dalla interazione fra l’ambiente moderno “</w:t>
      </w:r>
      <w:proofErr w:type="spellStart"/>
      <w:r w:rsidR="009B051B">
        <w:rPr>
          <w:rFonts w:ascii="Century Gothic" w:hAnsi="Century Gothic"/>
          <w:sz w:val="20"/>
          <w:szCs w:val="20"/>
        </w:rPr>
        <w:t>obesogenico</w:t>
      </w:r>
      <w:proofErr w:type="spellEnd"/>
      <w:r w:rsidR="009B051B">
        <w:rPr>
          <w:rFonts w:ascii="Century Gothic" w:hAnsi="Century Gothic"/>
          <w:sz w:val="20"/>
          <w:szCs w:val="20"/>
        </w:rPr>
        <w:t xml:space="preserve">” e </w:t>
      </w:r>
      <w:proofErr w:type="spellStart"/>
      <w:r w:rsidR="009B051B">
        <w:rPr>
          <w:rFonts w:ascii="Century Gothic" w:hAnsi="Century Gothic"/>
          <w:sz w:val="20"/>
          <w:szCs w:val="20"/>
        </w:rPr>
        <w:t>lindividuale</w:t>
      </w:r>
      <w:proofErr w:type="spellEnd"/>
      <w:r w:rsidR="009B051B">
        <w:rPr>
          <w:rFonts w:ascii="Century Gothic" w:hAnsi="Century Gothic"/>
          <w:sz w:val="20"/>
          <w:szCs w:val="20"/>
        </w:rPr>
        <w:t xml:space="preserve"> suscettibilità genetica all’acquisto di peso corporeo.</w:t>
      </w:r>
    </w:p>
    <w:p w:rsidR="00DC05BA" w:rsidRDefault="00320FA8" w:rsidP="000D47F3">
      <w:pPr>
        <w:jc w:val="both"/>
        <w:rPr>
          <w:rFonts w:ascii="Century Gothic" w:hAnsi="Century Gothic"/>
          <w:sz w:val="20"/>
          <w:szCs w:val="20"/>
        </w:rPr>
      </w:pPr>
      <w:r>
        <w:rPr>
          <w:rFonts w:ascii="Century Gothic" w:hAnsi="Century Gothic"/>
          <w:sz w:val="20"/>
          <w:szCs w:val="20"/>
        </w:rPr>
        <w:t xml:space="preserve">Il </w:t>
      </w:r>
      <w:r w:rsidR="00522A9F">
        <w:rPr>
          <w:rFonts w:ascii="Century Gothic" w:hAnsi="Century Gothic"/>
          <w:sz w:val="20"/>
          <w:szCs w:val="20"/>
        </w:rPr>
        <w:t>primo singolo difetto</w:t>
      </w:r>
      <w:r>
        <w:rPr>
          <w:rFonts w:ascii="Century Gothic" w:hAnsi="Century Gothic"/>
          <w:sz w:val="20"/>
          <w:szCs w:val="20"/>
        </w:rPr>
        <w:t xml:space="preserve"> gen</w:t>
      </w:r>
      <w:r w:rsidR="00522A9F">
        <w:rPr>
          <w:rFonts w:ascii="Century Gothic" w:hAnsi="Century Gothic"/>
          <w:sz w:val="20"/>
          <w:szCs w:val="20"/>
        </w:rPr>
        <w:t>ico</w:t>
      </w:r>
      <w:r>
        <w:rPr>
          <w:rFonts w:ascii="Century Gothic" w:hAnsi="Century Gothic"/>
          <w:sz w:val="20"/>
          <w:szCs w:val="20"/>
        </w:rPr>
        <w:t xml:space="preserve"> responsabile di obesità monogenica fu </w:t>
      </w:r>
      <w:r w:rsidR="003E5C7A">
        <w:rPr>
          <w:rFonts w:ascii="Century Gothic" w:hAnsi="Century Gothic"/>
          <w:sz w:val="20"/>
          <w:szCs w:val="20"/>
        </w:rPr>
        <w:t>osservato nel 1950 ed il gene</w:t>
      </w:r>
      <w:r w:rsidR="00425E5F">
        <w:rPr>
          <w:rFonts w:ascii="Century Gothic" w:hAnsi="Century Gothic"/>
          <w:sz w:val="20"/>
          <w:szCs w:val="20"/>
        </w:rPr>
        <w:t xml:space="preserve"> </w:t>
      </w:r>
      <w:r w:rsidR="003E5C7A">
        <w:rPr>
          <w:rFonts w:ascii="Century Gothic" w:hAnsi="Century Gothic"/>
          <w:sz w:val="20"/>
          <w:szCs w:val="20"/>
        </w:rPr>
        <w:t>responsabile fu identificato ed isolato dal gruppo di Friedman nel</w:t>
      </w:r>
      <w:r>
        <w:rPr>
          <w:rFonts w:ascii="Century Gothic" w:hAnsi="Century Gothic"/>
          <w:sz w:val="20"/>
          <w:szCs w:val="20"/>
        </w:rPr>
        <w:t xml:space="preserve"> 1994</w:t>
      </w:r>
      <w:r w:rsidR="00425E5F">
        <w:rPr>
          <w:rFonts w:ascii="Century Gothic" w:hAnsi="Century Gothic"/>
          <w:sz w:val="20"/>
          <w:szCs w:val="20"/>
        </w:rPr>
        <w:t xml:space="preserve"> mediante clonaggio posizionale</w:t>
      </w:r>
      <w:r>
        <w:rPr>
          <w:rFonts w:ascii="Century Gothic" w:hAnsi="Century Gothic"/>
          <w:sz w:val="20"/>
          <w:szCs w:val="20"/>
        </w:rPr>
        <w:t>.</w:t>
      </w:r>
      <w:r w:rsidR="00522A9F">
        <w:rPr>
          <w:rFonts w:ascii="Century Gothic" w:hAnsi="Century Gothic"/>
          <w:sz w:val="20"/>
          <w:szCs w:val="20"/>
        </w:rPr>
        <w:t xml:space="preserve"> Oggi ci sono più di 20 geni il cui </w:t>
      </w:r>
      <w:r w:rsidR="00522A9F" w:rsidRPr="003E0399">
        <w:rPr>
          <w:rFonts w:ascii="Century Gothic" w:hAnsi="Century Gothic"/>
          <w:i/>
          <w:sz w:val="20"/>
          <w:szCs w:val="20"/>
        </w:rPr>
        <w:t xml:space="preserve">knockout </w:t>
      </w:r>
      <w:r w:rsidR="003E0399" w:rsidRPr="003E0399">
        <w:rPr>
          <w:rFonts w:ascii="Century Gothic" w:hAnsi="Century Gothic"/>
          <w:i/>
          <w:sz w:val="20"/>
          <w:szCs w:val="20"/>
        </w:rPr>
        <w:t>genetico</w:t>
      </w:r>
      <w:r w:rsidR="003E0399">
        <w:rPr>
          <w:rFonts w:ascii="Century Gothic" w:hAnsi="Century Gothic"/>
          <w:sz w:val="20"/>
          <w:szCs w:val="20"/>
        </w:rPr>
        <w:t xml:space="preserve"> </w:t>
      </w:r>
      <w:r w:rsidR="00522A9F">
        <w:rPr>
          <w:rFonts w:ascii="Century Gothic" w:hAnsi="Century Gothic"/>
          <w:sz w:val="20"/>
          <w:szCs w:val="20"/>
        </w:rPr>
        <w:t xml:space="preserve">risulta in una forma di obesità a </w:t>
      </w:r>
      <w:r w:rsidR="00522A9F">
        <w:rPr>
          <w:rFonts w:ascii="Century Gothic" w:hAnsi="Century Gothic"/>
          <w:sz w:val="20"/>
          <w:szCs w:val="20"/>
        </w:rPr>
        <w:lastRenderedPageBreak/>
        <w:t>trasmissione autosomica</w:t>
      </w:r>
      <w:r w:rsidR="003E0399">
        <w:rPr>
          <w:rFonts w:ascii="Century Gothic" w:hAnsi="Century Gothic"/>
          <w:sz w:val="20"/>
          <w:szCs w:val="20"/>
        </w:rPr>
        <w:t xml:space="preserve"> recessiva o </w:t>
      </w:r>
      <w:proofErr w:type="spellStart"/>
      <w:r w:rsidR="003E0399">
        <w:rPr>
          <w:rFonts w:ascii="Century Gothic" w:hAnsi="Century Gothic"/>
          <w:sz w:val="20"/>
          <w:szCs w:val="20"/>
        </w:rPr>
        <w:t>aploinsufficiente</w:t>
      </w:r>
      <w:proofErr w:type="spellEnd"/>
      <w:r w:rsidR="008B4429">
        <w:rPr>
          <w:rFonts w:ascii="Century Gothic" w:hAnsi="Century Gothic"/>
          <w:sz w:val="20"/>
          <w:szCs w:val="20"/>
        </w:rPr>
        <w:t xml:space="preserve"> e centinaia di loci per la suscettibilità all’obesità</w:t>
      </w:r>
      <w:r w:rsidR="00522A9F">
        <w:rPr>
          <w:rFonts w:ascii="Century Gothic" w:hAnsi="Century Gothic"/>
          <w:sz w:val="20"/>
          <w:szCs w:val="20"/>
        </w:rPr>
        <w:t>.</w:t>
      </w:r>
      <w:r w:rsidR="00EF4906">
        <w:rPr>
          <w:rFonts w:ascii="Century Gothic" w:hAnsi="Century Gothic"/>
          <w:sz w:val="20"/>
          <w:szCs w:val="20"/>
        </w:rPr>
        <w:t xml:space="preserve"> Tutte </w:t>
      </w:r>
      <w:r w:rsidR="00A10026">
        <w:rPr>
          <w:rFonts w:ascii="Century Gothic" w:hAnsi="Century Gothic"/>
          <w:sz w:val="20"/>
          <w:szCs w:val="20"/>
        </w:rPr>
        <w:t>le</w:t>
      </w:r>
      <w:r w:rsidR="00EF4906">
        <w:rPr>
          <w:rFonts w:ascii="Century Gothic" w:hAnsi="Century Gothic"/>
          <w:sz w:val="20"/>
          <w:szCs w:val="20"/>
        </w:rPr>
        <w:t xml:space="preserve"> mutazioni </w:t>
      </w:r>
      <w:r w:rsidR="00A10026">
        <w:rPr>
          <w:rFonts w:ascii="Century Gothic" w:hAnsi="Century Gothic"/>
          <w:sz w:val="20"/>
          <w:szCs w:val="20"/>
        </w:rPr>
        <w:t xml:space="preserve">responsabili della </w:t>
      </w:r>
      <w:r w:rsidR="00043336">
        <w:rPr>
          <w:rFonts w:ascii="Century Gothic" w:hAnsi="Century Gothic"/>
          <w:sz w:val="20"/>
          <w:szCs w:val="20"/>
        </w:rPr>
        <w:t xml:space="preserve">obesità monogenica </w:t>
      </w:r>
      <w:r w:rsidR="003E0399">
        <w:rPr>
          <w:rFonts w:ascii="Century Gothic" w:hAnsi="Century Gothic"/>
          <w:sz w:val="20"/>
          <w:szCs w:val="20"/>
        </w:rPr>
        <w:t>convergono nel</w:t>
      </w:r>
      <w:r w:rsidR="00EF4906">
        <w:rPr>
          <w:rFonts w:ascii="Century Gothic" w:hAnsi="Century Gothic"/>
          <w:sz w:val="20"/>
          <w:szCs w:val="20"/>
        </w:rPr>
        <w:t xml:space="preserve"> pathway della leptina-</w:t>
      </w:r>
      <w:proofErr w:type="spellStart"/>
      <w:r w:rsidR="00EF4906">
        <w:rPr>
          <w:rFonts w:ascii="Century Gothic" w:hAnsi="Century Gothic"/>
          <w:sz w:val="20"/>
          <w:szCs w:val="20"/>
        </w:rPr>
        <w:t>melanocortina</w:t>
      </w:r>
      <w:proofErr w:type="spellEnd"/>
      <w:r w:rsidR="00EF4906">
        <w:rPr>
          <w:rFonts w:ascii="Century Gothic" w:hAnsi="Century Gothic"/>
          <w:sz w:val="20"/>
          <w:szCs w:val="20"/>
        </w:rPr>
        <w:t xml:space="preserve"> </w:t>
      </w:r>
      <w:r w:rsidR="003E0399">
        <w:rPr>
          <w:rFonts w:ascii="Century Gothic" w:hAnsi="Century Gothic"/>
          <w:sz w:val="20"/>
          <w:szCs w:val="20"/>
        </w:rPr>
        <w:t>d</w:t>
      </w:r>
      <w:r w:rsidR="00EF4906">
        <w:rPr>
          <w:rFonts w:ascii="Century Gothic" w:hAnsi="Century Gothic"/>
          <w:sz w:val="20"/>
          <w:szCs w:val="20"/>
        </w:rPr>
        <w:t xml:space="preserve">el SNC </w:t>
      </w:r>
      <w:r w:rsidR="003E0399">
        <w:rPr>
          <w:rFonts w:ascii="Century Gothic" w:hAnsi="Century Gothic"/>
          <w:sz w:val="20"/>
          <w:szCs w:val="20"/>
        </w:rPr>
        <w:t xml:space="preserve">ed indicano questo pathway </w:t>
      </w:r>
      <w:r w:rsidR="00EF4906">
        <w:rPr>
          <w:rFonts w:ascii="Century Gothic" w:hAnsi="Century Gothic"/>
          <w:sz w:val="20"/>
          <w:szCs w:val="20"/>
        </w:rPr>
        <w:t>come critico nella regolazione dell’omeostasi energetica del nostro organismo.</w:t>
      </w:r>
      <w:r w:rsidR="00C55377">
        <w:rPr>
          <w:rFonts w:ascii="Century Gothic" w:hAnsi="Century Gothic"/>
          <w:sz w:val="20"/>
          <w:szCs w:val="20"/>
        </w:rPr>
        <w:t xml:space="preserve"> In </w:t>
      </w:r>
      <w:r w:rsidR="00FC495F">
        <w:rPr>
          <w:rFonts w:ascii="Century Gothic" w:hAnsi="Century Gothic"/>
          <w:sz w:val="20"/>
          <w:szCs w:val="20"/>
        </w:rPr>
        <w:t>questi casi l’obesità appare essere il risultato di un incremento dell’appetito ed una diminuzione del senso di sazietà.</w:t>
      </w:r>
    </w:p>
    <w:p w:rsidR="005E2121" w:rsidRDefault="005E2121" w:rsidP="000D47F3">
      <w:pPr>
        <w:jc w:val="both"/>
        <w:rPr>
          <w:rFonts w:ascii="Century Gothic" w:hAnsi="Century Gothic"/>
          <w:sz w:val="20"/>
          <w:szCs w:val="20"/>
        </w:rPr>
      </w:pPr>
    </w:p>
    <w:p w:rsidR="00EA73DA" w:rsidRPr="005E2121" w:rsidRDefault="00EA73DA" w:rsidP="000D47F3">
      <w:pPr>
        <w:jc w:val="both"/>
        <w:rPr>
          <w:rFonts w:ascii="Century Gothic" w:hAnsi="Century Gothic"/>
          <w:b/>
          <w:sz w:val="20"/>
          <w:szCs w:val="20"/>
        </w:rPr>
      </w:pPr>
      <w:r w:rsidRPr="005E2121">
        <w:rPr>
          <w:rFonts w:ascii="Century Gothic" w:hAnsi="Century Gothic"/>
          <w:b/>
          <w:sz w:val="20"/>
          <w:szCs w:val="20"/>
        </w:rPr>
        <w:t>Eredità monogenica della obesità umana:</w:t>
      </w:r>
    </w:p>
    <w:p w:rsidR="00EA73DA" w:rsidRDefault="00EA73DA" w:rsidP="000D47F3">
      <w:pPr>
        <w:jc w:val="both"/>
        <w:rPr>
          <w:rFonts w:ascii="Century Gothic" w:hAnsi="Century Gothic"/>
          <w:sz w:val="20"/>
          <w:szCs w:val="20"/>
        </w:rPr>
      </w:pPr>
      <w:r w:rsidRPr="005E2121">
        <w:rPr>
          <w:rFonts w:ascii="Century Gothic" w:hAnsi="Century Gothic"/>
          <w:b/>
          <w:sz w:val="20"/>
          <w:szCs w:val="20"/>
        </w:rPr>
        <w:t>Deficit di leptina</w:t>
      </w:r>
      <w:r>
        <w:rPr>
          <w:rFonts w:ascii="Century Gothic" w:hAnsi="Century Gothic"/>
          <w:sz w:val="20"/>
          <w:szCs w:val="20"/>
        </w:rPr>
        <w:t>, la leptina è un gene localizzato sul cromosoma 6</w:t>
      </w:r>
      <w:r w:rsidR="00BC122A">
        <w:rPr>
          <w:rFonts w:ascii="Century Gothic" w:hAnsi="Century Gothic"/>
          <w:sz w:val="20"/>
          <w:szCs w:val="20"/>
        </w:rPr>
        <w:t xml:space="preserve"> murino e sul 7 umano</w:t>
      </w:r>
      <w:r>
        <w:rPr>
          <w:rFonts w:ascii="Century Gothic" w:hAnsi="Century Gothic"/>
          <w:sz w:val="20"/>
          <w:szCs w:val="20"/>
        </w:rPr>
        <w:t xml:space="preserve"> ed è stato isolato mediante clonaggio posiziona</w:t>
      </w:r>
      <w:r w:rsidR="00BC122A">
        <w:rPr>
          <w:rFonts w:ascii="Century Gothic" w:hAnsi="Century Gothic"/>
          <w:sz w:val="20"/>
          <w:szCs w:val="20"/>
        </w:rPr>
        <w:t>l</w:t>
      </w:r>
      <w:r>
        <w:rPr>
          <w:rFonts w:ascii="Century Gothic" w:hAnsi="Century Gothic"/>
          <w:sz w:val="20"/>
          <w:szCs w:val="20"/>
        </w:rPr>
        <w:t>e da Zhang nel 1994.</w:t>
      </w:r>
    </w:p>
    <w:p w:rsidR="005E2121" w:rsidRPr="005E2121" w:rsidRDefault="005E2121" w:rsidP="000D47F3">
      <w:pPr>
        <w:jc w:val="both"/>
        <w:rPr>
          <w:rFonts w:ascii="Century Gothic" w:hAnsi="Century Gothic"/>
          <w:b/>
          <w:sz w:val="20"/>
          <w:szCs w:val="20"/>
        </w:rPr>
      </w:pPr>
      <w:r w:rsidRPr="005E2121">
        <w:rPr>
          <w:rFonts w:ascii="Century Gothic" w:hAnsi="Century Gothic"/>
          <w:b/>
          <w:sz w:val="20"/>
          <w:szCs w:val="20"/>
        </w:rPr>
        <w:t>Deficit del recettore della leptina</w:t>
      </w:r>
      <w:r w:rsidR="00FF639D">
        <w:rPr>
          <w:rFonts w:ascii="Century Gothic" w:hAnsi="Century Gothic"/>
          <w:b/>
          <w:sz w:val="20"/>
          <w:szCs w:val="20"/>
        </w:rPr>
        <w:t xml:space="preserve"> -</w:t>
      </w:r>
      <w:r w:rsidR="00102D5C">
        <w:rPr>
          <w:rFonts w:ascii="Century Gothic" w:hAnsi="Century Gothic"/>
          <w:b/>
          <w:sz w:val="20"/>
          <w:szCs w:val="20"/>
        </w:rPr>
        <w:t xml:space="preserve"> LP</w:t>
      </w:r>
      <w:r w:rsidR="00FF639D">
        <w:rPr>
          <w:rFonts w:ascii="Century Gothic" w:hAnsi="Century Gothic"/>
          <w:b/>
          <w:sz w:val="20"/>
          <w:szCs w:val="20"/>
        </w:rPr>
        <w:t>R gene 1p31.3</w:t>
      </w:r>
      <w:r w:rsidR="00A50555" w:rsidRPr="00A50555">
        <w:rPr>
          <w:noProof/>
        </w:rPr>
        <w:t xml:space="preserve"> </w:t>
      </w:r>
    </w:p>
    <w:p w:rsidR="005E2121" w:rsidRPr="005E2121" w:rsidRDefault="005E2121" w:rsidP="000D47F3">
      <w:pPr>
        <w:jc w:val="both"/>
        <w:rPr>
          <w:rFonts w:ascii="Century Gothic" w:hAnsi="Century Gothic"/>
          <w:b/>
          <w:sz w:val="20"/>
          <w:szCs w:val="20"/>
        </w:rPr>
      </w:pPr>
      <w:r w:rsidRPr="005E2121">
        <w:rPr>
          <w:rFonts w:ascii="Century Gothic" w:hAnsi="Century Gothic"/>
          <w:b/>
          <w:sz w:val="20"/>
          <w:szCs w:val="20"/>
        </w:rPr>
        <w:t>Deficit di pro-</w:t>
      </w:r>
      <w:proofErr w:type="spellStart"/>
      <w:r w:rsidRPr="005E2121">
        <w:rPr>
          <w:rFonts w:ascii="Century Gothic" w:hAnsi="Century Gothic"/>
          <w:b/>
          <w:sz w:val="20"/>
          <w:szCs w:val="20"/>
        </w:rPr>
        <w:t>opiomelanocortin</w:t>
      </w:r>
      <w:proofErr w:type="spellEnd"/>
    </w:p>
    <w:p w:rsidR="005E2121" w:rsidRPr="005E2121" w:rsidRDefault="005E2121" w:rsidP="000D47F3">
      <w:pPr>
        <w:jc w:val="both"/>
        <w:rPr>
          <w:rFonts w:ascii="Century Gothic" w:hAnsi="Century Gothic"/>
          <w:b/>
          <w:sz w:val="20"/>
          <w:szCs w:val="20"/>
        </w:rPr>
      </w:pPr>
      <w:r w:rsidRPr="005E2121">
        <w:rPr>
          <w:rFonts w:ascii="Century Gothic" w:hAnsi="Century Gothic"/>
          <w:b/>
          <w:sz w:val="20"/>
          <w:szCs w:val="20"/>
        </w:rPr>
        <w:t xml:space="preserve">Deficit di PC1 pro-ormone </w:t>
      </w:r>
      <w:proofErr w:type="spellStart"/>
      <w:r w:rsidRPr="005E2121">
        <w:rPr>
          <w:rFonts w:ascii="Century Gothic" w:hAnsi="Century Gothic"/>
          <w:b/>
          <w:sz w:val="20"/>
          <w:szCs w:val="20"/>
        </w:rPr>
        <w:t>convertasi</w:t>
      </w:r>
      <w:proofErr w:type="spellEnd"/>
      <w:r w:rsidRPr="005E2121">
        <w:rPr>
          <w:rFonts w:ascii="Century Gothic" w:hAnsi="Century Gothic"/>
          <w:b/>
          <w:sz w:val="20"/>
          <w:szCs w:val="20"/>
        </w:rPr>
        <w:t xml:space="preserve"> 1</w:t>
      </w:r>
    </w:p>
    <w:p w:rsidR="005E2121" w:rsidRPr="005E2121" w:rsidRDefault="005E2121" w:rsidP="000D47F3">
      <w:pPr>
        <w:jc w:val="both"/>
        <w:rPr>
          <w:rFonts w:ascii="Century Gothic" w:hAnsi="Century Gothic"/>
          <w:b/>
          <w:sz w:val="20"/>
          <w:szCs w:val="20"/>
        </w:rPr>
      </w:pPr>
      <w:r w:rsidRPr="005E2121">
        <w:rPr>
          <w:rFonts w:ascii="Century Gothic" w:hAnsi="Century Gothic"/>
          <w:b/>
          <w:sz w:val="20"/>
          <w:szCs w:val="20"/>
        </w:rPr>
        <w:t xml:space="preserve">Deficit del recettore della </w:t>
      </w:r>
      <w:proofErr w:type="spellStart"/>
      <w:r w:rsidRPr="005E2121">
        <w:rPr>
          <w:rFonts w:ascii="Century Gothic" w:hAnsi="Century Gothic"/>
          <w:b/>
          <w:sz w:val="20"/>
          <w:szCs w:val="20"/>
        </w:rPr>
        <w:t>melanocortina</w:t>
      </w:r>
      <w:proofErr w:type="spellEnd"/>
      <w:r w:rsidRPr="005E2121">
        <w:rPr>
          <w:rFonts w:ascii="Century Gothic" w:hAnsi="Century Gothic"/>
          <w:b/>
          <w:sz w:val="20"/>
          <w:szCs w:val="20"/>
        </w:rPr>
        <w:t xml:space="preserve"> 4</w:t>
      </w:r>
    </w:p>
    <w:p w:rsidR="005E2121" w:rsidRPr="005E2121" w:rsidRDefault="005E2121" w:rsidP="000D47F3">
      <w:pPr>
        <w:jc w:val="both"/>
        <w:rPr>
          <w:rFonts w:ascii="Century Gothic" w:hAnsi="Century Gothic"/>
          <w:b/>
          <w:sz w:val="20"/>
          <w:szCs w:val="20"/>
        </w:rPr>
      </w:pPr>
      <w:r w:rsidRPr="005E2121">
        <w:rPr>
          <w:rFonts w:ascii="Century Gothic" w:hAnsi="Century Gothic"/>
          <w:b/>
          <w:sz w:val="20"/>
          <w:szCs w:val="20"/>
        </w:rPr>
        <w:t xml:space="preserve">Deficit di </w:t>
      </w:r>
      <w:proofErr w:type="spellStart"/>
      <w:r w:rsidRPr="005E2121">
        <w:rPr>
          <w:rFonts w:ascii="Century Gothic" w:hAnsi="Century Gothic"/>
          <w:b/>
          <w:sz w:val="20"/>
          <w:szCs w:val="20"/>
        </w:rPr>
        <w:t>TrkB</w:t>
      </w:r>
      <w:proofErr w:type="spellEnd"/>
    </w:p>
    <w:p w:rsidR="00D344AA" w:rsidRDefault="009C2F2B" w:rsidP="000D47F3">
      <w:pPr>
        <w:jc w:val="both"/>
        <w:rPr>
          <w:rFonts w:ascii="Century Gothic" w:hAnsi="Century Gothic" w:cs="Times"/>
          <w:color w:val="222222"/>
          <w:spacing w:val="3"/>
          <w:sz w:val="20"/>
          <w:szCs w:val="20"/>
          <w:shd w:val="clear" w:color="auto" w:fill="FFFFFF"/>
        </w:rPr>
      </w:pPr>
      <w:r w:rsidRPr="009C2F2B">
        <w:rPr>
          <w:rFonts w:ascii="Century Gothic" w:hAnsi="Century Gothic" w:cs="Times"/>
          <w:color w:val="222222"/>
          <w:spacing w:val="3"/>
          <w:sz w:val="20"/>
          <w:szCs w:val="20"/>
          <w:shd w:val="clear" w:color="auto" w:fill="FFFFFF"/>
        </w:rPr>
        <w:t>Il</w:t>
      </w:r>
      <w:r>
        <w:rPr>
          <w:rFonts w:ascii="Century Gothic" w:hAnsi="Century Gothic" w:cs="Times"/>
          <w:color w:val="222222"/>
          <w:spacing w:val="3"/>
          <w:sz w:val="20"/>
          <w:szCs w:val="20"/>
          <w:shd w:val="clear" w:color="auto" w:fill="FFFFFF"/>
        </w:rPr>
        <w:t xml:space="preserve"> sistema nervoso centrale gioca un ruolo primario nel regolare l’introito di cibo. L’ipotalamo agisce come centro di controllo. I segnali che giungono all’ipotalamo </w:t>
      </w:r>
      <w:r w:rsidR="00CF02F5">
        <w:rPr>
          <w:rFonts w:ascii="Century Gothic" w:hAnsi="Century Gothic" w:cs="Times"/>
          <w:color w:val="222222"/>
          <w:spacing w:val="3"/>
          <w:sz w:val="20"/>
          <w:szCs w:val="20"/>
          <w:shd w:val="clear" w:color="auto" w:fill="FFFFFF"/>
        </w:rPr>
        <w:t xml:space="preserve">provengono dall’intestino tramite l’ormone grelina, il peptide YY e la colecistochinina nonché dai meccanorecettori. </w:t>
      </w:r>
      <w:r>
        <w:rPr>
          <w:rFonts w:ascii="Century Gothic" w:hAnsi="Century Gothic" w:cs="Times"/>
          <w:color w:val="222222"/>
          <w:spacing w:val="3"/>
          <w:sz w:val="20"/>
          <w:szCs w:val="20"/>
          <w:shd w:val="clear" w:color="auto" w:fill="FFFFFF"/>
        </w:rPr>
        <w:t xml:space="preserve"> </w:t>
      </w:r>
      <w:r w:rsidR="00CF02F5">
        <w:rPr>
          <w:rFonts w:ascii="Century Gothic" w:hAnsi="Century Gothic" w:cs="Times"/>
          <w:color w:val="222222"/>
          <w:spacing w:val="3"/>
          <w:sz w:val="20"/>
          <w:szCs w:val="20"/>
          <w:shd w:val="clear" w:color="auto" w:fill="FFFFFF"/>
        </w:rPr>
        <w:t xml:space="preserve">Il pancreas produce insulina ed il tessuto adiposo leptina e </w:t>
      </w:r>
      <w:proofErr w:type="spellStart"/>
      <w:r w:rsidR="00CF02F5">
        <w:rPr>
          <w:rFonts w:ascii="Century Gothic" w:hAnsi="Century Gothic" w:cs="Times"/>
          <w:color w:val="222222"/>
          <w:spacing w:val="3"/>
          <w:sz w:val="20"/>
          <w:szCs w:val="20"/>
          <w:shd w:val="clear" w:color="auto" w:fill="FFFFFF"/>
        </w:rPr>
        <w:t>adipochinina</w:t>
      </w:r>
      <w:proofErr w:type="spellEnd"/>
      <w:r w:rsidR="00CF02F5">
        <w:rPr>
          <w:rFonts w:ascii="Century Gothic" w:hAnsi="Century Gothic" w:cs="Times"/>
          <w:color w:val="222222"/>
          <w:spacing w:val="3"/>
          <w:sz w:val="20"/>
          <w:szCs w:val="20"/>
          <w:shd w:val="clear" w:color="auto" w:fill="FFFFFF"/>
        </w:rPr>
        <w:t xml:space="preserve">. L’ipotalamo integra questi segnali e agisce attraverso pathway a valle per mantenere il bilancio energetico. </w:t>
      </w:r>
    </w:p>
    <w:p w:rsidR="00451EEA" w:rsidRDefault="00D344AA" w:rsidP="000D47F3">
      <w:pPr>
        <w:jc w:val="both"/>
        <w:rPr>
          <w:rFonts w:ascii="Century Gothic" w:hAnsi="Century Gothic" w:cs="Times"/>
          <w:color w:val="222222"/>
          <w:spacing w:val="3"/>
          <w:sz w:val="20"/>
          <w:szCs w:val="20"/>
          <w:shd w:val="clear" w:color="auto" w:fill="FFFFFF"/>
        </w:rPr>
      </w:pPr>
      <w:r>
        <w:rPr>
          <w:rFonts w:ascii="Century Gothic" w:hAnsi="Century Gothic" w:cs="Times"/>
          <w:color w:val="222222"/>
          <w:spacing w:val="3"/>
          <w:sz w:val="20"/>
          <w:szCs w:val="20"/>
          <w:shd w:val="clear" w:color="auto" w:fill="FFFFFF"/>
        </w:rPr>
        <w:t>Sebbene</w:t>
      </w:r>
      <w:r w:rsidR="003C3B7F">
        <w:rPr>
          <w:rFonts w:ascii="Century Gothic" w:hAnsi="Century Gothic" w:cs="Times"/>
          <w:color w:val="222222"/>
          <w:spacing w:val="3"/>
          <w:sz w:val="20"/>
          <w:szCs w:val="20"/>
          <w:shd w:val="clear" w:color="auto" w:fill="FFFFFF"/>
        </w:rPr>
        <w:t xml:space="preserve"> </w:t>
      </w:r>
      <w:r>
        <w:rPr>
          <w:rFonts w:ascii="Century Gothic" w:hAnsi="Century Gothic" w:cs="Times"/>
          <w:color w:val="222222"/>
          <w:spacing w:val="3"/>
          <w:sz w:val="20"/>
          <w:szCs w:val="20"/>
          <w:shd w:val="clear" w:color="auto" w:fill="FFFFFF"/>
        </w:rPr>
        <w:t>questo sistema sia adeguato a prevenire la perdita di peso in tempi di carenza di alimenti esso è molto meno efficiente nel garantire la protezione dall’acquisto di peso corporeo.</w:t>
      </w:r>
      <w:r w:rsidR="00451EEA">
        <w:rPr>
          <w:rFonts w:ascii="Century Gothic" w:hAnsi="Century Gothic" w:cs="Times"/>
          <w:color w:val="222222"/>
          <w:spacing w:val="3"/>
          <w:sz w:val="20"/>
          <w:szCs w:val="20"/>
          <w:shd w:val="clear" w:color="auto" w:fill="FFFFFF"/>
        </w:rPr>
        <w:t xml:space="preserve"> L’incremento di leptina che accompagna l’incremento di adipe ha solo un effetto limitato sull’introito di cibo dovuto alla resistenza cellulare alla leptina </w:t>
      </w:r>
      <w:proofErr w:type="spellStart"/>
      <w:r w:rsidR="00451EEA">
        <w:rPr>
          <w:rFonts w:ascii="Century Gothic" w:hAnsi="Century Gothic" w:cs="Times"/>
          <w:color w:val="222222"/>
          <w:spacing w:val="3"/>
          <w:sz w:val="20"/>
          <w:szCs w:val="20"/>
          <w:shd w:val="clear" w:color="auto" w:fill="FFFFFF"/>
        </w:rPr>
        <w:t>evolutasi</w:t>
      </w:r>
      <w:proofErr w:type="spellEnd"/>
      <w:r w:rsidR="00451EEA">
        <w:rPr>
          <w:rFonts w:ascii="Century Gothic" w:hAnsi="Century Gothic" w:cs="Times"/>
          <w:color w:val="222222"/>
          <w:spacing w:val="3"/>
          <w:sz w:val="20"/>
          <w:szCs w:val="20"/>
          <w:shd w:val="clear" w:color="auto" w:fill="FFFFFF"/>
        </w:rPr>
        <w:t xml:space="preserve"> anch’essa come meccanismo per proteggersi dalla fame. </w:t>
      </w:r>
      <w:r>
        <w:rPr>
          <w:rFonts w:ascii="Century Gothic" w:hAnsi="Century Gothic" w:cs="Times"/>
          <w:color w:val="222222"/>
          <w:spacing w:val="3"/>
          <w:sz w:val="20"/>
          <w:szCs w:val="20"/>
          <w:shd w:val="clear" w:color="auto" w:fill="FFFFFF"/>
        </w:rPr>
        <w:t xml:space="preserve"> </w:t>
      </w:r>
    </w:p>
    <w:p w:rsidR="0093387B" w:rsidRPr="00065AE6" w:rsidRDefault="00451EEA" w:rsidP="000D47F3">
      <w:pPr>
        <w:jc w:val="both"/>
        <w:rPr>
          <w:rFonts w:ascii="Century Gothic" w:hAnsi="Century Gothic" w:cs="Times"/>
          <w:color w:val="222222"/>
          <w:spacing w:val="3"/>
          <w:sz w:val="20"/>
          <w:szCs w:val="20"/>
          <w:shd w:val="clear" w:color="auto" w:fill="FFFFFF"/>
        </w:rPr>
      </w:pPr>
      <w:r>
        <w:rPr>
          <w:rFonts w:ascii="Century Gothic" w:hAnsi="Century Gothic" w:cs="Times"/>
          <w:color w:val="222222"/>
          <w:spacing w:val="3"/>
          <w:sz w:val="20"/>
          <w:szCs w:val="20"/>
          <w:shd w:val="clear" w:color="auto" w:fill="FFFFFF"/>
        </w:rPr>
        <w:t xml:space="preserve">Il gene che codifica il recettore della </w:t>
      </w:r>
      <w:proofErr w:type="spellStart"/>
      <w:r>
        <w:rPr>
          <w:rFonts w:ascii="Century Gothic" w:hAnsi="Century Gothic" w:cs="Times"/>
          <w:color w:val="222222"/>
          <w:spacing w:val="3"/>
          <w:sz w:val="20"/>
          <w:szCs w:val="20"/>
          <w:shd w:val="clear" w:color="auto" w:fill="FFFFFF"/>
        </w:rPr>
        <w:t>melanocortina</w:t>
      </w:r>
      <w:proofErr w:type="spellEnd"/>
      <w:r>
        <w:rPr>
          <w:rFonts w:ascii="Century Gothic" w:hAnsi="Century Gothic" w:cs="Times"/>
          <w:color w:val="222222"/>
          <w:spacing w:val="3"/>
          <w:sz w:val="20"/>
          <w:szCs w:val="20"/>
          <w:shd w:val="clear" w:color="auto" w:fill="FFFFFF"/>
        </w:rPr>
        <w:t xml:space="preserve"> 4 </w:t>
      </w:r>
      <w:r w:rsidR="009C2F2B" w:rsidRPr="009C2F2B">
        <w:rPr>
          <w:rFonts w:ascii="Century Gothic" w:hAnsi="Century Gothic" w:cs="Times"/>
          <w:color w:val="222222"/>
          <w:spacing w:val="3"/>
          <w:sz w:val="20"/>
          <w:szCs w:val="20"/>
          <w:shd w:val="clear" w:color="auto" w:fill="FFFFFF"/>
        </w:rPr>
        <w:t>(MC4R)</w:t>
      </w:r>
      <w:r>
        <w:rPr>
          <w:rFonts w:ascii="Century Gothic" w:hAnsi="Century Gothic" w:cs="Times"/>
          <w:color w:val="222222"/>
          <w:spacing w:val="3"/>
          <w:sz w:val="20"/>
          <w:szCs w:val="20"/>
          <w:shd w:val="clear" w:color="auto" w:fill="FFFFFF"/>
        </w:rPr>
        <w:t xml:space="preserve"> è molto espresso nel nucleo </w:t>
      </w:r>
      <w:proofErr w:type="spellStart"/>
      <w:r>
        <w:rPr>
          <w:rFonts w:ascii="Century Gothic" w:hAnsi="Century Gothic" w:cs="Times"/>
          <w:color w:val="222222"/>
          <w:spacing w:val="3"/>
          <w:sz w:val="20"/>
          <w:szCs w:val="20"/>
          <w:shd w:val="clear" w:color="auto" w:fill="FFFFFF"/>
        </w:rPr>
        <w:t>paraventricolare</w:t>
      </w:r>
      <w:proofErr w:type="spellEnd"/>
      <w:r>
        <w:rPr>
          <w:rFonts w:ascii="Century Gothic" w:hAnsi="Century Gothic" w:cs="Times"/>
          <w:color w:val="222222"/>
          <w:spacing w:val="3"/>
          <w:sz w:val="20"/>
          <w:szCs w:val="20"/>
          <w:shd w:val="clear" w:color="auto" w:fill="FFFFFF"/>
        </w:rPr>
        <w:t xml:space="preserve"> </w:t>
      </w:r>
      <w:r w:rsidR="009C2F2B" w:rsidRPr="009C2F2B">
        <w:rPr>
          <w:rFonts w:ascii="Century Gothic" w:hAnsi="Century Gothic" w:cs="Times"/>
          <w:color w:val="222222"/>
          <w:spacing w:val="3"/>
          <w:sz w:val="20"/>
          <w:szCs w:val="20"/>
          <w:shd w:val="clear" w:color="auto" w:fill="FFFFFF"/>
        </w:rPr>
        <w:t xml:space="preserve">(PVN) </w:t>
      </w:r>
      <w:r>
        <w:rPr>
          <w:rFonts w:ascii="Century Gothic" w:hAnsi="Century Gothic" w:cs="Times"/>
          <w:color w:val="222222"/>
          <w:spacing w:val="3"/>
          <w:sz w:val="20"/>
          <w:szCs w:val="20"/>
          <w:shd w:val="clear" w:color="auto" w:fill="FFFFFF"/>
        </w:rPr>
        <w:t xml:space="preserve">dell’ipotalamo dove gioca un ruolo nel controllo dell’appetito. La </w:t>
      </w:r>
      <w:r w:rsidR="009C2F2B" w:rsidRPr="009C2F2B">
        <w:rPr>
          <w:rFonts w:ascii="Century Gothic" w:hAnsi="Century Gothic" w:cs="Times"/>
          <w:color w:val="222222"/>
          <w:spacing w:val="3"/>
          <w:sz w:val="20"/>
          <w:szCs w:val="20"/>
          <w:shd w:val="clear" w:color="auto" w:fill="FFFFFF"/>
        </w:rPr>
        <w:t>Leptin</w:t>
      </w:r>
      <w:r>
        <w:rPr>
          <w:rFonts w:ascii="Century Gothic" w:hAnsi="Century Gothic" w:cs="Times"/>
          <w:color w:val="222222"/>
          <w:spacing w:val="3"/>
          <w:sz w:val="20"/>
          <w:szCs w:val="20"/>
          <w:shd w:val="clear" w:color="auto" w:fill="FFFFFF"/>
        </w:rPr>
        <w:t>a</w:t>
      </w:r>
      <w:r w:rsidR="009C2F2B" w:rsidRPr="009C2F2B">
        <w:rPr>
          <w:rFonts w:ascii="Century Gothic" w:hAnsi="Century Gothic" w:cs="Times"/>
          <w:color w:val="222222"/>
          <w:spacing w:val="3"/>
          <w:sz w:val="20"/>
          <w:szCs w:val="20"/>
          <w:shd w:val="clear" w:color="auto" w:fill="FFFFFF"/>
        </w:rPr>
        <w:t xml:space="preserve"> </w:t>
      </w:r>
      <w:r>
        <w:rPr>
          <w:rFonts w:ascii="Century Gothic" w:hAnsi="Century Gothic" w:cs="Times"/>
          <w:color w:val="222222"/>
          <w:spacing w:val="3"/>
          <w:sz w:val="20"/>
          <w:szCs w:val="20"/>
          <w:shd w:val="clear" w:color="auto" w:fill="FFFFFF"/>
        </w:rPr>
        <w:t xml:space="preserve">rilasciata dal tessuto adiposo si lega al recettore della leptina </w:t>
      </w:r>
      <w:r w:rsidR="009C2F2B" w:rsidRPr="009C2F2B">
        <w:rPr>
          <w:rFonts w:ascii="Century Gothic" w:hAnsi="Century Gothic" w:cs="Times"/>
          <w:color w:val="222222"/>
          <w:spacing w:val="3"/>
          <w:sz w:val="20"/>
          <w:szCs w:val="20"/>
          <w:shd w:val="clear" w:color="auto" w:fill="FFFFFF"/>
        </w:rPr>
        <w:t xml:space="preserve">(LEPR) </w:t>
      </w:r>
      <w:r>
        <w:rPr>
          <w:rFonts w:ascii="Century Gothic" w:hAnsi="Century Gothic" w:cs="Times"/>
          <w:color w:val="222222"/>
          <w:spacing w:val="3"/>
          <w:sz w:val="20"/>
          <w:szCs w:val="20"/>
          <w:shd w:val="clear" w:color="auto" w:fill="FFFFFF"/>
        </w:rPr>
        <w:t>sui neuroni che producono la proteina AGPR (</w:t>
      </w:r>
      <w:proofErr w:type="spellStart"/>
      <w:r w:rsidR="009C2F2B" w:rsidRPr="009C2F2B">
        <w:rPr>
          <w:rFonts w:ascii="Century Gothic" w:hAnsi="Century Gothic" w:cs="Times"/>
          <w:color w:val="222222"/>
          <w:spacing w:val="3"/>
          <w:sz w:val="20"/>
          <w:szCs w:val="20"/>
          <w:shd w:val="clear" w:color="auto" w:fill="FFFFFF"/>
        </w:rPr>
        <w:t>agouti-related</w:t>
      </w:r>
      <w:proofErr w:type="spellEnd"/>
      <w:r w:rsidR="009C2F2B" w:rsidRPr="009C2F2B">
        <w:rPr>
          <w:rFonts w:ascii="Century Gothic" w:hAnsi="Century Gothic" w:cs="Times"/>
          <w:color w:val="222222"/>
          <w:spacing w:val="3"/>
          <w:sz w:val="20"/>
          <w:szCs w:val="20"/>
          <w:shd w:val="clear" w:color="auto" w:fill="FFFFFF"/>
        </w:rPr>
        <w:t>)</w:t>
      </w:r>
      <w:r>
        <w:rPr>
          <w:rFonts w:ascii="Century Gothic" w:hAnsi="Century Gothic" w:cs="Times"/>
          <w:color w:val="222222"/>
          <w:spacing w:val="3"/>
          <w:sz w:val="20"/>
          <w:szCs w:val="20"/>
          <w:shd w:val="clear" w:color="auto" w:fill="FFFFFF"/>
        </w:rPr>
        <w:t xml:space="preserve"> e su quelli che producono la </w:t>
      </w:r>
      <w:proofErr w:type="spellStart"/>
      <w:r>
        <w:rPr>
          <w:rFonts w:ascii="Century Gothic" w:hAnsi="Century Gothic" w:cs="Times"/>
          <w:color w:val="222222"/>
          <w:spacing w:val="3"/>
          <w:sz w:val="20"/>
          <w:szCs w:val="20"/>
          <w:shd w:val="clear" w:color="auto" w:fill="FFFFFF"/>
        </w:rPr>
        <w:t>proprionomelanocortina</w:t>
      </w:r>
      <w:proofErr w:type="spellEnd"/>
      <w:r w:rsidR="00E40384">
        <w:rPr>
          <w:rFonts w:ascii="Century Gothic" w:hAnsi="Century Gothic" w:cs="Times"/>
          <w:color w:val="222222"/>
          <w:spacing w:val="3"/>
          <w:sz w:val="20"/>
          <w:szCs w:val="20"/>
          <w:shd w:val="clear" w:color="auto" w:fill="FFFFFF"/>
        </w:rPr>
        <w:t xml:space="preserve"> (POMC)</w:t>
      </w:r>
      <w:r w:rsidR="009C2F2B" w:rsidRPr="009C2F2B">
        <w:rPr>
          <w:rFonts w:ascii="Century Gothic" w:hAnsi="Century Gothic" w:cs="Times"/>
          <w:color w:val="222222"/>
          <w:spacing w:val="3"/>
          <w:sz w:val="20"/>
          <w:szCs w:val="20"/>
          <w:shd w:val="clear" w:color="auto" w:fill="FFFFFF"/>
        </w:rPr>
        <w:t xml:space="preserve"> </w:t>
      </w:r>
      <w:r>
        <w:rPr>
          <w:rFonts w:ascii="Century Gothic" w:hAnsi="Century Gothic" w:cs="Times"/>
          <w:color w:val="222222"/>
          <w:spacing w:val="3"/>
          <w:sz w:val="20"/>
          <w:szCs w:val="20"/>
          <w:shd w:val="clear" w:color="auto" w:fill="FFFFFF"/>
        </w:rPr>
        <w:t>nel nucleo arcuato dell’ipotalamo</w:t>
      </w:r>
      <w:r w:rsidR="009C2F2B" w:rsidRPr="009C2F2B">
        <w:rPr>
          <w:rFonts w:ascii="Century Gothic" w:hAnsi="Century Gothic" w:cs="Times"/>
          <w:color w:val="222222"/>
          <w:spacing w:val="3"/>
          <w:sz w:val="20"/>
          <w:szCs w:val="20"/>
          <w:shd w:val="clear" w:color="auto" w:fill="FFFFFF"/>
        </w:rPr>
        <w:t xml:space="preserve">. </w:t>
      </w:r>
      <w:r w:rsidR="00E40384">
        <w:rPr>
          <w:rFonts w:ascii="Century Gothic" w:hAnsi="Century Gothic" w:cs="Times"/>
          <w:color w:val="222222"/>
          <w:spacing w:val="3"/>
          <w:sz w:val="20"/>
          <w:szCs w:val="20"/>
          <w:shd w:val="clear" w:color="auto" w:fill="FFFFFF"/>
        </w:rPr>
        <w:t xml:space="preserve">Il legame della leptina sui neuroni </w:t>
      </w:r>
      <w:r w:rsidR="002479BC">
        <w:rPr>
          <w:rFonts w:ascii="Century Gothic" w:hAnsi="Century Gothic" w:cs="Times"/>
          <w:color w:val="222222"/>
          <w:spacing w:val="3"/>
          <w:sz w:val="20"/>
          <w:szCs w:val="20"/>
          <w:shd w:val="clear" w:color="auto" w:fill="FFFFFF"/>
        </w:rPr>
        <w:t xml:space="preserve">AGPR </w:t>
      </w:r>
      <w:r w:rsidR="00E40384">
        <w:rPr>
          <w:rFonts w:ascii="Century Gothic" w:hAnsi="Century Gothic" w:cs="Times"/>
          <w:color w:val="222222"/>
          <w:spacing w:val="3"/>
          <w:sz w:val="20"/>
          <w:szCs w:val="20"/>
          <w:shd w:val="clear" w:color="auto" w:fill="FFFFFF"/>
        </w:rPr>
        <w:t>in</w:t>
      </w:r>
      <w:r w:rsidR="002479BC">
        <w:rPr>
          <w:rFonts w:ascii="Century Gothic" w:hAnsi="Century Gothic" w:cs="Times"/>
          <w:color w:val="222222"/>
          <w:spacing w:val="3"/>
          <w:sz w:val="20"/>
          <w:szCs w:val="20"/>
          <w:shd w:val="clear" w:color="auto" w:fill="FFFFFF"/>
        </w:rPr>
        <w:t>i</w:t>
      </w:r>
      <w:r w:rsidR="00E40384">
        <w:rPr>
          <w:rFonts w:ascii="Century Gothic" w:hAnsi="Century Gothic" w:cs="Times"/>
          <w:color w:val="222222"/>
          <w:spacing w:val="3"/>
          <w:sz w:val="20"/>
          <w:szCs w:val="20"/>
          <w:shd w:val="clear" w:color="auto" w:fill="FFFFFF"/>
        </w:rPr>
        <w:t xml:space="preserve">bisce la produzione della proteina AGPR e stimola la produzione di </w:t>
      </w:r>
      <w:r w:rsidR="009C2F2B" w:rsidRPr="009C2F2B">
        <w:rPr>
          <w:rFonts w:ascii="Century Gothic" w:hAnsi="Century Gothic" w:cs="Times"/>
          <w:color w:val="222222"/>
          <w:spacing w:val="3"/>
          <w:sz w:val="20"/>
          <w:szCs w:val="20"/>
          <w:shd w:val="clear" w:color="auto" w:fill="FFFFFF"/>
        </w:rPr>
        <w:t xml:space="preserve">POMC, </w:t>
      </w:r>
      <w:r w:rsidR="00E40384">
        <w:rPr>
          <w:rFonts w:ascii="Century Gothic" w:hAnsi="Century Gothic" w:cs="Times"/>
          <w:color w:val="222222"/>
          <w:spacing w:val="3"/>
          <w:sz w:val="20"/>
          <w:szCs w:val="20"/>
          <w:shd w:val="clear" w:color="auto" w:fill="FFFFFF"/>
        </w:rPr>
        <w:t xml:space="preserve">che subisce modifiche post-traduzionali e genera una serie di peptidi tra cui </w:t>
      </w:r>
      <w:r w:rsidR="009C2F2B" w:rsidRPr="009C2F2B">
        <w:rPr>
          <w:rFonts w:ascii="Century Gothic" w:hAnsi="Century Gothic" w:cs="Times"/>
          <w:color w:val="222222"/>
          <w:spacing w:val="3"/>
          <w:sz w:val="20"/>
          <w:szCs w:val="20"/>
          <w:shd w:val="clear" w:color="auto" w:fill="FFFFFF"/>
        </w:rPr>
        <w:t>α-, β- and γ-</w:t>
      </w:r>
      <w:proofErr w:type="spellStart"/>
      <w:r w:rsidR="009C2F2B" w:rsidRPr="009C2F2B">
        <w:rPr>
          <w:rFonts w:ascii="Century Gothic" w:hAnsi="Century Gothic" w:cs="Times"/>
          <w:color w:val="222222"/>
          <w:spacing w:val="3"/>
          <w:sz w:val="20"/>
          <w:szCs w:val="20"/>
          <w:shd w:val="clear" w:color="auto" w:fill="FFFFFF"/>
        </w:rPr>
        <w:t>melanocyte</w:t>
      </w:r>
      <w:proofErr w:type="spellEnd"/>
      <w:r w:rsidR="009C2F2B" w:rsidRPr="009C2F2B">
        <w:rPr>
          <w:rFonts w:ascii="Century Gothic" w:hAnsi="Century Gothic" w:cs="Times"/>
          <w:color w:val="222222"/>
          <w:spacing w:val="3"/>
          <w:sz w:val="20"/>
          <w:szCs w:val="20"/>
          <w:shd w:val="clear" w:color="auto" w:fill="FFFFFF"/>
        </w:rPr>
        <w:t>-</w:t>
      </w:r>
      <w:proofErr w:type="spellStart"/>
      <w:r w:rsidR="009C2F2B" w:rsidRPr="009C2F2B">
        <w:rPr>
          <w:rFonts w:ascii="Century Gothic" w:hAnsi="Century Gothic" w:cs="Times"/>
          <w:color w:val="222222"/>
          <w:spacing w:val="3"/>
          <w:sz w:val="20"/>
          <w:szCs w:val="20"/>
          <w:shd w:val="clear" w:color="auto" w:fill="FFFFFF"/>
        </w:rPr>
        <w:t>stimulating</w:t>
      </w:r>
      <w:proofErr w:type="spellEnd"/>
      <w:r w:rsidR="009C2F2B" w:rsidRPr="009C2F2B">
        <w:rPr>
          <w:rFonts w:ascii="Century Gothic" w:hAnsi="Century Gothic" w:cs="Times"/>
          <w:color w:val="222222"/>
          <w:spacing w:val="3"/>
          <w:sz w:val="20"/>
          <w:szCs w:val="20"/>
          <w:shd w:val="clear" w:color="auto" w:fill="FFFFFF"/>
        </w:rPr>
        <w:t xml:space="preserve"> </w:t>
      </w:r>
      <w:proofErr w:type="spellStart"/>
      <w:r w:rsidR="009C2F2B" w:rsidRPr="009C2F2B">
        <w:rPr>
          <w:rFonts w:ascii="Century Gothic" w:hAnsi="Century Gothic" w:cs="Times"/>
          <w:color w:val="222222"/>
          <w:spacing w:val="3"/>
          <w:sz w:val="20"/>
          <w:szCs w:val="20"/>
          <w:shd w:val="clear" w:color="auto" w:fill="FFFFFF"/>
        </w:rPr>
        <w:t>hormone</w:t>
      </w:r>
      <w:proofErr w:type="spellEnd"/>
      <w:r w:rsidR="009C2F2B" w:rsidRPr="009C2F2B">
        <w:rPr>
          <w:rFonts w:ascii="Century Gothic" w:hAnsi="Century Gothic" w:cs="Times"/>
          <w:color w:val="222222"/>
          <w:spacing w:val="3"/>
          <w:sz w:val="20"/>
          <w:szCs w:val="20"/>
          <w:shd w:val="clear" w:color="auto" w:fill="FFFFFF"/>
        </w:rPr>
        <w:t xml:space="preserve"> (MSH). AGRP and α-MSH compet</w:t>
      </w:r>
      <w:r w:rsidR="00E40384">
        <w:rPr>
          <w:rFonts w:ascii="Century Gothic" w:hAnsi="Century Gothic" w:cs="Times"/>
          <w:color w:val="222222"/>
          <w:spacing w:val="3"/>
          <w:sz w:val="20"/>
          <w:szCs w:val="20"/>
          <w:shd w:val="clear" w:color="auto" w:fill="FFFFFF"/>
        </w:rPr>
        <w:t>ono</w:t>
      </w:r>
      <w:r w:rsidR="009C2F2B" w:rsidRPr="009C2F2B">
        <w:rPr>
          <w:rFonts w:ascii="Century Gothic" w:hAnsi="Century Gothic" w:cs="Times"/>
          <w:color w:val="222222"/>
          <w:spacing w:val="3"/>
          <w:sz w:val="20"/>
          <w:szCs w:val="20"/>
          <w:shd w:val="clear" w:color="auto" w:fill="FFFFFF"/>
        </w:rPr>
        <w:t xml:space="preserve"> </w:t>
      </w:r>
      <w:r w:rsidR="00E40384">
        <w:rPr>
          <w:rFonts w:ascii="Century Gothic" w:hAnsi="Century Gothic" w:cs="Times"/>
          <w:color w:val="222222"/>
          <w:spacing w:val="3"/>
          <w:sz w:val="20"/>
          <w:szCs w:val="20"/>
          <w:shd w:val="clear" w:color="auto" w:fill="FFFFFF"/>
        </w:rPr>
        <w:t xml:space="preserve">per il recettore della </w:t>
      </w:r>
      <w:proofErr w:type="spellStart"/>
      <w:r w:rsidR="00E40384">
        <w:rPr>
          <w:rFonts w:ascii="Century Gothic" w:hAnsi="Century Gothic" w:cs="Times"/>
          <w:color w:val="222222"/>
          <w:spacing w:val="3"/>
          <w:sz w:val="20"/>
          <w:szCs w:val="20"/>
          <w:shd w:val="clear" w:color="auto" w:fill="FFFFFF"/>
        </w:rPr>
        <w:t>melanocortina</w:t>
      </w:r>
      <w:proofErr w:type="spellEnd"/>
      <w:r w:rsidR="00E40384">
        <w:rPr>
          <w:rFonts w:ascii="Century Gothic" w:hAnsi="Century Gothic" w:cs="Times"/>
          <w:color w:val="222222"/>
          <w:spacing w:val="3"/>
          <w:sz w:val="20"/>
          <w:szCs w:val="20"/>
          <w:shd w:val="clear" w:color="auto" w:fill="FFFFFF"/>
        </w:rPr>
        <w:t xml:space="preserve"> 4,</w:t>
      </w:r>
      <w:r w:rsidR="009C2F2B" w:rsidRPr="009C2F2B">
        <w:rPr>
          <w:rFonts w:ascii="Century Gothic" w:hAnsi="Century Gothic" w:cs="Times"/>
          <w:color w:val="222222"/>
          <w:spacing w:val="3"/>
          <w:sz w:val="20"/>
          <w:szCs w:val="20"/>
          <w:shd w:val="clear" w:color="auto" w:fill="FFFFFF"/>
        </w:rPr>
        <w:t xml:space="preserve"> MC4R — AGRP </w:t>
      </w:r>
      <w:r w:rsidR="00E40384">
        <w:rPr>
          <w:rFonts w:ascii="Century Gothic" w:hAnsi="Century Gothic" w:cs="Times"/>
          <w:color w:val="222222"/>
          <w:spacing w:val="3"/>
          <w:sz w:val="20"/>
          <w:szCs w:val="20"/>
          <w:shd w:val="clear" w:color="auto" w:fill="FFFFFF"/>
        </w:rPr>
        <w:t xml:space="preserve">sopprime l’attività </w:t>
      </w:r>
      <w:proofErr w:type="gramStart"/>
      <w:r w:rsidR="00E40384">
        <w:rPr>
          <w:rFonts w:ascii="Century Gothic" w:hAnsi="Century Gothic" w:cs="Times"/>
          <w:color w:val="222222"/>
          <w:spacing w:val="3"/>
          <w:sz w:val="20"/>
          <w:szCs w:val="20"/>
          <w:shd w:val="clear" w:color="auto" w:fill="FFFFFF"/>
        </w:rPr>
        <w:t xml:space="preserve">di </w:t>
      </w:r>
      <w:r w:rsidR="009C2F2B" w:rsidRPr="009C2F2B">
        <w:rPr>
          <w:rFonts w:ascii="Century Gothic" w:hAnsi="Century Gothic" w:cs="Times"/>
          <w:color w:val="222222"/>
          <w:spacing w:val="3"/>
          <w:sz w:val="20"/>
          <w:szCs w:val="20"/>
          <w:shd w:val="clear" w:color="auto" w:fill="FFFFFF"/>
        </w:rPr>
        <w:t xml:space="preserve"> MC</w:t>
      </w:r>
      <w:proofErr w:type="gramEnd"/>
      <w:r w:rsidR="009C2F2B" w:rsidRPr="009C2F2B">
        <w:rPr>
          <w:rFonts w:ascii="Century Gothic" w:hAnsi="Century Gothic" w:cs="Times"/>
          <w:color w:val="222222"/>
          <w:spacing w:val="3"/>
          <w:sz w:val="20"/>
          <w:szCs w:val="20"/>
          <w:shd w:val="clear" w:color="auto" w:fill="FFFFFF"/>
        </w:rPr>
        <w:t xml:space="preserve">4R </w:t>
      </w:r>
      <w:r w:rsidR="00E40384">
        <w:rPr>
          <w:rFonts w:ascii="Century Gothic" w:hAnsi="Century Gothic" w:cs="Times"/>
          <w:color w:val="222222"/>
          <w:spacing w:val="3"/>
          <w:sz w:val="20"/>
          <w:szCs w:val="20"/>
          <w:shd w:val="clear" w:color="auto" w:fill="FFFFFF"/>
        </w:rPr>
        <w:t>e</w:t>
      </w:r>
      <w:r w:rsidR="009C2F2B" w:rsidRPr="009C2F2B">
        <w:rPr>
          <w:rFonts w:ascii="Century Gothic" w:hAnsi="Century Gothic" w:cs="Times"/>
          <w:color w:val="222222"/>
          <w:spacing w:val="3"/>
          <w:sz w:val="20"/>
          <w:szCs w:val="20"/>
          <w:shd w:val="clear" w:color="auto" w:fill="FFFFFF"/>
        </w:rPr>
        <w:t xml:space="preserve"> α-MSH </w:t>
      </w:r>
      <w:r w:rsidR="00E40384">
        <w:rPr>
          <w:rFonts w:ascii="Century Gothic" w:hAnsi="Century Gothic" w:cs="Times"/>
          <w:color w:val="222222"/>
          <w:spacing w:val="3"/>
          <w:sz w:val="20"/>
          <w:szCs w:val="20"/>
          <w:shd w:val="clear" w:color="auto" w:fill="FFFFFF"/>
        </w:rPr>
        <w:t>la stimola</w:t>
      </w:r>
      <w:r w:rsidR="009C2F2B" w:rsidRPr="009C2F2B">
        <w:rPr>
          <w:rFonts w:ascii="Century Gothic" w:hAnsi="Century Gothic" w:cs="Times"/>
          <w:color w:val="222222"/>
          <w:spacing w:val="3"/>
          <w:sz w:val="20"/>
          <w:szCs w:val="20"/>
          <w:shd w:val="clear" w:color="auto" w:fill="FFFFFF"/>
        </w:rPr>
        <w:t xml:space="preserve">. </w:t>
      </w:r>
      <w:r w:rsidR="00065AE6">
        <w:rPr>
          <w:rFonts w:ascii="Century Gothic" w:hAnsi="Century Gothic" w:cs="Times"/>
          <w:color w:val="222222"/>
          <w:spacing w:val="3"/>
          <w:sz w:val="20"/>
          <w:szCs w:val="20"/>
          <w:shd w:val="clear" w:color="auto" w:fill="FFFFFF"/>
        </w:rPr>
        <w:t xml:space="preserve">La ridotta attività del recettore MC4R genera un segnale </w:t>
      </w:r>
      <w:proofErr w:type="spellStart"/>
      <w:r w:rsidR="00065AE6">
        <w:rPr>
          <w:rFonts w:ascii="Century Gothic" w:hAnsi="Century Gothic" w:cs="Times"/>
          <w:color w:val="222222"/>
          <w:spacing w:val="3"/>
          <w:sz w:val="20"/>
          <w:szCs w:val="20"/>
          <w:shd w:val="clear" w:color="auto" w:fill="FFFFFF"/>
        </w:rPr>
        <w:t>orexigenico</w:t>
      </w:r>
      <w:proofErr w:type="spellEnd"/>
      <w:r w:rsidR="00065AE6">
        <w:rPr>
          <w:rFonts w:ascii="Century Gothic" w:hAnsi="Century Gothic" w:cs="Times"/>
          <w:color w:val="222222"/>
          <w:spacing w:val="3"/>
          <w:sz w:val="20"/>
          <w:szCs w:val="20"/>
          <w:shd w:val="clear" w:color="auto" w:fill="FFFFFF"/>
        </w:rPr>
        <w:t xml:space="preserve"> mentre l’incremento di attività genera un segnale </w:t>
      </w:r>
      <w:proofErr w:type="spellStart"/>
      <w:r w:rsidR="00065AE6">
        <w:rPr>
          <w:rFonts w:ascii="Century Gothic" w:hAnsi="Century Gothic" w:cs="Times"/>
          <w:color w:val="222222"/>
          <w:spacing w:val="3"/>
          <w:sz w:val="20"/>
          <w:szCs w:val="20"/>
          <w:shd w:val="clear" w:color="auto" w:fill="FFFFFF"/>
        </w:rPr>
        <w:t>anorexigenico</w:t>
      </w:r>
      <w:proofErr w:type="spellEnd"/>
      <w:r w:rsidR="00065AE6">
        <w:rPr>
          <w:rFonts w:ascii="Century Gothic" w:hAnsi="Century Gothic" w:cs="Times"/>
          <w:color w:val="222222"/>
          <w:spacing w:val="3"/>
          <w:sz w:val="20"/>
          <w:szCs w:val="20"/>
          <w:shd w:val="clear" w:color="auto" w:fill="FFFFFF"/>
        </w:rPr>
        <w:t>. I segnali che partono dal recettore</w:t>
      </w:r>
      <w:r w:rsidR="00FD5AC2">
        <w:rPr>
          <w:rFonts w:ascii="Century Gothic" w:hAnsi="Century Gothic" w:cs="Times"/>
          <w:color w:val="222222"/>
          <w:spacing w:val="3"/>
          <w:sz w:val="20"/>
          <w:szCs w:val="20"/>
          <w:shd w:val="clear" w:color="auto" w:fill="FFFFFF"/>
        </w:rPr>
        <w:t xml:space="preserve"> </w:t>
      </w:r>
      <w:r w:rsidR="00065AE6">
        <w:rPr>
          <w:rFonts w:ascii="Century Gothic" w:hAnsi="Century Gothic" w:cs="Times"/>
          <w:color w:val="222222"/>
          <w:spacing w:val="3"/>
          <w:sz w:val="20"/>
          <w:szCs w:val="20"/>
          <w:shd w:val="clear" w:color="auto" w:fill="FFFFFF"/>
        </w:rPr>
        <w:t>MC4R governano l’introito di cibo attraverso neuroni effettori secondari che conducono segnali ai centri alti corticali attraverso il BDNF brain-</w:t>
      </w:r>
      <w:proofErr w:type="spellStart"/>
      <w:r w:rsidR="00065AE6">
        <w:rPr>
          <w:rFonts w:ascii="Century Gothic" w:hAnsi="Century Gothic" w:cs="Times"/>
          <w:color w:val="222222"/>
          <w:spacing w:val="3"/>
          <w:sz w:val="20"/>
          <w:szCs w:val="20"/>
          <w:shd w:val="clear" w:color="auto" w:fill="FFFFFF"/>
        </w:rPr>
        <w:t>derived</w:t>
      </w:r>
      <w:proofErr w:type="spellEnd"/>
      <w:r w:rsidR="00065AE6">
        <w:rPr>
          <w:rFonts w:ascii="Century Gothic" w:hAnsi="Century Gothic" w:cs="Times"/>
          <w:color w:val="222222"/>
          <w:spacing w:val="3"/>
          <w:sz w:val="20"/>
          <w:szCs w:val="20"/>
          <w:shd w:val="clear" w:color="auto" w:fill="FFFFFF"/>
        </w:rPr>
        <w:t xml:space="preserve"> </w:t>
      </w:r>
      <w:proofErr w:type="spellStart"/>
      <w:r w:rsidR="00065AE6">
        <w:rPr>
          <w:rFonts w:ascii="Century Gothic" w:hAnsi="Century Gothic" w:cs="Times"/>
          <w:color w:val="222222"/>
          <w:spacing w:val="3"/>
          <w:sz w:val="20"/>
          <w:szCs w:val="20"/>
          <w:shd w:val="clear" w:color="auto" w:fill="FFFFFF"/>
        </w:rPr>
        <w:t>neurotrophic</w:t>
      </w:r>
      <w:proofErr w:type="spellEnd"/>
      <w:r w:rsidR="00065AE6">
        <w:rPr>
          <w:rFonts w:ascii="Century Gothic" w:hAnsi="Century Gothic" w:cs="Times"/>
          <w:color w:val="222222"/>
          <w:spacing w:val="3"/>
          <w:sz w:val="20"/>
          <w:szCs w:val="20"/>
          <w:shd w:val="clear" w:color="auto" w:fill="FFFFFF"/>
        </w:rPr>
        <w:t xml:space="preserve"> factor e due recettori tirosina </w:t>
      </w:r>
      <w:proofErr w:type="spellStart"/>
      <w:r w:rsidR="00065AE6">
        <w:rPr>
          <w:rFonts w:ascii="Century Gothic" w:hAnsi="Century Gothic" w:cs="Times"/>
          <w:color w:val="222222"/>
          <w:spacing w:val="3"/>
          <w:sz w:val="20"/>
          <w:szCs w:val="20"/>
          <w:shd w:val="clear" w:color="auto" w:fill="FFFFFF"/>
        </w:rPr>
        <w:t>chinasi</w:t>
      </w:r>
      <w:proofErr w:type="spellEnd"/>
      <w:r w:rsidR="00065AE6">
        <w:rPr>
          <w:rFonts w:ascii="Century Gothic" w:hAnsi="Century Gothic" w:cs="Times"/>
          <w:color w:val="222222"/>
          <w:spacing w:val="3"/>
          <w:sz w:val="20"/>
          <w:szCs w:val="20"/>
          <w:shd w:val="clear" w:color="auto" w:fill="FFFFFF"/>
        </w:rPr>
        <w:t xml:space="preserve"> neurotrofici NTRK2 anche noto come TRKB</w:t>
      </w:r>
      <w:r w:rsidR="009C2F2B" w:rsidRPr="009C2F2B">
        <w:rPr>
          <w:rFonts w:ascii="Century Gothic" w:hAnsi="Century Gothic" w:cs="Times"/>
          <w:color w:val="222222"/>
          <w:spacing w:val="3"/>
          <w:sz w:val="20"/>
          <w:szCs w:val="20"/>
          <w:shd w:val="clear" w:color="auto" w:fill="FFFFFF"/>
        </w:rPr>
        <w:t xml:space="preserve"> (NTRK2; </w:t>
      </w:r>
      <w:proofErr w:type="spellStart"/>
      <w:r w:rsidR="009C2F2B" w:rsidRPr="009C2F2B">
        <w:rPr>
          <w:rFonts w:ascii="Century Gothic" w:hAnsi="Century Gothic" w:cs="Times"/>
          <w:color w:val="222222"/>
          <w:spacing w:val="3"/>
          <w:sz w:val="20"/>
          <w:szCs w:val="20"/>
          <w:shd w:val="clear" w:color="auto" w:fill="FFFFFF"/>
        </w:rPr>
        <w:t>also</w:t>
      </w:r>
      <w:proofErr w:type="spellEnd"/>
      <w:r w:rsidR="009C2F2B" w:rsidRPr="009C2F2B">
        <w:rPr>
          <w:rFonts w:ascii="Century Gothic" w:hAnsi="Century Gothic" w:cs="Times"/>
          <w:color w:val="222222"/>
          <w:spacing w:val="3"/>
          <w:sz w:val="20"/>
          <w:szCs w:val="20"/>
          <w:shd w:val="clear" w:color="auto" w:fill="FFFFFF"/>
        </w:rPr>
        <w:t xml:space="preserve"> </w:t>
      </w:r>
      <w:proofErr w:type="spellStart"/>
      <w:r w:rsidR="009C2F2B" w:rsidRPr="009C2F2B">
        <w:rPr>
          <w:rFonts w:ascii="Century Gothic" w:hAnsi="Century Gothic" w:cs="Times"/>
          <w:color w:val="222222"/>
          <w:spacing w:val="3"/>
          <w:sz w:val="20"/>
          <w:szCs w:val="20"/>
          <w:shd w:val="clear" w:color="auto" w:fill="FFFFFF"/>
        </w:rPr>
        <w:t>known</w:t>
      </w:r>
      <w:proofErr w:type="spellEnd"/>
      <w:r w:rsidR="009C2F2B" w:rsidRPr="009C2F2B">
        <w:rPr>
          <w:rFonts w:ascii="Century Gothic" w:hAnsi="Century Gothic" w:cs="Times"/>
          <w:color w:val="222222"/>
          <w:spacing w:val="3"/>
          <w:sz w:val="20"/>
          <w:szCs w:val="20"/>
          <w:shd w:val="clear" w:color="auto" w:fill="FFFFFF"/>
        </w:rPr>
        <w:t xml:space="preserve"> </w:t>
      </w:r>
      <w:proofErr w:type="spellStart"/>
      <w:r w:rsidR="009C2F2B" w:rsidRPr="009C2F2B">
        <w:rPr>
          <w:rFonts w:ascii="Century Gothic" w:hAnsi="Century Gothic" w:cs="Times"/>
          <w:color w:val="222222"/>
          <w:spacing w:val="3"/>
          <w:sz w:val="20"/>
          <w:szCs w:val="20"/>
          <w:shd w:val="clear" w:color="auto" w:fill="FFFFFF"/>
        </w:rPr>
        <w:t>as</w:t>
      </w:r>
      <w:proofErr w:type="spellEnd"/>
      <w:r w:rsidR="009C2F2B" w:rsidRPr="009C2F2B">
        <w:rPr>
          <w:rFonts w:ascii="Century Gothic" w:hAnsi="Century Gothic" w:cs="Times"/>
          <w:color w:val="222222"/>
          <w:spacing w:val="3"/>
          <w:sz w:val="20"/>
          <w:szCs w:val="20"/>
          <w:shd w:val="clear" w:color="auto" w:fill="FFFFFF"/>
        </w:rPr>
        <w:t xml:space="preserve"> </w:t>
      </w:r>
      <w:proofErr w:type="spellStart"/>
      <w:r w:rsidR="009C2F2B" w:rsidRPr="009C2F2B">
        <w:rPr>
          <w:rFonts w:ascii="Century Gothic" w:hAnsi="Century Gothic" w:cs="Times"/>
          <w:color w:val="222222"/>
          <w:spacing w:val="3"/>
          <w:sz w:val="20"/>
          <w:szCs w:val="20"/>
          <w:shd w:val="clear" w:color="auto" w:fill="FFFFFF"/>
        </w:rPr>
        <w:t>tropomyosin-related</w:t>
      </w:r>
      <w:proofErr w:type="spellEnd"/>
      <w:r w:rsidR="009C2F2B" w:rsidRPr="009C2F2B">
        <w:rPr>
          <w:rFonts w:ascii="Century Gothic" w:hAnsi="Century Gothic" w:cs="Times"/>
          <w:color w:val="222222"/>
          <w:spacing w:val="3"/>
          <w:sz w:val="20"/>
          <w:szCs w:val="20"/>
          <w:shd w:val="clear" w:color="auto" w:fill="FFFFFF"/>
        </w:rPr>
        <w:t xml:space="preserve"> </w:t>
      </w:r>
      <w:proofErr w:type="spellStart"/>
      <w:r w:rsidR="009C2F2B" w:rsidRPr="009C2F2B">
        <w:rPr>
          <w:rFonts w:ascii="Century Gothic" w:hAnsi="Century Gothic" w:cs="Times"/>
          <w:color w:val="222222"/>
          <w:spacing w:val="3"/>
          <w:sz w:val="20"/>
          <w:szCs w:val="20"/>
          <w:shd w:val="clear" w:color="auto" w:fill="FFFFFF"/>
        </w:rPr>
        <w:t>kinase</w:t>
      </w:r>
      <w:proofErr w:type="spellEnd"/>
      <w:r w:rsidR="009C2F2B" w:rsidRPr="009C2F2B">
        <w:rPr>
          <w:rFonts w:ascii="Century Gothic" w:hAnsi="Century Gothic" w:cs="Times"/>
          <w:color w:val="222222"/>
          <w:spacing w:val="3"/>
          <w:sz w:val="20"/>
          <w:szCs w:val="20"/>
          <w:shd w:val="clear" w:color="auto" w:fill="FFFFFF"/>
        </w:rPr>
        <w:t xml:space="preserve"> B, TRKB).</w:t>
      </w:r>
    </w:p>
    <w:p w:rsidR="0088329F" w:rsidRDefault="00C1056B" w:rsidP="000D47F3">
      <w:pPr>
        <w:jc w:val="both"/>
        <w:rPr>
          <w:rFonts w:ascii="Century Gothic" w:hAnsi="Century Gothic"/>
          <w:sz w:val="20"/>
          <w:szCs w:val="20"/>
        </w:rPr>
      </w:pPr>
      <w:r>
        <w:rPr>
          <w:rFonts w:ascii="Century Gothic" w:hAnsi="Century Gothic"/>
          <w:sz w:val="20"/>
          <w:szCs w:val="20"/>
        </w:rPr>
        <w:t xml:space="preserve">Il gene </w:t>
      </w:r>
      <w:proofErr w:type="spellStart"/>
      <w:r>
        <w:rPr>
          <w:rFonts w:ascii="Century Gothic" w:hAnsi="Century Gothic"/>
          <w:sz w:val="20"/>
          <w:szCs w:val="20"/>
        </w:rPr>
        <w:t>Ob</w:t>
      </w:r>
      <w:proofErr w:type="spellEnd"/>
      <w:r>
        <w:rPr>
          <w:rFonts w:ascii="Century Gothic" w:hAnsi="Century Gothic"/>
          <w:sz w:val="20"/>
          <w:szCs w:val="20"/>
        </w:rPr>
        <w:t xml:space="preserve"> </w:t>
      </w:r>
      <w:r w:rsidR="00043336">
        <w:rPr>
          <w:rFonts w:ascii="Century Gothic" w:hAnsi="Century Gothic"/>
          <w:sz w:val="20"/>
          <w:szCs w:val="20"/>
        </w:rPr>
        <w:t xml:space="preserve">che codifica per la leptina </w:t>
      </w:r>
      <w:r>
        <w:rPr>
          <w:rFonts w:ascii="Century Gothic" w:hAnsi="Century Gothic"/>
          <w:sz w:val="20"/>
          <w:szCs w:val="20"/>
        </w:rPr>
        <w:t xml:space="preserve">è stato isolato mediante clonaggio posizionale. </w:t>
      </w:r>
      <w:r w:rsidR="002F0D1D">
        <w:rPr>
          <w:rFonts w:ascii="Century Gothic" w:hAnsi="Century Gothic"/>
          <w:sz w:val="20"/>
          <w:szCs w:val="20"/>
        </w:rPr>
        <w:t xml:space="preserve">La posizione di mappa è stata stabilita mediante mappatura genetica analizzando 771 meiosi fra topi </w:t>
      </w:r>
      <w:proofErr w:type="spellStart"/>
      <w:r w:rsidR="002F0D1D">
        <w:rPr>
          <w:rFonts w:ascii="Century Gothic" w:hAnsi="Century Gothic"/>
          <w:sz w:val="20"/>
          <w:szCs w:val="20"/>
        </w:rPr>
        <w:t>ob</w:t>
      </w:r>
      <w:proofErr w:type="spellEnd"/>
      <w:r w:rsidR="002F0D1D">
        <w:rPr>
          <w:rFonts w:ascii="Century Gothic" w:hAnsi="Century Gothic"/>
          <w:sz w:val="20"/>
          <w:szCs w:val="20"/>
        </w:rPr>
        <w:t>/</w:t>
      </w:r>
      <w:proofErr w:type="spellStart"/>
      <w:r w:rsidR="002F0D1D">
        <w:rPr>
          <w:rFonts w:ascii="Century Gothic" w:hAnsi="Century Gothic"/>
          <w:sz w:val="20"/>
          <w:szCs w:val="20"/>
        </w:rPr>
        <w:t>ob</w:t>
      </w:r>
      <w:proofErr w:type="spellEnd"/>
      <w:r w:rsidR="002F0D1D">
        <w:rPr>
          <w:rFonts w:ascii="Century Gothic" w:hAnsi="Century Gothic"/>
          <w:sz w:val="20"/>
          <w:szCs w:val="20"/>
        </w:rPr>
        <w:t xml:space="preserve"> x topi DBA, </w:t>
      </w:r>
      <w:proofErr w:type="spellStart"/>
      <w:r w:rsidR="002F0D1D">
        <w:rPr>
          <w:rFonts w:ascii="Century Gothic" w:hAnsi="Century Gothic"/>
          <w:sz w:val="20"/>
          <w:szCs w:val="20"/>
        </w:rPr>
        <w:t>intercross</w:t>
      </w:r>
      <w:proofErr w:type="spellEnd"/>
      <w:r w:rsidR="002F0D1D">
        <w:rPr>
          <w:rFonts w:ascii="Century Gothic" w:hAnsi="Century Gothic"/>
          <w:sz w:val="20"/>
          <w:szCs w:val="20"/>
        </w:rPr>
        <w:t xml:space="preserve"> e </w:t>
      </w:r>
      <w:proofErr w:type="spellStart"/>
      <w:r w:rsidR="002F0D1D">
        <w:rPr>
          <w:rFonts w:ascii="Century Gothic" w:hAnsi="Century Gothic"/>
          <w:sz w:val="20"/>
          <w:szCs w:val="20"/>
        </w:rPr>
        <w:t>backcross</w:t>
      </w:r>
      <w:proofErr w:type="spellEnd"/>
      <w:r w:rsidR="002F0D1D">
        <w:rPr>
          <w:rFonts w:ascii="Century Gothic" w:hAnsi="Century Gothic"/>
          <w:sz w:val="20"/>
          <w:szCs w:val="20"/>
        </w:rPr>
        <w:t xml:space="preserve">. Il locus è stato mappato grazie ad un SSLP informativo tra i marcatori D6Rck13 ed il gene Pax4. Attraverso mappatura fisica è stato isolato un clone P1 ed il gene identificato mediante la tecnica di </w:t>
      </w:r>
      <w:proofErr w:type="spellStart"/>
      <w:r w:rsidR="002F0D1D">
        <w:rPr>
          <w:rFonts w:ascii="Century Gothic" w:hAnsi="Century Gothic"/>
          <w:sz w:val="20"/>
          <w:szCs w:val="20"/>
        </w:rPr>
        <w:t>exon</w:t>
      </w:r>
      <w:proofErr w:type="spellEnd"/>
      <w:r w:rsidR="002F0D1D">
        <w:rPr>
          <w:rFonts w:ascii="Century Gothic" w:hAnsi="Century Gothic"/>
          <w:sz w:val="20"/>
          <w:szCs w:val="20"/>
        </w:rPr>
        <w:t>-trapping.</w:t>
      </w:r>
    </w:p>
    <w:p w:rsidR="00320F20" w:rsidRPr="00320F20" w:rsidRDefault="00320F20" w:rsidP="000D47F3">
      <w:pPr>
        <w:jc w:val="both"/>
        <w:rPr>
          <w:rFonts w:ascii="Century Gothic" w:hAnsi="Century Gothic"/>
          <w:b/>
          <w:sz w:val="20"/>
          <w:szCs w:val="20"/>
        </w:rPr>
      </w:pPr>
      <w:r w:rsidRPr="00320F20">
        <w:rPr>
          <w:rFonts w:ascii="Century Gothic" w:hAnsi="Century Gothic"/>
          <w:b/>
          <w:sz w:val="20"/>
          <w:szCs w:val="20"/>
        </w:rPr>
        <w:t>Obesità sindromica</w:t>
      </w:r>
    </w:p>
    <w:p w:rsidR="00320F20" w:rsidRDefault="00320F20" w:rsidP="000D47F3">
      <w:pPr>
        <w:jc w:val="both"/>
        <w:rPr>
          <w:rFonts w:ascii="Century Gothic" w:hAnsi="Century Gothic"/>
          <w:sz w:val="20"/>
          <w:szCs w:val="20"/>
        </w:rPr>
      </w:pPr>
      <w:r>
        <w:rPr>
          <w:rFonts w:ascii="Century Gothic" w:hAnsi="Century Gothic"/>
          <w:sz w:val="20"/>
          <w:szCs w:val="20"/>
        </w:rPr>
        <w:lastRenderedPageBreak/>
        <w:t>Una delle forme più studiate di obesità sindromica è la sindrome di Prader-Willi (PWS)</w:t>
      </w:r>
      <w:r w:rsidR="007B3346">
        <w:rPr>
          <w:rFonts w:ascii="Century Gothic" w:hAnsi="Century Gothic"/>
          <w:sz w:val="20"/>
          <w:szCs w:val="20"/>
        </w:rPr>
        <w:t xml:space="preserve">. La sindrome di </w:t>
      </w:r>
      <w:proofErr w:type="spellStart"/>
      <w:r w:rsidR="007B3346">
        <w:rPr>
          <w:rFonts w:ascii="Century Gothic" w:hAnsi="Century Gothic"/>
          <w:sz w:val="20"/>
          <w:szCs w:val="20"/>
        </w:rPr>
        <w:t>Preder</w:t>
      </w:r>
      <w:proofErr w:type="spellEnd"/>
      <w:r w:rsidR="007B3346">
        <w:rPr>
          <w:rFonts w:ascii="Century Gothic" w:hAnsi="Century Gothic"/>
          <w:sz w:val="20"/>
          <w:szCs w:val="20"/>
        </w:rPr>
        <w:t>-Willi è causata da una anomalia cromosomica della regione 15q11-q12.</w:t>
      </w:r>
      <w:r w:rsidR="00544DA6">
        <w:rPr>
          <w:rFonts w:ascii="Century Gothic" w:hAnsi="Century Gothic"/>
          <w:sz w:val="20"/>
          <w:szCs w:val="20"/>
        </w:rPr>
        <w:t xml:space="preserve"> PWS è </w:t>
      </w:r>
      <w:proofErr w:type="spellStart"/>
      <w:r w:rsidR="00544DA6">
        <w:rPr>
          <w:rFonts w:ascii="Century Gothic" w:hAnsi="Century Gothic"/>
          <w:sz w:val="20"/>
          <w:szCs w:val="20"/>
        </w:rPr>
        <w:t>caratterizzats</w:t>
      </w:r>
      <w:proofErr w:type="spellEnd"/>
      <w:r w:rsidR="00544DA6">
        <w:rPr>
          <w:rFonts w:ascii="Century Gothic" w:hAnsi="Century Gothic"/>
          <w:sz w:val="20"/>
          <w:szCs w:val="20"/>
        </w:rPr>
        <w:t xml:space="preserve"> da obesità ad insorgenza precoce accompagnata da </w:t>
      </w:r>
      <w:proofErr w:type="spellStart"/>
      <w:r w:rsidR="00544DA6">
        <w:rPr>
          <w:rFonts w:ascii="Century Gothic" w:hAnsi="Century Gothic"/>
          <w:sz w:val="20"/>
          <w:szCs w:val="20"/>
        </w:rPr>
        <w:t>iperfagia</w:t>
      </w:r>
      <w:proofErr w:type="spellEnd"/>
      <w:r w:rsidR="00544DA6">
        <w:rPr>
          <w:rFonts w:ascii="Century Gothic" w:hAnsi="Century Gothic"/>
          <w:sz w:val="20"/>
          <w:szCs w:val="20"/>
        </w:rPr>
        <w:t xml:space="preserve"> causata da disfunzioni del SNC. La sindrome di Prader Willi è causata dalla delezione di una regione del cromosoma 15 paterno. Tale regione è soggetta ad imprinting, </w:t>
      </w:r>
      <w:proofErr w:type="spellStart"/>
      <w:r w:rsidR="00544DA6">
        <w:rPr>
          <w:rFonts w:ascii="Century Gothic" w:hAnsi="Century Gothic"/>
          <w:sz w:val="20"/>
          <w:szCs w:val="20"/>
        </w:rPr>
        <w:t>cioà</w:t>
      </w:r>
      <w:proofErr w:type="spellEnd"/>
      <w:r w:rsidR="00544DA6">
        <w:rPr>
          <w:rFonts w:ascii="Century Gothic" w:hAnsi="Century Gothic"/>
          <w:sz w:val="20"/>
          <w:szCs w:val="20"/>
        </w:rPr>
        <w:t xml:space="preserve"> a disattivazione epigenetica degli alleli materni. Pertanto una </w:t>
      </w:r>
      <w:proofErr w:type="spellStart"/>
      <w:r w:rsidR="00544DA6">
        <w:rPr>
          <w:rFonts w:ascii="Century Gothic" w:hAnsi="Century Gothic"/>
          <w:sz w:val="20"/>
          <w:szCs w:val="20"/>
        </w:rPr>
        <w:t>disomia</w:t>
      </w:r>
      <w:proofErr w:type="spellEnd"/>
      <w:r w:rsidR="00544DA6">
        <w:rPr>
          <w:rFonts w:ascii="Century Gothic" w:hAnsi="Century Gothic"/>
          <w:sz w:val="20"/>
          <w:szCs w:val="20"/>
        </w:rPr>
        <w:t xml:space="preserve"> materna oppure una delezione della regione cromosomica paterna coinvolta causa la mancanza dei prodotti genici espressi dal cromosoma paterno. Sembra </w:t>
      </w:r>
      <w:r w:rsidR="00480964">
        <w:rPr>
          <w:rFonts w:ascii="Century Gothic" w:hAnsi="Century Gothic"/>
          <w:sz w:val="20"/>
          <w:szCs w:val="20"/>
        </w:rPr>
        <w:t xml:space="preserve">che </w:t>
      </w:r>
      <w:r w:rsidR="00544DA6">
        <w:rPr>
          <w:rFonts w:ascii="Century Gothic" w:hAnsi="Century Gothic"/>
          <w:sz w:val="20"/>
          <w:szCs w:val="20"/>
        </w:rPr>
        <w:t xml:space="preserve">la mancanza della </w:t>
      </w:r>
      <w:proofErr w:type="spellStart"/>
      <w:r w:rsidR="00544DA6">
        <w:rPr>
          <w:rFonts w:ascii="Century Gothic" w:hAnsi="Century Gothic"/>
          <w:sz w:val="20"/>
          <w:szCs w:val="20"/>
        </w:rPr>
        <w:t>necdina</w:t>
      </w:r>
      <w:proofErr w:type="spellEnd"/>
      <w:r w:rsidR="00544DA6">
        <w:rPr>
          <w:rFonts w:ascii="Century Gothic" w:hAnsi="Century Gothic"/>
          <w:sz w:val="20"/>
          <w:szCs w:val="20"/>
        </w:rPr>
        <w:t xml:space="preserve"> una </w:t>
      </w:r>
      <w:r w:rsidR="00480964">
        <w:rPr>
          <w:rFonts w:ascii="Century Gothic" w:hAnsi="Century Gothic"/>
          <w:sz w:val="20"/>
          <w:szCs w:val="20"/>
        </w:rPr>
        <w:t xml:space="preserve">proteina espressa nei neuroni che funge da oncosoppressore sia responsabile della PWS. Nella sindrome di </w:t>
      </w:r>
      <w:proofErr w:type="spellStart"/>
      <w:r w:rsidR="00480964">
        <w:rPr>
          <w:rFonts w:ascii="Century Gothic" w:hAnsi="Century Gothic"/>
          <w:sz w:val="20"/>
          <w:szCs w:val="20"/>
        </w:rPr>
        <w:t>Angelman</w:t>
      </w:r>
      <w:proofErr w:type="spellEnd"/>
      <w:r w:rsidR="00480964">
        <w:rPr>
          <w:rFonts w:ascii="Century Gothic" w:hAnsi="Century Gothic"/>
          <w:sz w:val="20"/>
          <w:szCs w:val="20"/>
        </w:rPr>
        <w:t xml:space="preserve"> invece il gene paternamente </w:t>
      </w:r>
      <w:proofErr w:type="spellStart"/>
      <w:r w:rsidR="00480964">
        <w:rPr>
          <w:rFonts w:ascii="Century Gothic" w:hAnsi="Century Gothic"/>
          <w:sz w:val="20"/>
          <w:szCs w:val="20"/>
        </w:rPr>
        <w:t>imprintato</w:t>
      </w:r>
      <w:proofErr w:type="spellEnd"/>
      <w:r w:rsidR="00480964">
        <w:rPr>
          <w:rFonts w:ascii="Century Gothic" w:hAnsi="Century Gothic"/>
          <w:sz w:val="20"/>
          <w:szCs w:val="20"/>
        </w:rPr>
        <w:t xml:space="preserve"> è UBE 3A una </w:t>
      </w:r>
      <w:proofErr w:type="spellStart"/>
      <w:r w:rsidR="00480964">
        <w:rPr>
          <w:rFonts w:ascii="Century Gothic" w:hAnsi="Century Gothic"/>
          <w:sz w:val="20"/>
          <w:szCs w:val="20"/>
        </w:rPr>
        <w:t>ubiquitin</w:t>
      </w:r>
      <w:proofErr w:type="spellEnd"/>
      <w:r w:rsidR="00480964">
        <w:rPr>
          <w:rFonts w:ascii="Century Gothic" w:hAnsi="Century Gothic"/>
          <w:sz w:val="20"/>
          <w:szCs w:val="20"/>
        </w:rPr>
        <w:t xml:space="preserve"> </w:t>
      </w:r>
      <w:proofErr w:type="spellStart"/>
      <w:r w:rsidR="00480964">
        <w:rPr>
          <w:rFonts w:ascii="Century Gothic" w:hAnsi="Century Gothic"/>
          <w:sz w:val="20"/>
          <w:szCs w:val="20"/>
        </w:rPr>
        <w:t>ligasi</w:t>
      </w:r>
      <w:proofErr w:type="spellEnd"/>
      <w:r w:rsidR="00480964">
        <w:rPr>
          <w:rFonts w:ascii="Century Gothic" w:hAnsi="Century Gothic"/>
          <w:sz w:val="20"/>
          <w:szCs w:val="20"/>
        </w:rPr>
        <w:t xml:space="preserve"> espressa nei neuroni. La </w:t>
      </w:r>
      <w:proofErr w:type="spellStart"/>
      <w:r w:rsidR="00480964">
        <w:rPr>
          <w:rFonts w:ascii="Century Gothic" w:hAnsi="Century Gothic"/>
          <w:sz w:val="20"/>
          <w:szCs w:val="20"/>
        </w:rPr>
        <w:t>disomia</w:t>
      </w:r>
      <w:proofErr w:type="spellEnd"/>
      <w:r w:rsidR="00480964">
        <w:rPr>
          <w:rFonts w:ascii="Century Gothic" w:hAnsi="Century Gothic"/>
          <w:sz w:val="20"/>
          <w:szCs w:val="20"/>
        </w:rPr>
        <w:t xml:space="preserve"> paterna o la delezione della regione del cromosoma materno contenente UBE 3A causerebbe deficit di questa proteina.</w:t>
      </w:r>
    </w:p>
    <w:p w:rsidR="00100461" w:rsidRPr="00100461" w:rsidRDefault="00100461" w:rsidP="000D47F3">
      <w:pPr>
        <w:jc w:val="both"/>
        <w:rPr>
          <w:rFonts w:ascii="Century Gothic" w:hAnsi="Century Gothic"/>
          <w:b/>
          <w:sz w:val="20"/>
          <w:szCs w:val="20"/>
        </w:rPr>
      </w:pPr>
      <w:r w:rsidRPr="00100461">
        <w:rPr>
          <w:rFonts w:ascii="Century Gothic" w:hAnsi="Century Gothic"/>
          <w:b/>
          <w:sz w:val="20"/>
          <w:szCs w:val="20"/>
        </w:rPr>
        <w:t>Obesità comune o poligenica</w:t>
      </w:r>
    </w:p>
    <w:p w:rsidR="00100461" w:rsidRDefault="00100461" w:rsidP="000D47F3">
      <w:pPr>
        <w:jc w:val="both"/>
        <w:rPr>
          <w:rFonts w:ascii="Century Gothic" w:hAnsi="Century Gothic"/>
          <w:sz w:val="20"/>
          <w:szCs w:val="20"/>
        </w:rPr>
      </w:pPr>
      <w:r>
        <w:rPr>
          <w:rFonts w:ascii="Century Gothic" w:hAnsi="Century Gothic"/>
          <w:sz w:val="20"/>
          <w:szCs w:val="20"/>
        </w:rPr>
        <w:t xml:space="preserve">Studi epidemiologici indicano che la concordanza per l’obesità comune diminuisce al diminuire del grado di parentela. Il coefficiente di ereditabilità varia da 0.4 a 0.7 suggerendo la presenza di una componente genetica. Probabilmente geni che conferivano un vantaggio selettivo in epoche di penuria di cibo, in ambienti </w:t>
      </w:r>
      <w:proofErr w:type="spellStart"/>
      <w:r>
        <w:rPr>
          <w:rFonts w:ascii="Century Gothic" w:hAnsi="Century Gothic"/>
          <w:sz w:val="20"/>
          <w:szCs w:val="20"/>
        </w:rPr>
        <w:t>obesogenici</w:t>
      </w:r>
      <w:proofErr w:type="spellEnd"/>
      <w:r>
        <w:rPr>
          <w:rFonts w:ascii="Century Gothic" w:hAnsi="Century Gothic"/>
          <w:sz w:val="20"/>
          <w:szCs w:val="20"/>
        </w:rPr>
        <w:t xml:space="preserve"> come gli attuali, predispongono l’individuo all’accumulo di depositi di grassi.  </w:t>
      </w:r>
    </w:p>
    <w:p w:rsidR="00785D70" w:rsidRDefault="00785D70" w:rsidP="000D47F3">
      <w:pPr>
        <w:jc w:val="both"/>
        <w:rPr>
          <w:rFonts w:ascii="Century Gothic" w:hAnsi="Century Gothic"/>
          <w:sz w:val="20"/>
          <w:szCs w:val="20"/>
        </w:rPr>
      </w:pPr>
      <w:r>
        <w:rPr>
          <w:rFonts w:ascii="Century Gothic" w:hAnsi="Century Gothic"/>
          <w:sz w:val="20"/>
          <w:szCs w:val="20"/>
        </w:rPr>
        <w:t>La ricerca delle varianti di suscettibilità all’obesità comune fu prima iniziata mediante studio dei geni candidati o analisi di linkage ma con poco successo.</w:t>
      </w:r>
    </w:p>
    <w:p w:rsidR="00555F4A" w:rsidRDefault="00555F4A" w:rsidP="000D47F3">
      <w:pPr>
        <w:jc w:val="both"/>
        <w:rPr>
          <w:rFonts w:ascii="Century Gothic" w:hAnsi="Century Gothic"/>
          <w:sz w:val="20"/>
          <w:szCs w:val="20"/>
        </w:rPr>
      </w:pPr>
      <w:r>
        <w:rPr>
          <w:rFonts w:ascii="Century Gothic" w:hAnsi="Century Gothic"/>
          <w:sz w:val="20"/>
          <w:szCs w:val="20"/>
        </w:rPr>
        <w:t xml:space="preserve">Il più sostanziale avanzamento delle conoscenze in questo settore si deve all’analisi GWAS. Questa analisi si basa sul fatto che varianti polimorfiche vicine al gene di interesse possono essere ereditate come blocchi insieme al gene di interesse a causa del linkage </w:t>
      </w:r>
      <w:proofErr w:type="spellStart"/>
      <w:r>
        <w:rPr>
          <w:rFonts w:ascii="Century Gothic" w:hAnsi="Century Gothic"/>
          <w:sz w:val="20"/>
          <w:szCs w:val="20"/>
        </w:rPr>
        <w:t>disequilibrium</w:t>
      </w:r>
      <w:proofErr w:type="spellEnd"/>
      <w:r>
        <w:rPr>
          <w:rFonts w:ascii="Century Gothic" w:hAnsi="Century Gothic"/>
          <w:sz w:val="20"/>
          <w:szCs w:val="20"/>
        </w:rPr>
        <w:t xml:space="preserve">. Il linkage </w:t>
      </w:r>
      <w:proofErr w:type="spellStart"/>
      <w:r>
        <w:rPr>
          <w:rFonts w:ascii="Century Gothic" w:hAnsi="Century Gothic"/>
          <w:sz w:val="20"/>
          <w:szCs w:val="20"/>
        </w:rPr>
        <w:t>disequilibrium</w:t>
      </w:r>
      <w:proofErr w:type="spellEnd"/>
      <w:r>
        <w:rPr>
          <w:rFonts w:ascii="Century Gothic" w:hAnsi="Century Gothic"/>
          <w:sz w:val="20"/>
          <w:szCs w:val="20"/>
        </w:rPr>
        <w:t xml:space="preserve"> può essere interrotto solo dalla ricombinazione che fra due marcatori vicini è piuttosto </w:t>
      </w:r>
      <w:r w:rsidR="00DA6C17">
        <w:rPr>
          <w:rFonts w:ascii="Century Gothic" w:hAnsi="Century Gothic"/>
          <w:sz w:val="20"/>
          <w:szCs w:val="20"/>
        </w:rPr>
        <w:t>rara</w:t>
      </w:r>
      <w:r>
        <w:rPr>
          <w:rFonts w:ascii="Century Gothic" w:hAnsi="Century Gothic"/>
          <w:sz w:val="20"/>
          <w:szCs w:val="20"/>
        </w:rPr>
        <w:t>.</w:t>
      </w:r>
    </w:p>
    <w:p w:rsidR="009816B5" w:rsidRDefault="009816B5" w:rsidP="000D47F3">
      <w:pPr>
        <w:jc w:val="both"/>
        <w:rPr>
          <w:rFonts w:ascii="Century Gothic" w:hAnsi="Century Gothic"/>
          <w:sz w:val="20"/>
          <w:szCs w:val="20"/>
        </w:rPr>
      </w:pPr>
      <w:r>
        <w:rPr>
          <w:rFonts w:ascii="Century Gothic" w:hAnsi="Century Gothic"/>
          <w:sz w:val="20"/>
          <w:szCs w:val="20"/>
        </w:rPr>
        <w:t xml:space="preserve">L’analisi GWAS </w:t>
      </w:r>
      <w:r w:rsidR="000A49A9">
        <w:rPr>
          <w:rFonts w:ascii="Century Gothic" w:hAnsi="Century Gothic"/>
          <w:sz w:val="20"/>
          <w:szCs w:val="20"/>
        </w:rPr>
        <w:t>ha portato alla identificazione del gene FTO (</w:t>
      </w:r>
      <w:proofErr w:type="spellStart"/>
      <w:r w:rsidR="000A49A9">
        <w:rPr>
          <w:rFonts w:ascii="Century Gothic" w:hAnsi="Century Gothic"/>
          <w:sz w:val="20"/>
          <w:szCs w:val="20"/>
        </w:rPr>
        <w:t>fat</w:t>
      </w:r>
      <w:proofErr w:type="spellEnd"/>
      <w:r w:rsidR="000A49A9">
        <w:rPr>
          <w:rFonts w:ascii="Century Gothic" w:hAnsi="Century Gothic"/>
          <w:sz w:val="20"/>
          <w:szCs w:val="20"/>
        </w:rPr>
        <w:t xml:space="preserve"> mass and </w:t>
      </w:r>
      <w:proofErr w:type="spellStart"/>
      <w:r w:rsidR="000A49A9">
        <w:rPr>
          <w:rFonts w:ascii="Century Gothic" w:hAnsi="Century Gothic"/>
          <w:sz w:val="20"/>
          <w:szCs w:val="20"/>
        </w:rPr>
        <w:t>obesity</w:t>
      </w:r>
      <w:proofErr w:type="spellEnd"/>
      <w:r w:rsidR="000A49A9">
        <w:rPr>
          <w:rFonts w:ascii="Century Gothic" w:hAnsi="Century Gothic"/>
          <w:sz w:val="20"/>
          <w:szCs w:val="20"/>
        </w:rPr>
        <w:t xml:space="preserve"> </w:t>
      </w:r>
      <w:proofErr w:type="spellStart"/>
      <w:r w:rsidR="000A49A9">
        <w:rPr>
          <w:rFonts w:ascii="Century Gothic" w:hAnsi="Century Gothic"/>
          <w:sz w:val="20"/>
          <w:szCs w:val="20"/>
        </w:rPr>
        <w:t>associated</w:t>
      </w:r>
      <w:proofErr w:type="spellEnd"/>
      <w:r w:rsidR="000A49A9">
        <w:rPr>
          <w:rFonts w:ascii="Century Gothic" w:hAnsi="Century Gothic"/>
          <w:sz w:val="20"/>
          <w:szCs w:val="20"/>
        </w:rPr>
        <w:t>)</w:t>
      </w:r>
      <w:r w:rsidR="007E2E91">
        <w:rPr>
          <w:rFonts w:ascii="Century Gothic" w:hAnsi="Century Gothic"/>
          <w:sz w:val="20"/>
          <w:szCs w:val="20"/>
        </w:rPr>
        <w:t xml:space="preserve">. Come risultato di meta-analisi ossia di dati di bioinformatica raccolti in studi differenti ed analizzati insieme sono stati isolati altri 20 loci per l’obesità. In molti casi si conosce la posizione del potenziale gene ma non è stata mai identificata la mutazione causativa. In molti casi si identifica il gene più vicino all’SNP la cui funzione fisiologica </w:t>
      </w:r>
      <w:r w:rsidR="007674D2">
        <w:rPr>
          <w:rFonts w:ascii="Century Gothic" w:hAnsi="Century Gothic"/>
          <w:sz w:val="20"/>
          <w:szCs w:val="20"/>
        </w:rPr>
        <w:t>suggerisce che sia</w:t>
      </w:r>
      <w:r w:rsidR="007E2E91">
        <w:rPr>
          <w:rFonts w:ascii="Century Gothic" w:hAnsi="Century Gothic"/>
          <w:sz w:val="20"/>
          <w:szCs w:val="20"/>
        </w:rPr>
        <w:t xml:space="preserve"> un potenziale gene per l’obesità. </w:t>
      </w:r>
    </w:p>
    <w:p w:rsidR="002E4E40" w:rsidRDefault="002E4E40" w:rsidP="000D47F3">
      <w:pPr>
        <w:jc w:val="both"/>
        <w:rPr>
          <w:rFonts w:ascii="Century Gothic" w:hAnsi="Century Gothic"/>
          <w:sz w:val="20"/>
          <w:szCs w:val="20"/>
        </w:rPr>
      </w:pPr>
      <w:r>
        <w:rPr>
          <w:rFonts w:ascii="Century Gothic" w:hAnsi="Century Gothic"/>
          <w:sz w:val="20"/>
          <w:szCs w:val="20"/>
        </w:rPr>
        <w:t>Si possono distinguere due classi di geni per l’obesità comune:</w:t>
      </w:r>
    </w:p>
    <w:p w:rsidR="002E4E40" w:rsidRDefault="002E4E40" w:rsidP="002E4E40">
      <w:pPr>
        <w:pStyle w:val="Paragrafoelenco"/>
        <w:numPr>
          <w:ilvl w:val="0"/>
          <w:numId w:val="1"/>
        </w:numPr>
        <w:jc w:val="both"/>
        <w:rPr>
          <w:rFonts w:ascii="Century Gothic" w:hAnsi="Century Gothic"/>
          <w:sz w:val="20"/>
          <w:szCs w:val="20"/>
        </w:rPr>
      </w:pPr>
      <w:r>
        <w:rPr>
          <w:rFonts w:ascii="Century Gothic" w:hAnsi="Century Gothic"/>
          <w:sz w:val="20"/>
          <w:szCs w:val="20"/>
        </w:rPr>
        <w:t>Geni che alterano la funzione del SNC</w:t>
      </w:r>
    </w:p>
    <w:p w:rsidR="002E4E40" w:rsidRDefault="002E4E40" w:rsidP="002E4E40">
      <w:pPr>
        <w:pStyle w:val="Paragrafoelenco"/>
        <w:numPr>
          <w:ilvl w:val="0"/>
          <w:numId w:val="1"/>
        </w:numPr>
        <w:jc w:val="both"/>
        <w:rPr>
          <w:rFonts w:ascii="Century Gothic" w:hAnsi="Century Gothic"/>
          <w:sz w:val="20"/>
          <w:szCs w:val="20"/>
        </w:rPr>
      </w:pPr>
      <w:r>
        <w:rPr>
          <w:rFonts w:ascii="Century Gothic" w:hAnsi="Century Gothic"/>
          <w:sz w:val="20"/>
          <w:szCs w:val="20"/>
        </w:rPr>
        <w:t>Geni che alterano funzioni periferiche spesso attraverso il tessuto adiposo.</w:t>
      </w:r>
    </w:p>
    <w:p w:rsidR="008E6D49" w:rsidRDefault="008E6D49" w:rsidP="008E6D49">
      <w:pPr>
        <w:jc w:val="both"/>
        <w:rPr>
          <w:rFonts w:ascii="Century Gothic" w:hAnsi="Century Gothic"/>
          <w:sz w:val="20"/>
          <w:szCs w:val="20"/>
        </w:rPr>
      </w:pPr>
      <w:r>
        <w:rPr>
          <w:rFonts w:ascii="Century Gothic" w:hAnsi="Century Gothic"/>
          <w:sz w:val="20"/>
          <w:szCs w:val="20"/>
        </w:rPr>
        <w:t xml:space="preserve">La prima classe è costituita da geni espressi particolarmente nel SNC, particolarmente nell’ipotalamo ed appaiono essere coinvolti nella regolazione della sensazione di appetito. Il gene FTO è una </w:t>
      </w:r>
      <w:proofErr w:type="spellStart"/>
      <w:r>
        <w:rPr>
          <w:rFonts w:ascii="Century Gothic" w:hAnsi="Century Gothic"/>
          <w:sz w:val="20"/>
          <w:szCs w:val="20"/>
        </w:rPr>
        <w:t>demetilasi</w:t>
      </w:r>
      <w:proofErr w:type="spellEnd"/>
      <w:r>
        <w:rPr>
          <w:rFonts w:ascii="Century Gothic" w:hAnsi="Century Gothic"/>
          <w:sz w:val="20"/>
          <w:szCs w:val="20"/>
        </w:rPr>
        <w:t xml:space="preserve"> ed è fortemente espresso nella regione dell’ipotalamo che governa il bilancio energetico ed il comportamento verso il cibo. MC4R il recettore 4 della </w:t>
      </w:r>
      <w:proofErr w:type="spellStart"/>
      <w:r>
        <w:rPr>
          <w:rFonts w:ascii="Century Gothic" w:hAnsi="Century Gothic"/>
          <w:sz w:val="20"/>
          <w:szCs w:val="20"/>
        </w:rPr>
        <w:t>melanocortina</w:t>
      </w:r>
      <w:proofErr w:type="spellEnd"/>
      <w:r>
        <w:rPr>
          <w:rFonts w:ascii="Century Gothic" w:hAnsi="Century Gothic"/>
          <w:sz w:val="20"/>
          <w:szCs w:val="20"/>
        </w:rPr>
        <w:t xml:space="preserve"> è responsabile del 6% di casi di obesità ad insorgenza precoce. Il knockout di questo recettore causa </w:t>
      </w:r>
      <w:proofErr w:type="spellStart"/>
      <w:r>
        <w:rPr>
          <w:rFonts w:ascii="Century Gothic" w:hAnsi="Century Gothic"/>
          <w:sz w:val="20"/>
          <w:szCs w:val="20"/>
        </w:rPr>
        <w:t>iperfagia</w:t>
      </w:r>
      <w:proofErr w:type="spellEnd"/>
      <w:r>
        <w:rPr>
          <w:rFonts w:ascii="Century Gothic" w:hAnsi="Century Gothic"/>
          <w:sz w:val="20"/>
          <w:szCs w:val="20"/>
        </w:rPr>
        <w:t xml:space="preserve">, </w:t>
      </w:r>
      <w:proofErr w:type="spellStart"/>
      <w:r>
        <w:rPr>
          <w:rFonts w:ascii="Century Gothic" w:hAnsi="Century Gothic"/>
          <w:sz w:val="20"/>
          <w:szCs w:val="20"/>
        </w:rPr>
        <w:t>iperinsulinemia</w:t>
      </w:r>
      <w:proofErr w:type="spellEnd"/>
      <w:r>
        <w:rPr>
          <w:rFonts w:ascii="Century Gothic" w:hAnsi="Century Gothic"/>
          <w:sz w:val="20"/>
          <w:szCs w:val="20"/>
        </w:rPr>
        <w:t>, e iperglicemia. Il BDNF brain-</w:t>
      </w:r>
      <w:proofErr w:type="spellStart"/>
      <w:r>
        <w:rPr>
          <w:rFonts w:ascii="Century Gothic" w:hAnsi="Century Gothic"/>
          <w:sz w:val="20"/>
          <w:szCs w:val="20"/>
        </w:rPr>
        <w:t>derived</w:t>
      </w:r>
      <w:proofErr w:type="spellEnd"/>
      <w:r>
        <w:rPr>
          <w:rFonts w:ascii="Century Gothic" w:hAnsi="Century Gothic"/>
          <w:sz w:val="20"/>
          <w:szCs w:val="20"/>
        </w:rPr>
        <w:t xml:space="preserve"> fattore neurotrofico </w:t>
      </w:r>
      <w:r w:rsidR="00C52469">
        <w:rPr>
          <w:rFonts w:ascii="Century Gothic" w:hAnsi="Century Gothic"/>
          <w:sz w:val="20"/>
          <w:szCs w:val="20"/>
        </w:rPr>
        <w:t xml:space="preserve">e la </w:t>
      </w:r>
      <w:proofErr w:type="spellStart"/>
      <w:r w:rsidR="00C52469">
        <w:rPr>
          <w:rFonts w:ascii="Century Gothic" w:hAnsi="Century Gothic"/>
          <w:sz w:val="20"/>
          <w:szCs w:val="20"/>
        </w:rPr>
        <w:t>neurexina</w:t>
      </w:r>
      <w:proofErr w:type="spellEnd"/>
      <w:r w:rsidR="00C52469">
        <w:rPr>
          <w:rFonts w:ascii="Century Gothic" w:hAnsi="Century Gothic"/>
          <w:sz w:val="20"/>
          <w:szCs w:val="20"/>
        </w:rPr>
        <w:t xml:space="preserve"> 3 sono legati all’abuso di sostanze probabilmente interferendo con la trasmissione della dopamina.</w:t>
      </w:r>
    </w:p>
    <w:p w:rsidR="008428EB" w:rsidRPr="008E6D49" w:rsidRDefault="008428EB" w:rsidP="008E6D49">
      <w:pPr>
        <w:jc w:val="both"/>
        <w:rPr>
          <w:rFonts w:ascii="Century Gothic" w:hAnsi="Century Gothic"/>
          <w:sz w:val="20"/>
          <w:szCs w:val="20"/>
        </w:rPr>
      </w:pPr>
      <w:r>
        <w:rPr>
          <w:rFonts w:ascii="Century Gothic" w:hAnsi="Century Gothic"/>
          <w:sz w:val="20"/>
          <w:szCs w:val="20"/>
        </w:rPr>
        <w:t xml:space="preserve">Molti geni sono oggi ritenuti responsabili della eredità poligenica dell’obesità. </w:t>
      </w:r>
      <w:r w:rsidRPr="008428EB">
        <w:rPr>
          <w:rFonts w:ascii="Century Gothic" w:hAnsi="Century Gothic"/>
          <w:b/>
          <w:sz w:val="20"/>
          <w:szCs w:val="20"/>
        </w:rPr>
        <w:t>Il gene NEGR1</w:t>
      </w:r>
      <w:r>
        <w:rPr>
          <w:rFonts w:ascii="Century Gothic" w:hAnsi="Century Gothic"/>
          <w:sz w:val="20"/>
          <w:szCs w:val="20"/>
        </w:rPr>
        <w:t xml:space="preserve"> è un </w:t>
      </w:r>
      <w:r w:rsidRPr="008428EB">
        <w:rPr>
          <w:rFonts w:ascii="Century Gothic" w:hAnsi="Century Gothic"/>
          <w:b/>
          <w:sz w:val="20"/>
          <w:szCs w:val="20"/>
        </w:rPr>
        <w:t>promotore della crescita</w:t>
      </w:r>
      <w:r>
        <w:rPr>
          <w:rFonts w:ascii="Century Gothic" w:hAnsi="Century Gothic"/>
          <w:sz w:val="20"/>
          <w:szCs w:val="20"/>
        </w:rPr>
        <w:t xml:space="preserve"> che partecipa alla crescita dell’assone durante lo sviluppo del cervello. </w:t>
      </w:r>
      <w:r w:rsidRPr="008428EB">
        <w:rPr>
          <w:rFonts w:ascii="Century Gothic" w:hAnsi="Century Gothic"/>
          <w:b/>
          <w:sz w:val="20"/>
          <w:szCs w:val="20"/>
        </w:rPr>
        <w:t>TMEM18</w:t>
      </w:r>
      <w:r>
        <w:rPr>
          <w:rFonts w:ascii="Century Gothic" w:hAnsi="Century Gothic"/>
          <w:sz w:val="20"/>
          <w:szCs w:val="20"/>
        </w:rPr>
        <w:t xml:space="preserve"> è una proteina transmembrana che </w:t>
      </w:r>
      <w:r w:rsidRPr="008428EB">
        <w:rPr>
          <w:rFonts w:ascii="Century Gothic" w:hAnsi="Century Gothic"/>
          <w:b/>
          <w:sz w:val="20"/>
          <w:szCs w:val="20"/>
        </w:rPr>
        <w:t>incrementa la capacità di migrazione delle cellule</w:t>
      </w:r>
      <w:r>
        <w:rPr>
          <w:rFonts w:ascii="Century Gothic" w:hAnsi="Century Gothic"/>
          <w:sz w:val="20"/>
          <w:szCs w:val="20"/>
        </w:rPr>
        <w:t xml:space="preserve"> altamente espresso nell’ipotalamo.</w:t>
      </w:r>
      <w:r w:rsidR="0039025F">
        <w:rPr>
          <w:rFonts w:ascii="Century Gothic" w:hAnsi="Century Gothic"/>
          <w:sz w:val="20"/>
          <w:szCs w:val="20"/>
        </w:rPr>
        <w:t xml:space="preserve"> </w:t>
      </w:r>
      <w:r w:rsidR="0039025F" w:rsidRPr="007A4698">
        <w:rPr>
          <w:rFonts w:ascii="Century Gothic" w:hAnsi="Century Gothic"/>
          <w:b/>
          <w:sz w:val="20"/>
          <w:szCs w:val="20"/>
        </w:rPr>
        <w:t>KCTD15</w:t>
      </w:r>
      <w:r w:rsidR="0039025F">
        <w:rPr>
          <w:rFonts w:ascii="Century Gothic" w:hAnsi="Century Gothic"/>
          <w:sz w:val="20"/>
          <w:szCs w:val="20"/>
        </w:rPr>
        <w:t xml:space="preserve"> canale del potassio, </w:t>
      </w:r>
      <w:r w:rsidR="0039025F" w:rsidRPr="007A4698">
        <w:rPr>
          <w:rFonts w:ascii="Century Gothic" w:hAnsi="Century Gothic"/>
          <w:b/>
          <w:sz w:val="20"/>
          <w:szCs w:val="20"/>
        </w:rPr>
        <w:t>MTCH2</w:t>
      </w:r>
      <w:r w:rsidR="0039025F">
        <w:rPr>
          <w:rFonts w:ascii="Century Gothic" w:hAnsi="Century Gothic"/>
          <w:sz w:val="20"/>
          <w:szCs w:val="20"/>
        </w:rPr>
        <w:t xml:space="preserve"> </w:t>
      </w:r>
      <w:proofErr w:type="spellStart"/>
      <w:r w:rsidR="0039025F">
        <w:rPr>
          <w:rFonts w:ascii="Century Gothic" w:hAnsi="Century Gothic"/>
          <w:sz w:val="20"/>
          <w:szCs w:val="20"/>
        </w:rPr>
        <w:t>carrier</w:t>
      </w:r>
      <w:proofErr w:type="spellEnd"/>
      <w:r w:rsidR="0039025F">
        <w:rPr>
          <w:rFonts w:ascii="Century Gothic" w:hAnsi="Century Gothic"/>
          <w:sz w:val="20"/>
          <w:szCs w:val="20"/>
        </w:rPr>
        <w:t xml:space="preserve"> mitocondriale, FAIM2, </w:t>
      </w:r>
      <w:r w:rsidR="0039025F" w:rsidRPr="007A4698">
        <w:rPr>
          <w:rFonts w:ascii="Century Gothic" w:hAnsi="Century Gothic"/>
          <w:b/>
          <w:sz w:val="20"/>
          <w:szCs w:val="20"/>
        </w:rPr>
        <w:t xml:space="preserve">PRL </w:t>
      </w:r>
      <w:proofErr w:type="spellStart"/>
      <w:r w:rsidR="0039025F">
        <w:rPr>
          <w:rFonts w:ascii="Century Gothic" w:hAnsi="Century Gothic"/>
          <w:sz w:val="20"/>
          <w:szCs w:val="20"/>
        </w:rPr>
        <w:t>etc</w:t>
      </w:r>
      <w:proofErr w:type="spellEnd"/>
      <w:r w:rsidR="0039025F">
        <w:rPr>
          <w:rFonts w:ascii="Century Gothic" w:hAnsi="Century Gothic"/>
          <w:sz w:val="20"/>
          <w:szCs w:val="20"/>
        </w:rPr>
        <w:t xml:space="preserve"> sembrano tutti geni coinvolti nella suscettibilità all’obesità attraverso effetti mediati dal SNC.</w:t>
      </w:r>
    </w:p>
    <w:p w:rsidR="00D6114B" w:rsidRDefault="00D6114B">
      <w:pPr>
        <w:rPr>
          <w:rFonts w:ascii="Century Gothic" w:hAnsi="Century Gothic"/>
          <w:sz w:val="20"/>
          <w:szCs w:val="20"/>
        </w:rPr>
      </w:pPr>
    </w:p>
    <w:p w:rsidR="00D6114B" w:rsidRDefault="00D6114B">
      <w:pPr>
        <w:rPr>
          <w:rFonts w:ascii="Century Gothic" w:hAnsi="Century Gothic"/>
          <w:sz w:val="20"/>
          <w:szCs w:val="20"/>
        </w:rPr>
      </w:pPr>
    </w:p>
    <w:p w:rsidR="00D6114B" w:rsidRDefault="00D6114B">
      <w:pPr>
        <w:rPr>
          <w:rFonts w:ascii="Century Gothic" w:hAnsi="Century Gothic"/>
          <w:sz w:val="20"/>
          <w:szCs w:val="20"/>
        </w:rPr>
      </w:pPr>
      <w:r>
        <w:rPr>
          <w:rFonts w:ascii="Century Gothic" w:hAnsi="Century Gothic"/>
          <w:sz w:val="20"/>
          <w:szCs w:val="20"/>
        </w:rPr>
        <w:t>Alt</w:t>
      </w:r>
    </w:p>
    <w:p w:rsidR="00D6114B" w:rsidRDefault="00D6114B">
      <w:pPr>
        <w:rPr>
          <w:rFonts w:ascii="Century Gothic" w:hAnsi="Century Gothic"/>
          <w:sz w:val="20"/>
          <w:szCs w:val="20"/>
        </w:rPr>
      </w:pPr>
    </w:p>
    <w:p w:rsidR="00E02E0D" w:rsidRDefault="008428EB">
      <w:pPr>
        <w:rPr>
          <w:rFonts w:ascii="Century Gothic" w:hAnsi="Century Gothic"/>
          <w:sz w:val="20"/>
          <w:szCs w:val="20"/>
        </w:rPr>
      </w:pPr>
      <w:r w:rsidRPr="008428EB">
        <w:drawing>
          <wp:inline distT="0" distB="0" distL="0" distR="0" wp14:anchorId="0A23258A" wp14:editId="6B9F52D8">
            <wp:extent cx="5976194" cy="4038600"/>
            <wp:effectExtent l="0" t="0" r="571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006121" cy="4058824"/>
                    </a:xfrm>
                    <a:prstGeom prst="rect">
                      <a:avLst/>
                    </a:prstGeom>
                  </pic:spPr>
                </pic:pic>
              </a:graphicData>
            </a:graphic>
          </wp:inline>
        </w:drawing>
      </w:r>
    </w:p>
    <w:p w:rsidR="00D6114B" w:rsidRDefault="00D6114B">
      <w:pPr>
        <w:rPr>
          <w:rFonts w:ascii="Century Gothic" w:hAnsi="Century Gothic"/>
          <w:sz w:val="20"/>
          <w:szCs w:val="20"/>
        </w:rPr>
      </w:pPr>
    </w:p>
    <w:p w:rsidR="00D6114B" w:rsidRPr="0088329F" w:rsidRDefault="00D6114B" w:rsidP="00F8794B">
      <w:pPr>
        <w:jc w:val="both"/>
        <w:rPr>
          <w:rFonts w:ascii="Century Gothic" w:hAnsi="Century Gothic"/>
          <w:sz w:val="20"/>
          <w:szCs w:val="20"/>
        </w:rPr>
      </w:pPr>
      <w:r>
        <w:rPr>
          <w:rFonts w:ascii="Century Gothic" w:hAnsi="Century Gothic"/>
          <w:sz w:val="20"/>
          <w:szCs w:val="20"/>
        </w:rPr>
        <w:t xml:space="preserve">Altri geni della suscettibilità che sono emersi in seguito ad analisi GWAS possono operare in maniera periferica. Sono primariamente responsabili della distribuzione </w:t>
      </w:r>
      <w:r w:rsidR="00F8794B">
        <w:rPr>
          <w:rFonts w:ascii="Century Gothic" w:hAnsi="Century Gothic"/>
          <w:sz w:val="20"/>
          <w:szCs w:val="20"/>
        </w:rPr>
        <w:t xml:space="preserve">e del metabolismo </w:t>
      </w:r>
      <w:proofErr w:type="gramStart"/>
      <w:r>
        <w:rPr>
          <w:rFonts w:ascii="Century Gothic" w:hAnsi="Century Gothic"/>
          <w:sz w:val="20"/>
          <w:szCs w:val="20"/>
        </w:rPr>
        <w:t>de</w:t>
      </w:r>
      <w:r w:rsidR="00F8794B">
        <w:rPr>
          <w:rFonts w:ascii="Century Gothic" w:hAnsi="Century Gothic"/>
          <w:sz w:val="20"/>
          <w:szCs w:val="20"/>
        </w:rPr>
        <w:t>i</w:t>
      </w:r>
      <w:r>
        <w:rPr>
          <w:rFonts w:ascii="Century Gothic" w:hAnsi="Century Gothic"/>
          <w:sz w:val="20"/>
          <w:szCs w:val="20"/>
        </w:rPr>
        <w:t xml:space="preserve"> grasso</w:t>
      </w:r>
      <w:proofErr w:type="gramEnd"/>
      <w:r>
        <w:rPr>
          <w:rFonts w:ascii="Century Gothic" w:hAnsi="Century Gothic"/>
          <w:sz w:val="20"/>
          <w:szCs w:val="20"/>
        </w:rPr>
        <w:t xml:space="preserve">. Fra questi citiamo TFAP2B espresso nel tessuto adiposo coinvolto nell’accumulo dei lipidi, nel trasporto del glucosio e nella espressione della </w:t>
      </w:r>
      <w:proofErr w:type="spellStart"/>
      <w:r>
        <w:rPr>
          <w:rFonts w:ascii="Century Gothic" w:hAnsi="Century Gothic"/>
          <w:sz w:val="20"/>
          <w:szCs w:val="20"/>
        </w:rPr>
        <w:t>adiponectina</w:t>
      </w:r>
      <w:proofErr w:type="spellEnd"/>
      <w:r>
        <w:rPr>
          <w:rFonts w:ascii="Century Gothic" w:hAnsi="Century Gothic"/>
          <w:sz w:val="20"/>
          <w:szCs w:val="20"/>
        </w:rPr>
        <w:t>.</w:t>
      </w:r>
      <w:r w:rsidR="00F8794B">
        <w:rPr>
          <w:rFonts w:ascii="Century Gothic" w:hAnsi="Century Gothic"/>
          <w:sz w:val="20"/>
          <w:szCs w:val="20"/>
        </w:rPr>
        <w:t xml:space="preserve"> </w:t>
      </w:r>
      <w:r w:rsidR="00986B1F">
        <w:rPr>
          <w:rFonts w:ascii="Century Gothic" w:hAnsi="Century Gothic"/>
          <w:sz w:val="20"/>
          <w:szCs w:val="20"/>
        </w:rPr>
        <w:t>In conclusione sembra che i disordini monogenici puntano al controllo dell’obesità a livello del sistema nervoso centrale mentre altri operano a livello periferico sulla distribuzione dei grassi.</w:t>
      </w:r>
      <w:r w:rsidR="004D382C">
        <w:rPr>
          <w:rFonts w:ascii="Century Gothic" w:hAnsi="Century Gothic"/>
          <w:sz w:val="20"/>
          <w:szCs w:val="20"/>
        </w:rPr>
        <w:t xml:space="preserve"> Alcune delle associazioni emerse indicano loci che sono in deserti di geni e non-coding </w:t>
      </w:r>
      <w:proofErr w:type="spellStart"/>
      <w:r w:rsidR="004D382C">
        <w:rPr>
          <w:rFonts w:ascii="Century Gothic" w:hAnsi="Century Gothic"/>
          <w:sz w:val="20"/>
          <w:szCs w:val="20"/>
        </w:rPr>
        <w:t>region</w:t>
      </w:r>
      <w:proofErr w:type="spellEnd"/>
      <w:r w:rsidR="004D382C">
        <w:rPr>
          <w:rFonts w:ascii="Century Gothic" w:hAnsi="Century Gothic"/>
          <w:sz w:val="20"/>
          <w:szCs w:val="20"/>
        </w:rPr>
        <w:t xml:space="preserve"> complicando ulteriormente l’identificazione dei geni causali.</w:t>
      </w:r>
      <w:bookmarkStart w:id="0" w:name="_GoBack"/>
      <w:bookmarkEnd w:id="0"/>
    </w:p>
    <w:sectPr w:rsidR="00D6114B" w:rsidRPr="0088329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87069D"/>
    <w:multiLevelType w:val="hybridMultilevel"/>
    <w:tmpl w:val="74069DC4"/>
    <w:lvl w:ilvl="0" w:tplc="98766B0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62C"/>
    <w:rsid w:val="00041BF6"/>
    <w:rsid w:val="00043336"/>
    <w:rsid w:val="00052C59"/>
    <w:rsid w:val="00065AE6"/>
    <w:rsid w:val="0009758A"/>
    <w:rsid w:val="000A49A9"/>
    <w:rsid w:val="000D47F3"/>
    <w:rsid w:val="000F7B64"/>
    <w:rsid w:val="00100461"/>
    <w:rsid w:val="00102D5C"/>
    <w:rsid w:val="001E4FFD"/>
    <w:rsid w:val="00237D96"/>
    <w:rsid w:val="002479BC"/>
    <w:rsid w:val="002562B6"/>
    <w:rsid w:val="002E43C5"/>
    <w:rsid w:val="002E4E40"/>
    <w:rsid w:val="002F0D1D"/>
    <w:rsid w:val="00320F20"/>
    <w:rsid w:val="00320FA8"/>
    <w:rsid w:val="00334EB8"/>
    <w:rsid w:val="0039025F"/>
    <w:rsid w:val="003C3B7F"/>
    <w:rsid w:val="003D3C99"/>
    <w:rsid w:val="003E0399"/>
    <w:rsid w:val="003E5C7A"/>
    <w:rsid w:val="00423E4C"/>
    <w:rsid w:val="00425707"/>
    <w:rsid w:val="00425E5F"/>
    <w:rsid w:val="00451EEA"/>
    <w:rsid w:val="00480964"/>
    <w:rsid w:val="004D382C"/>
    <w:rsid w:val="004E6AA8"/>
    <w:rsid w:val="00522A9F"/>
    <w:rsid w:val="0052762C"/>
    <w:rsid w:val="00544DA6"/>
    <w:rsid w:val="00555F4A"/>
    <w:rsid w:val="00556433"/>
    <w:rsid w:val="005D761A"/>
    <w:rsid w:val="005D7B51"/>
    <w:rsid w:val="005E2121"/>
    <w:rsid w:val="00676F7E"/>
    <w:rsid w:val="00716057"/>
    <w:rsid w:val="00722F3A"/>
    <w:rsid w:val="0076215F"/>
    <w:rsid w:val="00764624"/>
    <w:rsid w:val="007674D2"/>
    <w:rsid w:val="00785D70"/>
    <w:rsid w:val="007A4698"/>
    <w:rsid w:val="007B3346"/>
    <w:rsid w:val="007D3030"/>
    <w:rsid w:val="007E2E91"/>
    <w:rsid w:val="00803817"/>
    <w:rsid w:val="008428EB"/>
    <w:rsid w:val="0088329F"/>
    <w:rsid w:val="008B31DF"/>
    <w:rsid w:val="008B4429"/>
    <w:rsid w:val="008E5A1A"/>
    <w:rsid w:val="008E6D49"/>
    <w:rsid w:val="009110E5"/>
    <w:rsid w:val="0093387B"/>
    <w:rsid w:val="009816B5"/>
    <w:rsid w:val="00986B1F"/>
    <w:rsid w:val="009B051B"/>
    <w:rsid w:val="009C2F2B"/>
    <w:rsid w:val="00A10026"/>
    <w:rsid w:val="00A50555"/>
    <w:rsid w:val="00AA70B3"/>
    <w:rsid w:val="00B1388D"/>
    <w:rsid w:val="00BC122A"/>
    <w:rsid w:val="00BD615E"/>
    <w:rsid w:val="00C1056B"/>
    <w:rsid w:val="00C52469"/>
    <w:rsid w:val="00C55377"/>
    <w:rsid w:val="00CF02F5"/>
    <w:rsid w:val="00D344AA"/>
    <w:rsid w:val="00D6114B"/>
    <w:rsid w:val="00D83C45"/>
    <w:rsid w:val="00DA6C17"/>
    <w:rsid w:val="00DB1187"/>
    <w:rsid w:val="00DB3688"/>
    <w:rsid w:val="00DC05BA"/>
    <w:rsid w:val="00DF01E6"/>
    <w:rsid w:val="00E02E0D"/>
    <w:rsid w:val="00E04A65"/>
    <w:rsid w:val="00E40384"/>
    <w:rsid w:val="00E83C0C"/>
    <w:rsid w:val="00EA73DA"/>
    <w:rsid w:val="00EF4906"/>
    <w:rsid w:val="00F01F38"/>
    <w:rsid w:val="00F8794B"/>
    <w:rsid w:val="00F9088B"/>
    <w:rsid w:val="00FC495F"/>
    <w:rsid w:val="00FD5AC2"/>
    <w:rsid w:val="00FF639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4EC16"/>
  <w15:chartTrackingRefBased/>
  <w15:docId w15:val="{F9093B13-1E49-47F6-892F-CA9F46707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E02E0D"/>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5D7B51"/>
    <w:rPr>
      <w:color w:val="0000FF"/>
      <w:u w:val="single"/>
    </w:rPr>
  </w:style>
  <w:style w:type="paragraph" w:styleId="Paragrafoelenco">
    <w:name w:val="List Paragraph"/>
    <w:basedOn w:val="Normale"/>
    <w:uiPriority w:val="34"/>
    <w:qFormat/>
    <w:rsid w:val="002E4E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4400232">
      <w:bodyDiv w:val="1"/>
      <w:marLeft w:val="0"/>
      <w:marRight w:val="0"/>
      <w:marTop w:val="0"/>
      <w:marBottom w:val="0"/>
      <w:divBdr>
        <w:top w:val="none" w:sz="0" w:space="0" w:color="auto"/>
        <w:left w:val="none" w:sz="0" w:space="0" w:color="auto"/>
        <w:bottom w:val="none" w:sz="0" w:space="0" w:color="auto"/>
        <w:right w:val="none" w:sz="0" w:space="0" w:color="auto"/>
      </w:divBdr>
    </w:div>
    <w:div w:id="1632247550">
      <w:bodyDiv w:val="1"/>
      <w:marLeft w:val="0"/>
      <w:marRight w:val="0"/>
      <w:marTop w:val="0"/>
      <w:marBottom w:val="0"/>
      <w:divBdr>
        <w:top w:val="none" w:sz="0" w:space="0" w:color="auto"/>
        <w:left w:val="none" w:sz="0" w:space="0" w:color="auto"/>
        <w:bottom w:val="none" w:sz="0" w:space="0" w:color="auto"/>
        <w:right w:val="none" w:sz="0" w:space="0" w:color="auto"/>
      </w:divBdr>
    </w:div>
    <w:div w:id="2071347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871</TotalTime>
  <Pages>4</Pages>
  <Words>1740</Words>
  <Characters>9921</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Viola</dc:creator>
  <cp:keywords/>
  <dc:description/>
  <cp:lastModifiedBy>Viola</cp:lastModifiedBy>
  <cp:revision>71</cp:revision>
  <dcterms:created xsi:type="dcterms:W3CDTF">2018-11-02T06:05:00Z</dcterms:created>
  <dcterms:modified xsi:type="dcterms:W3CDTF">2018-11-03T16:40:00Z</dcterms:modified>
</cp:coreProperties>
</file>