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612F7" w14:textId="77777777" w:rsidR="00184CB8" w:rsidRDefault="00184CB8" w:rsidP="00184CB8">
      <w:pPr>
        <w:autoSpaceDE w:val="0"/>
        <w:autoSpaceDN w:val="0"/>
        <w:adjustRightInd w:val="0"/>
        <w:spacing w:after="0" w:line="240" w:lineRule="auto"/>
        <w:jc w:val="both"/>
        <w:rPr>
          <w:rFonts w:ascii="Garamond" w:hAnsi="Garamond" w:cs="AdvTT5843c571"/>
          <w:kern w:val="0"/>
          <w:sz w:val="28"/>
          <w:szCs w:val="28"/>
        </w:rPr>
      </w:pPr>
      <w:r w:rsidRPr="006F733A">
        <w:rPr>
          <w:rFonts w:ascii="Garamond" w:hAnsi="Garamond" w:cs="AdvTT5843c571"/>
          <w:kern w:val="0"/>
          <w:sz w:val="28"/>
          <w:szCs w:val="28"/>
        </w:rPr>
        <w:t>L’art. 3, co</w:t>
      </w:r>
      <w:r>
        <w:rPr>
          <w:rFonts w:ascii="Garamond" w:hAnsi="Garamond" w:cs="AdvTT5843c571"/>
          <w:kern w:val="0"/>
          <w:sz w:val="28"/>
          <w:szCs w:val="28"/>
        </w:rPr>
        <w:t>mma</w:t>
      </w:r>
      <w:r w:rsidRPr="006F733A">
        <w:rPr>
          <w:rFonts w:ascii="Garamond" w:hAnsi="Garamond" w:cs="AdvTT5843c571"/>
          <w:kern w:val="0"/>
          <w:sz w:val="28"/>
          <w:szCs w:val="28"/>
        </w:rPr>
        <w:t xml:space="preserve"> 33, d.lgs. n. 149/2022 ha introdotto nel Libro II</w:t>
      </w:r>
      <w:r>
        <w:rPr>
          <w:rFonts w:ascii="Garamond" w:hAnsi="Garamond" w:cs="AdvTT5843c571"/>
          <w:kern w:val="0"/>
          <w:sz w:val="28"/>
          <w:szCs w:val="28"/>
        </w:rPr>
        <w:t xml:space="preserve"> </w:t>
      </w:r>
      <w:r w:rsidRPr="006F733A">
        <w:rPr>
          <w:rFonts w:ascii="Garamond" w:hAnsi="Garamond" w:cs="AdvTT5843c571"/>
          <w:kern w:val="0"/>
          <w:sz w:val="28"/>
          <w:szCs w:val="28"/>
        </w:rPr>
        <w:t xml:space="preserve">del </w:t>
      </w:r>
      <w:proofErr w:type="gramStart"/>
      <w:r w:rsidRPr="006F733A">
        <w:rPr>
          <w:rFonts w:ascii="Garamond" w:hAnsi="Garamond" w:cs="AdvTT5843c571"/>
          <w:kern w:val="0"/>
          <w:sz w:val="28"/>
          <w:szCs w:val="28"/>
        </w:rPr>
        <w:t>codice di procedura civile</w:t>
      </w:r>
      <w:proofErr w:type="gramEnd"/>
      <w:r w:rsidRPr="006F733A">
        <w:rPr>
          <w:rFonts w:ascii="Garamond" w:hAnsi="Garamond" w:cs="AdvTT5843c571"/>
          <w:kern w:val="0"/>
          <w:sz w:val="28"/>
          <w:szCs w:val="28"/>
        </w:rPr>
        <w:t xml:space="preserve"> un nuovo Titolo IV-</w:t>
      </w:r>
      <w:r w:rsidRPr="006F733A">
        <w:rPr>
          <w:rFonts w:ascii="Garamond" w:hAnsi="Garamond" w:cs="AdvTTf5341347.I"/>
          <w:kern w:val="0"/>
          <w:sz w:val="28"/>
          <w:szCs w:val="28"/>
        </w:rPr>
        <w:t xml:space="preserve">bis </w:t>
      </w:r>
      <w:r w:rsidRPr="006F733A">
        <w:rPr>
          <w:rFonts w:ascii="Garamond" w:hAnsi="Garamond" w:cs="AdvTT5843c571"/>
          <w:kern w:val="0"/>
          <w:sz w:val="28"/>
          <w:szCs w:val="28"/>
        </w:rPr>
        <w:t>(</w:t>
      </w:r>
      <w:r w:rsidRPr="006F733A">
        <w:rPr>
          <w:rFonts w:ascii="Garamond" w:hAnsi="Garamond" w:cs="AdvTTf5341347.I"/>
          <w:kern w:val="0"/>
          <w:sz w:val="28"/>
          <w:szCs w:val="28"/>
        </w:rPr>
        <w:t>Norme</w:t>
      </w:r>
      <w:r>
        <w:rPr>
          <w:rFonts w:ascii="Garamond" w:hAnsi="Garamond" w:cs="AdvTT5843c571"/>
          <w:kern w:val="0"/>
          <w:sz w:val="28"/>
          <w:szCs w:val="28"/>
        </w:rPr>
        <w:t xml:space="preserve"> </w:t>
      </w:r>
      <w:r w:rsidRPr="006F733A">
        <w:rPr>
          <w:rFonts w:ascii="Garamond" w:hAnsi="Garamond" w:cs="AdvTTf5341347.I"/>
          <w:kern w:val="0"/>
          <w:sz w:val="28"/>
          <w:szCs w:val="28"/>
        </w:rPr>
        <w:t>per il procedimento in materia di persone,</w:t>
      </w:r>
      <w:r>
        <w:rPr>
          <w:rFonts w:ascii="Garamond" w:hAnsi="Garamond" w:cs="AdvTTf5341347.I"/>
          <w:kern w:val="0"/>
          <w:sz w:val="28"/>
          <w:szCs w:val="28"/>
        </w:rPr>
        <w:t xml:space="preserve"> </w:t>
      </w:r>
      <w:r w:rsidRPr="006F733A">
        <w:rPr>
          <w:rFonts w:ascii="Garamond" w:hAnsi="Garamond" w:cs="AdvTTf5341347.I"/>
          <w:kern w:val="0"/>
          <w:sz w:val="28"/>
          <w:szCs w:val="28"/>
        </w:rPr>
        <w:t>minorenni e famiglie</w:t>
      </w:r>
      <w:r w:rsidRPr="006F733A">
        <w:rPr>
          <w:rFonts w:ascii="Garamond" w:hAnsi="Garamond" w:cs="AdvTT5843c571"/>
          <w:kern w:val="0"/>
          <w:sz w:val="28"/>
          <w:szCs w:val="28"/>
        </w:rPr>
        <w:t>)</w:t>
      </w:r>
      <w:r>
        <w:rPr>
          <w:rFonts w:ascii="Garamond" w:hAnsi="Garamond" w:cs="AdvTT5843c571"/>
          <w:kern w:val="0"/>
          <w:sz w:val="28"/>
          <w:szCs w:val="28"/>
        </w:rPr>
        <w:t xml:space="preserve"> </w:t>
      </w:r>
      <w:r w:rsidRPr="006F733A">
        <w:rPr>
          <w:rFonts w:ascii="Garamond" w:hAnsi="Garamond" w:cs="AdvTT5843c571"/>
          <w:kern w:val="0"/>
          <w:sz w:val="28"/>
          <w:szCs w:val="28"/>
        </w:rPr>
        <w:t>ripartito in quattro Capi che raccolgono ottanta articoli che sono</w:t>
      </w:r>
      <w:r>
        <w:rPr>
          <w:rFonts w:ascii="Garamond" w:hAnsi="Garamond" w:cs="AdvTT5843c571"/>
          <w:kern w:val="0"/>
          <w:sz w:val="28"/>
          <w:szCs w:val="28"/>
        </w:rPr>
        <w:t xml:space="preserve"> </w:t>
      </w:r>
      <w:r w:rsidRPr="006F733A">
        <w:rPr>
          <w:rFonts w:ascii="Garamond" w:hAnsi="Garamond" w:cs="AdvTT5843c571"/>
          <w:kern w:val="0"/>
          <w:sz w:val="28"/>
          <w:szCs w:val="28"/>
        </w:rPr>
        <w:t>funzionali a realizzare la tutela dell</w:t>
      </w:r>
      <w:r w:rsidRPr="006F733A">
        <w:rPr>
          <w:rFonts w:ascii="Garamond" w:hAnsi="Garamond" w:cs="AdvTT5843c571+20"/>
          <w:kern w:val="0"/>
          <w:sz w:val="28"/>
          <w:szCs w:val="28"/>
        </w:rPr>
        <w:t>’</w:t>
      </w:r>
      <w:r w:rsidRPr="006F733A">
        <w:rPr>
          <w:rFonts w:ascii="Garamond" w:hAnsi="Garamond" w:cs="AdvTT5843c571"/>
          <w:kern w:val="0"/>
          <w:sz w:val="28"/>
          <w:szCs w:val="28"/>
        </w:rPr>
        <w:t>interesse superiore del minore.</w:t>
      </w:r>
    </w:p>
    <w:p w14:paraId="37BC6EA6" w14:textId="77777777" w:rsidR="00184CB8" w:rsidRDefault="00184CB8" w:rsidP="00184CB8">
      <w:pPr>
        <w:autoSpaceDE w:val="0"/>
        <w:autoSpaceDN w:val="0"/>
        <w:adjustRightInd w:val="0"/>
        <w:spacing w:after="0" w:line="240" w:lineRule="auto"/>
        <w:jc w:val="both"/>
        <w:rPr>
          <w:rFonts w:ascii="Garamond" w:hAnsi="Garamond" w:cs="AdvTT5843c571"/>
          <w:kern w:val="0"/>
          <w:sz w:val="28"/>
          <w:szCs w:val="28"/>
        </w:rPr>
      </w:pPr>
      <w:r w:rsidRPr="006F733A">
        <w:rPr>
          <w:rFonts w:ascii="Garamond" w:hAnsi="Garamond" w:cs="AdvTT5843c571"/>
          <w:kern w:val="0"/>
          <w:sz w:val="28"/>
          <w:szCs w:val="28"/>
        </w:rPr>
        <w:t>Il Capo I (</w:t>
      </w:r>
      <w:r w:rsidRPr="006F733A">
        <w:rPr>
          <w:rFonts w:ascii="Garamond" w:hAnsi="Garamond" w:cs="AdvTTf5341347.I"/>
          <w:kern w:val="0"/>
          <w:sz w:val="28"/>
          <w:szCs w:val="28"/>
        </w:rPr>
        <w:t>Disposizioni generali</w:t>
      </w:r>
      <w:r w:rsidRPr="006F733A">
        <w:rPr>
          <w:rFonts w:ascii="Garamond" w:hAnsi="Garamond" w:cs="AdvTT5843c571"/>
          <w:kern w:val="0"/>
          <w:sz w:val="28"/>
          <w:szCs w:val="28"/>
        </w:rPr>
        <w:t>) è composto dagli artt. 473-</w:t>
      </w:r>
      <w:r>
        <w:rPr>
          <w:rFonts w:ascii="Garamond" w:hAnsi="Garamond" w:cs="AdvTT5843c571"/>
          <w:kern w:val="0"/>
          <w:sz w:val="28"/>
          <w:szCs w:val="28"/>
        </w:rPr>
        <w:t xml:space="preserve"> </w:t>
      </w:r>
      <w:r w:rsidRPr="006F733A">
        <w:rPr>
          <w:rFonts w:ascii="Garamond" w:hAnsi="Garamond" w:cs="AdvTTf5341347.I"/>
          <w:kern w:val="0"/>
          <w:sz w:val="28"/>
          <w:szCs w:val="28"/>
        </w:rPr>
        <w:t>bis</w:t>
      </w:r>
      <w:r w:rsidRPr="006F733A">
        <w:rPr>
          <w:rFonts w:ascii="Garamond" w:hAnsi="Garamond" w:cs="AdvTT5843c571"/>
          <w:kern w:val="0"/>
          <w:sz w:val="28"/>
          <w:szCs w:val="28"/>
        </w:rPr>
        <w:t>-473-</w:t>
      </w:r>
      <w:r w:rsidRPr="006F733A">
        <w:rPr>
          <w:rFonts w:ascii="Garamond" w:hAnsi="Garamond" w:cs="AdvTTf5341347.I"/>
          <w:kern w:val="0"/>
          <w:sz w:val="28"/>
          <w:szCs w:val="28"/>
        </w:rPr>
        <w:t>bis</w:t>
      </w:r>
      <w:r w:rsidRPr="006F733A">
        <w:rPr>
          <w:rFonts w:ascii="Garamond" w:hAnsi="Garamond" w:cs="AdvTT5843c571"/>
          <w:kern w:val="0"/>
          <w:sz w:val="28"/>
          <w:szCs w:val="28"/>
        </w:rPr>
        <w:t>.10 che individuano l</w:t>
      </w:r>
      <w:r w:rsidRPr="006F733A">
        <w:rPr>
          <w:rFonts w:ascii="Garamond" w:hAnsi="Garamond" w:cs="AdvTT5843c571+20"/>
          <w:kern w:val="0"/>
          <w:sz w:val="28"/>
          <w:szCs w:val="28"/>
        </w:rPr>
        <w:t>’</w:t>
      </w:r>
      <w:r w:rsidRPr="006F733A">
        <w:rPr>
          <w:rFonts w:ascii="Garamond" w:hAnsi="Garamond" w:cs="AdvTT5843c571"/>
          <w:kern w:val="0"/>
          <w:sz w:val="28"/>
          <w:szCs w:val="28"/>
        </w:rPr>
        <w:t>ampio ambito applicativo del</w:t>
      </w:r>
      <w:r>
        <w:rPr>
          <w:rFonts w:ascii="Garamond" w:hAnsi="Garamond" w:cs="AdvTT5843c571"/>
          <w:kern w:val="0"/>
          <w:sz w:val="28"/>
          <w:szCs w:val="28"/>
        </w:rPr>
        <w:t xml:space="preserve"> </w:t>
      </w:r>
      <w:r w:rsidRPr="006F733A">
        <w:rPr>
          <w:rFonts w:ascii="Garamond" w:hAnsi="Garamond" w:cs="AdvTT5843c571"/>
          <w:kern w:val="0"/>
          <w:sz w:val="28"/>
          <w:szCs w:val="28"/>
        </w:rPr>
        <w:t>nuovo rito e dettano una disciplina organica dei poteri del giudice</w:t>
      </w:r>
      <w:r>
        <w:rPr>
          <w:rFonts w:ascii="Garamond" w:hAnsi="Garamond" w:cs="AdvTT5843c571"/>
          <w:kern w:val="0"/>
          <w:sz w:val="28"/>
          <w:szCs w:val="28"/>
        </w:rPr>
        <w:t xml:space="preserve"> </w:t>
      </w:r>
      <w:r w:rsidRPr="006F733A">
        <w:rPr>
          <w:rFonts w:ascii="Garamond" w:hAnsi="Garamond" w:cs="AdvTT5843c571"/>
          <w:kern w:val="0"/>
          <w:sz w:val="28"/>
          <w:szCs w:val="28"/>
        </w:rPr>
        <w:t>e del pubblico ministero, dell</w:t>
      </w:r>
      <w:r w:rsidRPr="006F733A">
        <w:rPr>
          <w:rFonts w:ascii="Garamond" w:hAnsi="Garamond" w:cs="AdvTT5843c571+20"/>
          <w:kern w:val="0"/>
          <w:sz w:val="28"/>
          <w:szCs w:val="28"/>
        </w:rPr>
        <w:t>’</w:t>
      </w:r>
      <w:r w:rsidRPr="006F733A">
        <w:rPr>
          <w:rFonts w:ascii="Garamond" w:hAnsi="Garamond" w:cs="AdvTT5843c571"/>
          <w:kern w:val="0"/>
          <w:sz w:val="28"/>
          <w:szCs w:val="28"/>
        </w:rPr>
        <w:t>ascolto del minore, del curatore</w:t>
      </w:r>
      <w:r>
        <w:rPr>
          <w:rFonts w:ascii="Garamond" w:hAnsi="Garamond" w:cs="AdvTT5843c571"/>
          <w:kern w:val="0"/>
          <w:sz w:val="28"/>
          <w:szCs w:val="28"/>
        </w:rPr>
        <w:t xml:space="preserve"> </w:t>
      </w:r>
      <w:r w:rsidRPr="006F733A">
        <w:rPr>
          <w:rFonts w:ascii="Garamond" w:hAnsi="Garamond" w:cs="AdvTT5843c571"/>
          <w:kern w:val="0"/>
          <w:sz w:val="28"/>
          <w:szCs w:val="28"/>
        </w:rPr>
        <w:t>speciale del minore e della mediazione familiare. Il Capo II (</w:t>
      </w:r>
      <w:r w:rsidRPr="006F733A">
        <w:rPr>
          <w:rFonts w:ascii="Garamond" w:hAnsi="Garamond" w:cs="AdvTTf5341347.I"/>
          <w:kern w:val="0"/>
          <w:sz w:val="28"/>
          <w:szCs w:val="28"/>
        </w:rPr>
        <w:t>Del</w:t>
      </w:r>
      <w:r>
        <w:rPr>
          <w:rFonts w:ascii="Garamond" w:hAnsi="Garamond" w:cs="AdvTT5843c571"/>
          <w:kern w:val="0"/>
          <w:sz w:val="28"/>
          <w:szCs w:val="28"/>
        </w:rPr>
        <w:t xml:space="preserve"> </w:t>
      </w:r>
      <w:r w:rsidRPr="006F733A">
        <w:rPr>
          <w:rFonts w:ascii="Garamond" w:hAnsi="Garamond" w:cs="AdvTTf5341347.I"/>
          <w:kern w:val="0"/>
          <w:sz w:val="28"/>
          <w:szCs w:val="28"/>
        </w:rPr>
        <w:t>procedimento</w:t>
      </w:r>
      <w:r w:rsidRPr="006F733A">
        <w:rPr>
          <w:rFonts w:ascii="Garamond" w:hAnsi="Garamond" w:cs="AdvTT5843c571"/>
          <w:kern w:val="0"/>
          <w:sz w:val="28"/>
          <w:szCs w:val="28"/>
        </w:rPr>
        <w:t>) con gli artt. 473-</w:t>
      </w:r>
      <w:r w:rsidRPr="006F733A">
        <w:rPr>
          <w:rFonts w:ascii="Garamond" w:hAnsi="Garamond" w:cs="AdvTTf5341347.I"/>
          <w:kern w:val="0"/>
          <w:sz w:val="28"/>
          <w:szCs w:val="28"/>
        </w:rPr>
        <w:t>bis</w:t>
      </w:r>
      <w:r w:rsidRPr="006F733A">
        <w:rPr>
          <w:rFonts w:ascii="Garamond" w:hAnsi="Garamond" w:cs="AdvTT5843c571"/>
          <w:kern w:val="0"/>
          <w:sz w:val="28"/>
          <w:szCs w:val="28"/>
        </w:rPr>
        <w:t>.11-473-</w:t>
      </w:r>
      <w:r w:rsidRPr="006F733A">
        <w:rPr>
          <w:rFonts w:ascii="Garamond" w:hAnsi="Garamond" w:cs="AdvTTf5341347.I"/>
          <w:kern w:val="0"/>
          <w:sz w:val="28"/>
          <w:szCs w:val="28"/>
        </w:rPr>
        <w:t>bis</w:t>
      </w:r>
      <w:r w:rsidRPr="006F733A">
        <w:rPr>
          <w:rFonts w:ascii="Garamond" w:hAnsi="Garamond" w:cs="AdvTT5843c571"/>
          <w:kern w:val="0"/>
          <w:sz w:val="28"/>
          <w:szCs w:val="28"/>
        </w:rPr>
        <w:t>.39 disciplina lo</w:t>
      </w:r>
      <w:r>
        <w:rPr>
          <w:rFonts w:ascii="Garamond" w:hAnsi="Garamond" w:cs="AdvTT5843c571"/>
          <w:kern w:val="0"/>
          <w:sz w:val="28"/>
          <w:szCs w:val="28"/>
        </w:rPr>
        <w:t xml:space="preserve"> </w:t>
      </w:r>
      <w:r w:rsidRPr="006F733A">
        <w:rPr>
          <w:rFonts w:ascii="Garamond" w:hAnsi="Garamond" w:cs="AdvTT5843c571"/>
          <w:kern w:val="0"/>
          <w:sz w:val="28"/>
          <w:szCs w:val="28"/>
        </w:rPr>
        <w:t>svolgimento del nuovo rito di primo grado (Sezione I), d</w:t>
      </w:r>
      <w:r w:rsidRPr="006F733A">
        <w:rPr>
          <w:rFonts w:ascii="Garamond" w:hAnsi="Garamond" w:cs="AdvTT5843c571+20"/>
          <w:kern w:val="0"/>
          <w:sz w:val="28"/>
          <w:szCs w:val="28"/>
        </w:rPr>
        <w:t>’</w:t>
      </w:r>
      <w:r w:rsidRPr="006F733A">
        <w:rPr>
          <w:rFonts w:ascii="Garamond" w:hAnsi="Garamond" w:cs="AdvTT5843c571"/>
          <w:kern w:val="0"/>
          <w:sz w:val="28"/>
          <w:szCs w:val="28"/>
        </w:rPr>
        <w:t>appello</w:t>
      </w:r>
      <w:r>
        <w:rPr>
          <w:rFonts w:ascii="Garamond" w:hAnsi="Garamond" w:cs="AdvTT5843c571"/>
          <w:kern w:val="0"/>
          <w:sz w:val="28"/>
          <w:szCs w:val="28"/>
        </w:rPr>
        <w:t xml:space="preserve"> </w:t>
      </w:r>
      <w:r w:rsidRPr="006F733A">
        <w:rPr>
          <w:rFonts w:ascii="Garamond" w:hAnsi="Garamond" w:cs="AdvTT5843c571"/>
          <w:kern w:val="0"/>
          <w:sz w:val="28"/>
          <w:szCs w:val="28"/>
        </w:rPr>
        <w:t>(Sezione II) e dell</w:t>
      </w:r>
      <w:r w:rsidRPr="006F733A">
        <w:rPr>
          <w:rFonts w:ascii="Garamond" w:hAnsi="Garamond" w:cs="AdvTT5843c571+20"/>
          <w:kern w:val="0"/>
          <w:sz w:val="28"/>
          <w:szCs w:val="28"/>
        </w:rPr>
        <w:t>’</w:t>
      </w:r>
      <w:r w:rsidRPr="006F733A">
        <w:rPr>
          <w:rFonts w:ascii="Garamond" w:hAnsi="Garamond" w:cs="AdvTT5843c571"/>
          <w:kern w:val="0"/>
          <w:sz w:val="28"/>
          <w:szCs w:val="28"/>
        </w:rPr>
        <w:t>attuazione dei provvedimenti (Sezione III), ispirato a criteri di rapidità ed efficacia, con l</w:t>
      </w:r>
      <w:r w:rsidRPr="006F733A">
        <w:rPr>
          <w:rFonts w:ascii="Garamond" w:hAnsi="Garamond" w:cs="AdvTT5843c571+20"/>
          <w:kern w:val="0"/>
          <w:sz w:val="28"/>
          <w:szCs w:val="28"/>
        </w:rPr>
        <w:t>’</w:t>
      </w:r>
      <w:r w:rsidRPr="006F733A">
        <w:rPr>
          <w:rFonts w:ascii="Garamond" w:hAnsi="Garamond" w:cs="AdvTT5843c571"/>
          <w:kern w:val="0"/>
          <w:sz w:val="28"/>
          <w:szCs w:val="28"/>
        </w:rPr>
        <w:t>abbreviazione dei</w:t>
      </w:r>
      <w:r>
        <w:rPr>
          <w:rFonts w:ascii="Garamond" w:hAnsi="Garamond" w:cs="AdvTT5843c571"/>
          <w:kern w:val="0"/>
          <w:sz w:val="28"/>
          <w:szCs w:val="28"/>
        </w:rPr>
        <w:t xml:space="preserve"> </w:t>
      </w:r>
      <w:r w:rsidRPr="006F733A">
        <w:rPr>
          <w:rFonts w:ascii="Garamond" w:hAnsi="Garamond" w:cs="AdvTT5843c571"/>
          <w:kern w:val="0"/>
          <w:sz w:val="28"/>
          <w:szCs w:val="28"/>
        </w:rPr>
        <w:t>termini processuali, la chiarezza e sinteticità degli atti di parte, la</w:t>
      </w:r>
      <w:r>
        <w:rPr>
          <w:rFonts w:ascii="Garamond" w:hAnsi="Garamond" w:cs="AdvTT5843c571"/>
          <w:kern w:val="0"/>
          <w:sz w:val="28"/>
          <w:szCs w:val="28"/>
        </w:rPr>
        <w:t xml:space="preserve"> </w:t>
      </w:r>
      <w:r w:rsidRPr="006F733A">
        <w:rPr>
          <w:rFonts w:ascii="Garamond" w:hAnsi="Garamond" w:cs="AdvTT5843c571"/>
          <w:kern w:val="0"/>
          <w:sz w:val="28"/>
          <w:szCs w:val="28"/>
        </w:rPr>
        <w:t>costante attenzione alla protezione del minore, mediante specifiche</w:t>
      </w:r>
      <w:r>
        <w:rPr>
          <w:rFonts w:ascii="Garamond" w:hAnsi="Garamond" w:cs="AdvTT5843c571"/>
          <w:kern w:val="0"/>
          <w:sz w:val="28"/>
          <w:szCs w:val="28"/>
        </w:rPr>
        <w:t xml:space="preserve"> </w:t>
      </w:r>
      <w:r w:rsidRPr="006F733A">
        <w:rPr>
          <w:rFonts w:ascii="Garamond" w:hAnsi="Garamond" w:cs="AdvTT5843c571"/>
          <w:kern w:val="0"/>
          <w:sz w:val="28"/>
          <w:szCs w:val="28"/>
        </w:rPr>
        <w:t>regole sulla competenza territoriale collegata alla sua residenza,</w:t>
      </w:r>
      <w:r>
        <w:rPr>
          <w:rFonts w:ascii="Garamond" w:hAnsi="Garamond" w:cs="AdvTT5843c571"/>
          <w:kern w:val="0"/>
          <w:sz w:val="28"/>
          <w:szCs w:val="28"/>
        </w:rPr>
        <w:t xml:space="preserve"> </w:t>
      </w:r>
      <w:r w:rsidRPr="006F733A">
        <w:rPr>
          <w:rFonts w:ascii="Garamond" w:hAnsi="Garamond" w:cs="AdvTT5843c571"/>
          <w:kern w:val="0"/>
          <w:sz w:val="28"/>
          <w:szCs w:val="28"/>
        </w:rPr>
        <w:t>la presentazione di piani genitoriali, l</w:t>
      </w:r>
      <w:r w:rsidRPr="006F733A">
        <w:rPr>
          <w:rFonts w:ascii="Garamond" w:hAnsi="Garamond" w:cs="AdvTT5843c571+20"/>
          <w:kern w:val="0"/>
          <w:sz w:val="28"/>
          <w:szCs w:val="28"/>
        </w:rPr>
        <w:t>’</w:t>
      </w:r>
      <w:r w:rsidRPr="006F733A">
        <w:rPr>
          <w:rFonts w:ascii="Garamond" w:hAnsi="Garamond" w:cs="AdvTT5843c571"/>
          <w:kern w:val="0"/>
          <w:sz w:val="28"/>
          <w:szCs w:val="28"/>
        </w:rPr>
        <w:t>esercizio di poteri</w:t>
      </w:r>
      <w:r>
        <w:rPr>
          <w:rFonts w:ascii="Garamond" w:hAnsi="Garamond" w:cs="AdvTT5843c571"/>
          <w:kern w:val="0"/>
          <w:sz w:val="28"/>
          <w:szCs w:val="28"/>
        </w:rPr>
        <w:t xml:space="preserve"> </w:t>
      </w:r>
      <w:r w:rsidRPr="006F733A">
        <w:rPr>
          <w:rFonts w:ascii="Garamond" w:hAnsi="Garamond" w:cs="AdvTT5843c571"/>
          <w:kern w:val="0"/>
          <w:sz w:val="28"/>
          <w:szCs w:val="28"/>
        </w:rPr>
        <w:t>officiosi da parte del giudice per la tutela dei diritti dei minori, la</w:t>
      </w:r>
      <w:r>
        <w:rPr>
          <w:rFonts w:ascii="Garamond" w:hAnsi="Garamond" w:cs="AdvTT5843c571"/>
          <w:kern w:val="0"/>
          <w:sz w:val="28"/>
          <w:szCs w:val="28"/>
        </w:rPr>
        <w:t xml:space="preserve"> </w:t>
      </w:r>
      <w:r w:rsidRPr="006F733A">
        <w:rPr>
          <w:rFonts w:ascii="Garamond" w:hAnsi="Garamond" w:cs="AdvTT5843c571"/>
          <w:kern w:val="0"/>
          <w:sz w:val="28"/>
          <w:szCs w:val="28"/>
        </w:rPr>
        <w:t>speciale disciplina dei consulenti tecnici, di eventuali esperti,</w:t>
      </w:r>
      <w:r>
        <w:rPr>
          <w:rFonts w:ascii="Garamond" w:hAnsi="Garamond" w:cs="AdvTT5843c571"/>
          <w:kern w:val="0"/>
          <w:sz w:val="28"/>
          <w:szCs w:val="28"/>
        </w:rPr>
        <w:t xml:space="preserve"> </w:t>
      </w:r>
      <w:r w:rsidRPr="006F733A">
        <w:rPr>
          <w:rFonts w:ascii="Garamond" w:hAnsi="Garamond" w:cs="AdvTT5843c571"/>
          <w:kern w:val="0"/>
          <w:sz w:val="28"/>
          <w:szCs w:val="28"/>
        </w:rPr>
        <w:t>nonché dell</w:t>
      </w:r>
      <w:r w:rsidRPr="006F733A">
        <w:rPr>
          <w:rFonts w:ascii="Garamond" w:hAnsi="Garamond" w:cs="AdvTT5843c571+20"/>
          <w:kern w:val="0"/>
          <w:sz w:val="28"/>
          <w:szCs w:val="28"/>
        </w:rPr>
        <w:t>’</w:t>
      </w:r>
      <w:r w:rsidRPr="006F733A">
        <w:rPr>
          <w:rFonts w:ascii="Garamond" w:hAnsi="Garamond" w:cs="AdvTT5843c571"/>
          <w:kern w:val="0"/>
          <w:sz w:val="28"/>
          <w:szCs w:val="28"/>
        </w:rPr>
        <w:t>intervento dei servizi sociali e sanitari nei procedimenti</w:t>
      </w:r>
      <w:r>
        <w:rPr>
          <w:rFonts w:ascii="Garamond" w:hAnsi="Garamond" w:cs="AdvTT5843c571"/>
          <w:kern w:val="0"/>
          <w:sz w:val="28"/>
          <w:szCs w:val="28"/>
        </w:rPr>
        <w:t xml:space="preserve"> </w:t>
      </w:r>
      <w:r w:rsidRPr="006F733A">
        <w:rPr>
          <w:rFonts w:ascii="Garamond" w:hAnsi="Garamond" w:cs="AdvTT5843c571"/>
          <w:kern w:val="0"/>
          <w:sz w:val="28"/>
          <w:szCs w:val="28"/>
        </w:rPr>
        <w:t>a tutela dei minori.</w:t>
      </w:r>
    </w:p>
    <w:p w14:paraId="2CA93017" w14:textId="77777777" w:rsidR="00184CB8" w:rsidRDefault="00184CB8" w:rsidP="00184CB8">
      <w:pPr>
        <w:autoSpaceDE w:val="0"/>
        <w:autoSpaceDN w:val="0"/>
        <w:adjustRightInd w:val="0"/>
        <w:spacing w:after="0" w:line="240" w:lineRule="auto"/>
        <w:jc w:val="both"/>
        <w:rPr>
          <w:rFonts w:ascii="Garamond" w:hAnsi="Garamond" w:cs="AdvTT5843c571"/>
          <w:kern w:val="0"/>
          <w:sz w:val="28"/>
          <w:szCs w:val="28"/>
        </w:rPr>
      </w:pPr>
      <w:r w:rsidRPr="006F733A">
        <w:rPr>
          <w:rFonts w:ascii="Garamond" w:hAnsi="Garamond" w:cs="AdvTT5843c571"/>
          <w:kern w:val="0"/>
          <w:sz w:val="28"/>
          <w:szCs w:val="28"/>
        </w:rPr>
        <w:t>Il Capo III (</w:t>
      </w:r>
      <w:r w:rsidRPr="006F733A">
        <w:rPr>
          <w:rFonts w:ascii="Garamond" w:hAnsi="Garamond" w:cs="AdvTTf5341347.I"/>
          <w:kern w:val="0"/>
          <w:sz w:val="28"/>
          <w:szCs w:val="28"/>
        </w:rPr>
        <w:t>Disposizioni speciali</w:t>
      </w:r>
      <w:r w:rsidRPr="006F733A">
        <w:rPr>
          <w:rFonts w:ascii="Garamond" w:hAnsi="Garamond" w:cs="AdvTT5843c571"/>
          <w:kern w:val="0"/>
          <w:sz w:val="28"/>
          <w:szCs w:val="28"/>
        </w:rPr>
        <w:t>) si compone degli artt.</w:t>
      </w:r>
      <w:r>
        <w:rPr>
          <w:rFonts w:ascii="Garamond" w:hAnsi="Garamond" w:cs="AdvTT5843c571"/>
          <w:kern w:val="0"/>
          <w:sz w:val="28"/>
          <w:szCs w:val="28"/>
        </w:rPr>
        <w:t xml:space="preserve"> </w:t>
      </w:r>
      <w:r w:rsidRPr="006F733A">
        <w:rPr>
          <w:rFonts w:ascii="Garamond" w:hAnsi="Garamond" w:cs="AdvTT5843c571"/>
          <w:kern w:val="0"/>
          <w:sz w:val="28"/>
          <w:szCs w:val="28"/>
        </w:rPr>
        <w:t>473-</w:t>
      </w:r>
      <w:r w:rsidRPr="006F733A">
        <w:rPr>
          <w:rFonts w:ascii="Garamond" w:hAnsi="Garamond" w:cs="AdvTTf5341347.I"/>
          <w:kern w:val="0"/>
          <w:sz w:val="28"/>
          <w:szCs w:val="28"/>
        </w:rPr>
        <w:t>bis</w:t>
      </w:r>
      <w:r w:rsidRPr="006F733A">
        <w:rPr>
          <w:rFonts w:ascii="Garamond" w:hAnsi="Garamond" w:cs="AdvTT5843c571"/>
          <w:kern w:val="0"/>
          <w:sz w:val="28"/>
          <w:szCs w:val="28"/>
        </w:rPr>
        <w:t>.40 - 473-</w:t>
      </w:r>
      <w:r w:rsidRPr="006F733A">
        <w:rPr>
          <w:rFonts w:ascii="Garamond" w:hAnsi="Garamond" w:cs="AdvTTf5341347.I"/>
          <w:kern w:val="0"/>
          <w:sz w:val="28"/>
          <w:szCs w:val="28"/>
        </w:rPr>
        <w:t>bis</w:t>
      </w:r>
      <w:r w:rsidRPr="006F733A">
        <w:rPr>
          <w:rFonts w:ascii="Garamond" w:hAnsi="Garamond" w:cs="AdvTT5843c571"/>
          <w:kern w:val="0"/>
          <w:sz w:val="28"/>
          <w:szCs w:val="28"/>
        </w:rPr>
        <w:t>.71, ripartiti in sei sezioni dedicate ai procedimenti</w:t>
      </w:r>
      <w:r>
        <w:rPr>
          <w:rFonts w:ascii="Garamond" w:hAnsi="Garamond" w:cs="AdvTT5843c571"/>
          <w:kern w:val="0"/>
          <w:sz w:val="28"/>
          <w:szCs w:val="28"/>
        </w:rPr>
        <w:t xml:space="preserve"> </w:t>
      </w:r>
      <w:r w:rsidRPr="006F733A">
        <w:rPr>
          <w:rFonts w:ascii="Garamond" w:hAnsi="Garamond" w:cs="AdvTT5843c571"/>
          <w:kern w:val="0"/>
          <w:sz w:val="28"/>
          <w:szCs w:val="28"/>
        </w:rPr>
        <w:t>nei quali sono allegati abusi familiari o condotte di violenza</w:t>
      </w:r>
      <w:r>
        <w:rPr>
          <w:rFonts w:ascii="Garamond" w:hAnsi="Garamond" w:cs="AdvTT5843c571"/>
          <w:kern w:val="0"/>
          <w:sz w:val="28"/>
          <w:szCs w:val="28"/>
        </w:rPr>
        <w:t xml:space="preserve"> </w:t>
      </w:r>
      <w:r w:rsidRPr="006F733A">
        <w:rPr>
          <w:rFonts w:ascii="Garamond" w:hAnsi="Garamond" w:cs="AdvTT5843c571"/>
          <w:kern w:val="0"/>
          <w:sz w:val="28"/>
          <w:szCs w:val="28"/>
        </w:rPr>
        <w:t>domestica o di genere (Sezione I); procedimenti di separazione,</w:t>
      </w:r>
      <w:r>
        <w:rPr>
          <w:rFonts w:ascii="Garamond" w:hAnsi="Garamond" w:cs="AdvTT5843c571"/>
          <w:kern w:val="0"/>
          <w:sz w:val="28"/>
          <w:szCs w:val="28"/>
        </w:rPr>
        <w:t xml:space="preserve"> </w:t>
      </w:r>
      <w:r w:rsidRPr="006F733A">
        <w:rPr>
          <w:rFonts w:ascii="Garamond" w:hAnsi="Garamond" w:cs="AdvTT5843c571"/>
          <w:kern w:val="0"/>
          <w:sz w:val="28"/>
          <w:szCs w:val="28"/>
        </w:rPr>
        <w:t>divorzio, scioglimento dell</w:t>
      </w:r>
      <w:r w:rsidRPr="006F733A">
        <w:rPr>
          <w:rFonts w:ascii="Garamond" w:hAnsi="Garamond" w:cs="AdvTT5843c571+20"/>
          <w:kern w:val="0"/>
          <w:sz w:val="28"/>
          <w:szCs w:val="28"/>
        </w:rPr>
        <w:t>’</w:t>
      </w:r>
      <w:r w:rsidRPr="006F733A">
        <w:rPr>
          <w:rFonts w:ascii="Garamond" w:hAnsi="Garamond" w:cs="AdvTT5843c571"/>
          <w:kern w:val="0"/>
          <w:sz w:val="28"/>
          <w:szCs w:val="28"/>
        </w:rPr>
        <w:t>unione civile e regolamentazione</w:t>
      </w:r>
      <w:r>
        <w:rPr>
          <w:rFonts w:ascii="Garamond" w:hAnsi="Garamond" w:cs="AdvTT5843c571"/>
          <w:kern w:val="0"/>
          <w:sz w:val="28"/>
          <w:szCs w:val="28"/>
        </w:rPr>
        <w:t xml:space="preserve"> </w:t>
      </w:r>
      <w:r w:rsidRPr="006F733A">
        <w:rPr>
          <w:rFonts w:ascii="Garamond" w:hAnsi="Garamond" w:cs="AdvTT5843c571"/>
          <w:kern w:val="0"/>
          <w:sz w:val="28"/>
          <w:szCs w:val="28"/>
        </w:rPr>
        <w:t>dell</w:t>
      </w:r>
      <w:r w:rsidRPr="006F733A">
        <w:rPr>
          <w:rFonts w:ascii="Garamond" w:hAnsi="Garamond" w:cs="AdvTT5843c571+20"/>
          <w:kern w:val="0"/>
          <w:sz w:val="28"/>
          <w:szCs w:val="28"/>
        </w:rPr>
        <w:t>’</w:t>
      </w:r>
      <w:r w:rsidRPr="006F733A">
        <w:rPr>
          <w:rFonts w:ascii="Garamond" w:hAnsi="Garamond" w:cs="AdvTT5843c571"/>
          <w:kern w:val="0"/>
          <w:sz w:val="28"/>
          <w:szCs w:val="28"/>
        </w:rPr>
        <w:t>esercizio della responsabilità genitoriale (Sezione</w:t>
      </w:r>
      <w:r>
        <w:rPr>
          <w:rFonts w:ascii="Garamond" w:hAnsi="Garamond" w:cs="AdvTT5843c571"/>
          <w:kern w:val="0"/>
          <w:sz w:val="28"/>
          <w:szCs w:val="28"/>
        </w:rPr>
        <w:t xml:space="preserve"> </w:t>
      </w:r>
      <w:r w:rsidRPr="006F733A">
        <w:rPr>
          <w:rFonts w:ascii="Garamond" w:hAnsi="Garamond" w:cs="AdvTT5843c571"/>
          <w:kern w:val="0"/>
          <w:sz w:val="28"/>
          <w:szCs w:val="28"/>
        </w:rPr>
        <w:t>II); procedimenti di interdizione, inabilitazione e amministrazione</w:t>
      </w:r>
      <w:r>
        <w:rPr>
          <w:rFonts w:ascii="Garamond" w:hAnsi="Garamond" w:cs="AdvTT5843c571"/>
          <w:kern w:val="0"/>
          <w:sz w:val="28"/>
          <w:szCs w:val="28"/>
        </w:rPr>
        <w:t xml:space="preserve"> </w:t>
      </w:r>
      <w:r w:rsidRPr="006F733A">
        <w:rPr>
          <w:rFonts w:ascii="Garamond" w:hAnsi="Garamond" w:cs="AdvTT5843c571"/>
          <w:kern w:val="0"/>
          <w:sz w:val="28"/>
          <w:szCs w:val="28"/>
        </w:rPr>
        <w:t>di sostegno (Sezione III); procedimenti di dichiarazione di assenza</w:t>
      </w:r>
      <w:r>
        <w:rPr>
          <w:rFonts w:ascii="Garamond" w:hAnsi="Garamond" w:cs="AdvTT5843c571"/>
          <w:kern w:val="0"/>
          <w:sz w:val="28"/>
          <w:szCs w:val="28"/>
        </w:rPr>
        <w:t xml:space="preserve"> </w:t>
      </w:r>
      <w:r w:rsidRPr="006F733A">
        <w:rPr>
          <w:rFonts w:ascii="Garamond" w:hAnsi="Garamond" w:cs="AdvTT5843c571"/>
          <w:kern w:val="0"/>
          <w:sz w:val="28"/>
          <w:szCs w:val="28"/>
        </w:rPr>
        <w:t>e di morte presunta (Sezione IV), specifiche disposizioni</w:t>
      </w:r>
      <w:r>
        <w:rPr>
          <w:rFonts w:ascii="Garamond" w:hAnsi="Garamond" w:cs="AdvTT5843c571"/>
          <w:kern w:val="0"/>
          <w:sz w:val="28"/>
          <w:szCs w:val="28"/>
        </w:rPr>
        <w:t xml:space="preserve"> </w:t>
      </w:r>
      <w:r w:rsidRPr="006F733A">
        <w:rPr>
          <w:rFonts w:ascii="Garamond" w:hAnsi="Garamond" w:cs="AdvTT5843c571"/>
          <w:kern w:val="0"/>
          <w:sz w:val="28"/>
          <w:szCs w:val="28"/>
        </w:rPr>
        <w:t>processuali relative a minori, interdetti e inabilitati (Sezione</w:t>
      </w:r>
      <w:r>
        <w:rPr>
          <w:rFonts w:ascii="Garamond" w:hAnsi="Garamond" w:cs="AdvTT5843c571"/>
          <w:kern w:val="0"/>
          <w:sz w:val="28"/>
          <w:szCs w:val="28"/>
        </w:rPr>
        <w:t xml:space="preserve"> </w:t>
      </w:r>
      <w:r w:rsidRPr="006F733A">
        <w:rPr>
          <w:rFonts w:ascii="Garamond" w:hAnsi="Garamond" w:cs="AdvTT5843c571"/>
          <w:kern w:val="0"/>
          <w:sz w:val="28"/>
          <w:szCs w:val="28"/>
        </w:rPr>
        <w:t>V), ai rapporti patrimoniali tra coniugi (Sezione VI) e agli ordini</w:t>
      </w:r>
      <w:r>
        <w:rPr>
          <w:rFonts w:ascii="Garamond" w:hAnsi="Garamond" w:cs="AdvTT5843c571"/>
          <w:kern w:val="0"/>
          <w:sz w:val="28"/>
          <w:szCs w:val="28"/>
        </w:rPr>
        <w:t xml:space="preserve"> </w:t>
      </w:r>
      <w:r w:rsidRPr="006F733A">
        <w:rPr>
          <w:rFonts w:ascii="Garamond" w:hAnsi="Garamond" w:cs="AdvTT5843c571"/>
          <w:kern w:val="0"/>
          <w:sz w:val="28"/>
          <w:szCs w:val="28"/>
        </w:rPr>
        <w:t>di protezione contro gli abusi familiari (Sezione VII). Il Capo IV</w:t>
      </w:r>
      <w:r>
        <w:rPr>
          <w:rFonts w:ascii="Garamond" w:hAnsi="Garamond" w:cs="AdvTT5843c571"/>
          <w:kern w:val="0"/>
          <w:sz w:val="28"/>
          <w:szCs w:val="28"/>
        </w:rPr>
        <w:t xml:space="preserve"> </w:t>
      </w:r>
      <w:r w:rsidRPr="006F733A">
        <w:rPr>
          <w:rFonts w:ascii="Garamond" w:hAnsi="Garamond" w:cs="AdvTT5843c571"/>
          <w:kern w:val="0"/>
          <w:sz w:val="28"/>
          <w:szCs w:val="28"/>
        </w:rPr>
        <w:t>(</w:t>
      </w:r>
      <w:r w:rsidRPr="006F733A">
        <w:rPr>
          <w:rFonts w:ascii="Garamond" w:hAnsi="Garamond" w:cs="AdvTTf5341347.I"/>
          <w:kern w:val="0"/>
          <w:sz w:val="28"/>
          <w:szCs w:val="28"/>
        </w:rPr>
        <w:t>Dei procedimenti in camera di consiglio</w:t>
      </w:r>
      <w:r w:rsidRPr="006F733A">
        <w:rPr>
          <w:rFonts w:ascii="Garamond" w:hAnsi="Garamond" w:cs="AdvTT5843c571"/>
          <w:kern w:val="0"/>
          <w:sz w:val="28"/>
          <w:szCs w:val="28"/>
        </w:rPr>
        <w:t>) consta del solo art.</w:t>
      </w:r>
      <w:r>
        <w:rPr>
          <w:rFonts w:ascii="Garamond" w:hAnsi="Garamond" w:cs="AdvTT5843c571"/>
          <w:kern w:val="0"/>
          <w:sz w:val="28"/>
          <w:szCs w:val="28"/>
        </w:rPr>
        <w:t xml:space="preserve"> </w:t>
      </w:r>
      <w:r w:rsidRPr="006F733A">
        <w:rPr>
          <w:rFonts w:ascii="Garamond" w:hAnsi="Garamond" w:cs="AdvTT5843c571"/>
          <w:kern w:val="0"/>
          <w:sz w:val="28"/>
          <w:szCs w:val="28"/>
        </w:rPr>
        <w:t>473-</w:t>
      </w:r>
      <w:r w:rsidRPr="006F733A">
        <w:rPr>
          <w:rFonts w:ascii="Garamond" w:hAnsi="Garamond" w:cs="AdvTTf5341347.I"/>
          <w:kern w:val="0"/>
          <w:sz w:val="28"/>
          <w:szCs w:val="28"/>
        </w:rPr>
        <w:t xml:space="preserve">ter </w:t>
      </w:r>
      <w:r w:rsidRPr="006F733A">
        <w:rPr>
          <w:rFonts w:ascii="Garamond" w:hAnsi="Garamond" w:cs="AdvTT5843c571"/>
          <w:kern w:val="0"/>
          <w:sz w:val="28"/>
          <w:szCs w:val="28"/>
        </w:rPr>
        <w:t>c.p.c., applicabile a tutti i procedimenti non contenziosi</w:t>
      </w:r>
      <w:r>
        <w:rPr>
          <w:rFonts w:ascii="Garamond" w:hAnsi="Garamond" w:cs="AdvTT5843c571"/>
          <w:kern w:val="0"/>
          <w:sz w:val="28"/>
          <w:szCs w:val="28"/>
        </w:rPr>
        <w:t xml:space="preserve"> </w:t>
      </w:r>
      <w:r w:rsidRPr="006F733A">
        <w:rPr>
          <w:rFonts w:ascii="Garamond" w:hAnsi="Garamond" w:cs="AdvTT5843c571"/>
          <w:kern w:val="0"/>
          <w:sz w:val="28"/>
          <w:szCs w:val="28"/>
        </w:rPr>
        <w:t>privi di una specifica disciplina, finora retti dalle norme processuali</w:t>
      </w:r>
      <w:r>
        <w:rPr>
          <w:rFonts w:ascii="Garamond" w:hAnsi="Garamond" w:cs="AdvTT5843c571"/>
          <w:kern w:val="0"/>
          <w:sz w:val="28"/>
          <w:szCs w:val="28"/>
        </w:rPr>
        <w:t xml:space="preserve"> </w:t>
      </w:r>
      <w:r w:rsidRPr="006F733A">
        <w:rPr>
          <w:rFonts w:ascii="Garamond" w:hAnsi="Garamond" w:cs="AdvTT5843c571"/>
          <w:kern w:val="0"/>
          <w:sz w:val="28"/>
          <w:szCs w:val="28"/>
        </w:rPr>
        <w:t>del rito camerale.</w:t>
      </w:r>
    </w:p>
    <w:p w14:paraId="114BEFDC" w14:textId="77777777" w:rsidR="00184CB8" w:rsidRDefault="00184CB8" w:rsidP="00184CB8">
      <w:pPr>
        <w:autoSpaceDE w:val="0"/>
        <w:autoSpaceDN w:val="0"/>
        <w:adjustRightInd w:val="0"/>
        <w:spacing w:after="0" w:line="240" w:lineRule="auto"/>
        <w:jc w:val="both"/>
        <w:rPr>
          <w:rFonts w:ascii="Garamond" w:hAnsi="Garamond" w:cs="AdvTT5843c571"/>
          <w:kern w:val="0"/>
          <w:sz w:val="28"/>
          <w:szCs w:val="28"/>
        </w:rPr>
      </w:pPr>
      <w:r w:rsidRPr="00184CB8">
        <w:rPr>
          <w:rFonts w:ascii="Garamond" w:hAnsi="Garamond" w:cs="AdvTT5843c571"/>
          <w:kern w:val="0"/>
          <w:sz w:val="28"/>
          <w:szCs w:val="28"/>
          <w:highlight w:val="yellow"/>
        </w:rPr>
        <w:t>Tra le disposizioni generali del Capo I, l</w:t>
      </w:r>
      <w:r w:rsidRPr="00184CB8">
        <w:rPr>
          <w:rFonts w:ascii="Garamond" w:hAnsi="Garamond" w:cs="AdvTT5843c571+20"/>
          <w:kern w:val="0"/>
          <w:sz w:val="28"/>
          <w:szCs w:val="28"/>
          <w:highlight w:val="yellow"/>
        </w:rPr>
        <w:t>’</w:t>
      </w:r>
      <w:r w:rsidRPr="00184CB8">
        <w:rPr>
          <w:rFonts w:ascii="Garamond" w:hAnsi="Garamond" w:cs="AdvTT5843c571"/>
          <w:kern w:val="0"/>
          <w:sz w:val="28"/>
          <w:szCs w:val="28"/>
          <w:highlight w:val="yellow"/>
        </w:rPr>
        <w:t>art. 473-</w:t>
      </w:r>
      <w:r w:rsidRPr="00184CB8">
        <w:rPr>
          <w:rFonts w:ascii="Garamond" w:hAnsi="Garamond" w:cs="AdvTTf5341347.I"/>
          <w:kern w:val="0"/>
          <w:sz w:val="28"/>
          <w:szCs w:val="28"/>
          <w:highlight w:val="yellow"/>
        </w:rPr>
        <w:t>bis</w:t>
      </w:r>
      <w:r w:rsidRPr="00184CB8">
        <w:rPr>
          <w:rFonts w:ascii="Garamond" w:hAnsi="Garamond" w:cs="AdvTT5843c571"/>
          <w:kern w:val="0"/>
          <w:sz w:val="28"/>
          <w:szCs w:val="28"/>
          <w:highlight w:val="yellow"/>
        </w:rPr>
        <w:t>.8 c.p.c. ha dettato la nuova disciplina organica del curatore speciale del minore, in attuazione dei principi e criteri direttivi della legge delega n. 206/2021.</w:t>
      </w:r>
    </w:p>
    <w:p w14:paraId="72FDB658" w14:textId="45E71CCC" w:rsidR="00184CB8" w:rsidRPr="006F733A" w:rsidRDefault="000112F0" w:rsidP="00184CB8">
      <w:pPr>
        <w:autoSpaceDE w:val="0"/>
        <w:autoSpaceDN w:val="0"/>
        <w:adjustRightInd w:val="0"/>
        <w:spacing w:after="0" w:line="240" w:lineRule="auto"/>
        <w:jc w:val="both"/>
        <w:rPr>
          <w:rFonts w:ascii="Garamond" w:hAnsi="Garamond" w:cs="AdvTT5843c571"/>
          <w:kern w:val="0"/>
          <w:sz w:val="28"/>
          <w:szCs w:val="28"/>
        </w:rPr>
      </w:pPr>
      <w:r>
        <w:rPr>
          <w:rFonts w:ascii="Garamond" w:hAnsi="Garamond" w:cs="AdvTT5843c571"/>
          <w:kern w:val="0"/>
          <w:sz w:val="28"/>
          <w:szCs w:val="28"/>
        </w:rPr>
        <w:t>L</w:t>
      </w:r>
      <w:r w:rsidR="00184CB8" w:rsidRPr="006F733A">
        <w:rPr>
          <w:rFonts w:ascii="Garamond" w:hAnsi="Garamond" w:cs="AdvTT5843c571+20"/>
          <w:kern w:val="0"/>
          <w:sz w:val="28"/>
          <w:szCs w:val="28"/>
        </w:rPr>
        <w:t>’</w:t>
      </w:r>
      <w:r w:rsidR="00184CB8" w:rsidRPr="006F733A">
        <w:rPr>
          <w:rFonts w:ascii="Garamond" w:hAnsi="Garamond" w:cs="AdvTT5843c571"/>
          <w:kern w:val="0"/>
          <w:sz w:val="28"/>
          <w:szCs w:val="28"/>
        </w:rPr>
        <w:t>art. 473-</w:t>
      </w:r>
      <w:r w:rsidR="00184CB8" w:rsidRPr="006F733A">
        <w:rPr>
          <w:rFonts w:ascii="Garamond" w:hAnsi="Garamond" w:cs="AdvTTf5341347.I"/>
          <w:kern w:val="0"/>
          <w:sz w:val="28"/>
          <w:szCs w:val="28"/>
        </w:rPr>
        <w:t>bis</w:t>
      </w:r>
      <w:r w:rsidR="00184CB8" w:rsidRPr="006F733A">
        <w:rPr>
          <w:rFonts w:ascii="Garamond" w:hAnsi="Garamond" w:cs="AdvTT5843c571"/>
          <w:kern w:val="0"/>
          <w:sz w:val="28"/>
          <w:szCs w:val="28"/>
        </w:rPr>
        <w:t>.7</w:t>
      </w:r>
      <w:r>
        <w:rPr>
          <w:rFonts w:ascii="Garamond" w:hAnsi="Garamond" w:cs="AdvTT5843c571"/>
          <w:kern w:val="0"/>
          <w:sz w:val="28"/>
          <w:szCs w:val="28"/>
        </w:rPr>
        <w:t xml:space="preserve">, comma 1, </w:t>
      </w:r>
      <w:r w:rsidRPr="006F733A">
        <w:rPr>
          <w:rFonts w:ascii="Garamond" w:hAnsi="Garamond" w:cs="AdvTT5843c571"/>
          <w:kern w:val="0"/>
          <w:sz w:val="28"/>
          <w:szCs w:val="28"/>
        </w:rPr>
        <w:t>c.p.c</w:t>
      </w:r>
      <w:r>
        <w:rPr>
          <w:rFonts w:ascii="Garamond" w:hAnsi="Garamond" w:cs="AdvTT5843c571"/>
          <w:kern w:val="0"/>
          <w:sz w:val="28"/>
          <w:szCs w:val="28"/>
        </w:rPr>
        <w:t>.</w:t>
      </w:r>
      <w:r w:rsidR="00184CB8">
        <w:rPr>
          <w:rFonts w:ascii="Garamond" w:hAnsi="Garamond" w:cs="AdvTT5843c571"/>
          <w:kern w:val="0"/>
          <w:sz w:val="28"/>
          <w:szCs w:val="28"/>
        </w:rPr>
        <w:t xml:space="preserve"> </w:t>
      </w:r>
      <w:r w:rsidR="00184CB8" w:rsidRPr="006F733A">
        <w:rPr>
          <w:rFonts w:ascii="Garamond" w:hAnsi="Garamond" w:cs="AdvTT5843c571"/>
          <w:kern w:val="0"/>
          <w:sz w:val="28"/>
          <w:szCs w:val="28"/>
        </w:rPr>
        <w:t xml:space="preserve">prevede che </w:t>
      </w:r>
      <w:r w:rsidR="00184CB8" w:rsidRPr="006F733A">
        <w:rPr>
          <w:rFonts w:ascii="Garamond" w:hAnsi="Garamond" w:cs="AdvTT5843c571+20"/>
          <w:kern w:val="0"/>
          <w:sz w:val="28"/>
          <w:szCs w:val="28"/>
        </w:rPr>
        <w:t>“</w:t>
      </w:r>
      <w:r w:rsidR="00184CB8" w:rsidRPr="006F733A">
        <w:rPr>
          <w:rFonts w:ascii="Garamond" w:hAnsi="Garamond" w:cs="AdvTTf5341347.I"/>
          <w:kern w:val="0"/>
          <w:sz w:val="28"/>
          <w:szCs w:val="28"/>
        </w:rPr>
        <w:t xml:space="preserve">il giudice </w:t>
      </w:r>
      <w:r w:rsidR="00184CB8" w:rsidRPr="000112F0">
        <w:rPr>
          <w:rFonts w:ascii="Garamond" w:hAnsi="Garamond" w:cs="AdvTTf5341347.I"/>
          <w:b/>
          <w:bCs/>
          <w:kern w:val="0"/>
          <w:sz w:val="28"/>
          <w:szCs w:val="28"/>
        </w:rPr>
        <w:t>nomina</w:t>
      </w:r>
      <w:r w:rsidR="00184CB8" w:rsidRPr="006F733A">
        <w:rPr>
          <w:rFonts w:ascii="Garamond" w:hAnsi="Garamond" w:cs="AdvTTf5341347.I"/>
          <w:kern w:val="0"/>
          <w:sz w:val="28"/>
          <w:szCs w:val="28"/>
        </w:rPr>
        <w:t xml:space="preserve"> il </w:t>
      </w:r>
      <w:r w:rsidR="00184CB8" w:rsidRPr="000112F0">
        <w:rPr>
          <w:rFonts w:ascii="Garamond" w:hAnsi="Garamond" w:cs="AdvTTf5341347.I"/>
          <w:b/>
          <w:bCs/>
          <w:kern w:val="0"/>
          <w:sz w:val="28"/>
          <w:szCs w:val="28"/>
        </w:rPr>
        <w:t>tutore</w:t>
      </w:r>
      <w:r w:rsidR="00184CB8">
        <w:rPr>
          <w:rFonts w:ascii="Garamond" w:hAnsi="Garamond" w:cs="AdvTT5843c571"/>
          <w:kern w:val="0"/>
          <w:sz w:val="28"/>
          <w:szCs w:val="28"/>
        </w:rPr>
        <w:t xml:space="preserve"> </w:t>
      </w:r>
      <w:r w:rsidR="00184CB8" w:rsidRPr="006F733A">
        <w:rPr>
          <w:rFonts w:ascii="Garamond" w:hAnsi="Garamond" w:cs="AdvTTf5341347.I"/>
          <w:kern w:val="0"/>
          <w:sz w:val="28"/>
          <w:szCs w:val="28"/>
        </w:rPr>
        <w:t>del minore quando dispone, anche con provvedimento</w:t>
      </w:r>
      <w:r w:rsidR="00184CB8">
        <w:rPr>
          <w:rFonts w:ascii="Garamond" w:hAnsi="Garamond" w:cs="AdvTT5843c571"/>
          <w:kern w:val="0"/>
          <w:sz w:val="28"/>
          <w:szCs w:val="28"/>
        </w:rPr>
        <w:t xml:space="preserve"> </w:t>
      </w:r>
      <w:r w:rsidR="00184CB8" w:rsidRPr="006F733A">
        <w:rPr>
          <w:rFonts w:ascii="Garamond" w:hAnsi="Garamond" w:cs="AdvTTf5341347.I"/>
          <w:kern w:val="0"/>
          <w:sz w:val="28"/>
          <w:szCs w:val="28"/>
        </w:rPr>
        <w:t>temporaneo, la sospensione o la decadenza dalla responsabilità</w:t>
      </w:r>
      <w:r w:rsidR="00184CB8">
        <w:rPr>
          <w:rFonts w:ascii="Garamond" w:hAnsi="Garamond" w:cs="AdvTT5843c571"/>
          <w:kern w:val="0"/>
          <w:sz w:val="28"/>
          <w:szCs w:val="28"/>
        </w:rPr>
        <w:t xml:space="preserve"> </w:t>
      </w:r>
      <w:r w:rsidR="00184CB8" w:rsidRPr="006F733A">
        <w:rPr>
          <w:rFonts w:ascii="Garamond" w:hAnsi="Garamond" w:cs="AdvTTf5341347.I"/>
          <w:kern w:val="0"/>
          <w:sz w:val="28"/>
          <w:szCs w:val="28"/>
        </w:rPr>
        <w:t>genitoriale di entrambi i genitori</w:t>
      </w:r>
      <w:r w:rsidR="00184CB8" w:rsidRPr="006F733A">
        <w:rPr>
          <w:rFonts w:ascii="Garamond" w:hAnsi="Garamond" w:cs="AdvTT5843c571+20"/>
          <w:kern w:val="0"/>
          <w:sz w:val="28"/>
          <w:szCs w:val="28"/>
        </w:rPr>
        <w:t>”</w:t>
      </w:r>
      <w:r w:rsidR="00184CB8" w:rsidRPr="006F733A">
        <w:rPr>
          <w:rFonts w:ascii="Garamond" w:hAnsi="Garamond" w:cs="AdvTT5843c571"/>
          <w:kern w:val="0"/>
          <w:sz w:val="28"/>
          <w:szCs w:val="28"/>
        </w:rPr>
        <w:t>.</w:t>
      </w:r>
    </w:p>
    <w:p w14:paraId="64323A43" w14:textId="25EBDF18" w:rsidR="000112F0" w:rsidRPr="006F733A" w:rsidRDefault="00184CB8" w:rsidP="000112F0">
      <w:pPr>
        <w:autoSpaceDE w:val="0"/>
        <w:autoSpaceDN w:val="0"/>
        <w:adjustRightInd w:val="0"/>
        <w:spacing w:after="0" w:line="240" w:lineRule="auto"/>
        <w:jc w:val="both"/>
        <w:rPr>
          <w:rFonts w:ascii="Garamond" w:hAnsi="Garamond" w:cs="AdvTT5843c571"/>
          <w:kern w:val="0"/>
          <w:sz w:val="28"/>
          <w:szCs w:val="28"/>
        </w:rPr>
      </w:pPr>
      <w:r>
        <w:rPr>
          <w:rFonts w:ascii="Garamond" w:hAnsi="Garamond" w:cs="AdvTT5843c571"/>
          <w:kern w:val="0"/>
          <w:sz w:val="28"/>
          <w:szCs w:val="28"/>
        </w:rPr>
        <w:t xml:space="preserve"> </w:t>
      </w:r>
      <w:r w:rsidR="000112F0">
        <w:rPr>
          <w:rFonts w:ascii="Garamond" w:hAnsi="Garamond" w:cs="AdvTT5843c571"/>
          <w:kern w:val="0"/>
          <w:sz w:val="28"/>
          <w:szCs w:val="28"/>
        </w:rPr>
        <w:t xml:space="preserve">L’art. </w:t>
      </w:r>
      <w:r w:rsidR="000112F0" w:rsidRPr="006F733A">
        <w:rPr>
          <w:rFonts w:ascii="Garamond" w:hAnsi="Garamond" w:cs="AdvTT5843c571"/>
          <w:kern w:val="0"/>
          <w:sz w:val="28"/>
          <w:szCs w:val="28"/>
        </w:rPr>
        <w:t>473-</w:t>
      </w:r>
      <w:r w:rsidR="000112F0" w:rsidRPr="006F733A">
        <w:rPr>
          <w:rFonts w:ascii="Garamond" w:hAnsi="Garamond" w:cs="AdvTTf5341347.I"/>
          <w:kern w:val="0"/>
          <w:sz w:val="28"/>
          <w:szCs w:val="28"/>
        </w:rPr>
        <w:t>bis</w:t>
      </w:r>
      <w:r w:rsidR="000112F0" w:rsidRPr="006F733A">
        <w:rPr>
          <w:rFonts w:ascii="Garamond" w:hAnsi="Garamond" w:cs="AdvTT5843c571"/>
          <w:kern w:val="0"/>
          <w:sz w:val="28"/>
          <w:szCs w:val="28"/>
        </w:rPr>
        <w:t>.7</w:t>
      </w:r>
      <w:r w:rsidR="000112F0">
        <w:rPr>
          <w:rFonts w:ascii="Garamond" w:hAnsi="Garamond" w:cs="AdvTT5843c571"/>
          <w:kern w:val="0"/>
          <w:sz w:val="28"/>
          <w:szCs w:val="28"/>
        </w:rPr>
        <w:t>,</w:t>
      </w:r>
      <w:r w:rsidR="000112F0" w:rsidRPr="006F733A">
        <w:rPr>
          <w:rFonts w:ascii="Garamond" w:hAnsi="Garamond" w:cs="AdvTT5843c571"/>
          <w:kern w:val="0"/>
          <w:sz w:val="28"/>
          <w:szCs w:val="28"/>
        </w:rPr>
        <w:t xml:space="preserve"> </w:t>
      </w:r>
      <w:r w:rsidR="000112F0">
        <w:rPr>
          <w:rFonts w:ascii="Garamond" w:hAnsi="Garamond" w:cs="AdvTT5843c571"/>
          <w:kern w:val="0"/>
          <w:sz w:val="28"/>
          <w:szCs w:val="28"/>
        </w:rPr>
        <w:t>comma</w:t>
      </w:r>
      <w:r w:rsidR="000112F0" w:rsidRPr="006F733A">
        <w:rPr>
          <w:rFonts w:ascii="Garamond" w:hAnsi="Garamond" w:cs="AdvTT5843c571"/>
          <w:kern w:val="0"/>
          <w:sz w:val="28"/>
          <w:szCs w:val="28"/>
        </w:rPr>
        <w:t xml:space="preserve"> </w:t>
      </w:r>
      <w:r w:rsidR="000112F0">
        <w:rPr>
          <w:rFonts w:ascii="Garamond" w:hAnsi="Garamond" w:cs="AdvTT5843c571"/>
          <w:kern w:val="0"/>
          <w:sz w:val="28"/>
          <w:szCs w:val="28"/>
        </w:rPr>
        <w:t xml:space="preserve">2, </w:t>
      </w:r>
      <w:r w:rsidR="000112F0" w:rsidRPr="006F733A">
        <w:rPr>
          <w:rFonts w:ascii="Garamond" w:hAnsi="Garamond" w:cs="AdvTT5843c571"/>
          <w:kern w:val="0"/>
          <w:sz w:val="28"/>
          <w:szCs w:val="28"/>
        </w:rPr>
        <w:t>c.p.c.</w:t>
      </w:r>
      <w:r w:rsidR="000112F0">
        <w:rPr>
          <w:rFonts w:ascii="Garamond" w:hAnsi="Garamond" w:cs="AdvTT5843c571"/>
          <w:kern w:val="0"/>
          <w:sz w:val="28"/>
          <w:szCs w:val="28"/>
        </w:rPr>
        <w:t>,</w:t>
      </w:r>
      <w:r w:rsidR="000112F0">
        <w:rPr>
          <w:rFonts w:ascii="Garamond" w:hAnsi="Garamond" w:cs="AdvTT5843c571"/>
          <w:kern w:val="0"/>
          <w:sz w:val="28"/>
          <w:szCs w:val="28"/>
        </w:rPr>
        <w:t xml:space="preserve"> stabilisce che </w:t>
      </w:r>
      <w:r w:rsidR="000112F0" w:rsidRPr="006F733A">
        <w:rPr>
          <w:rFonts w:ascii="Garamond" w:hAnsi="Garamond" w:cs="AdvTT5843c571+20"/>
          <w:kern w:val="0"/>
          <w:sz w:val="28"/>
          <w:szCs w:val="28"/>
        </w:rPr>
        <w:t>“</w:t>
      </w:r>
      <w:r w:rsidR="000112F0" w:rsidRPr="006F733A">
        <w:rPr>
          <w:rFonts w:ascii="Garamond" w:hAnsi="Garamond" w:cs="AdvTTf5341347.I"/>
          <w:kern w:val="0"/>
          <w:sz w:val="28"/>
          <w:szCs w:val="28"/>
        </w:rPr>
        <w:t xml:space="preserve">Il giudice </w:t>
      </w:r>
      <w:r w:rsidR="000112F0" w:rsidRPr="000112F0">
        <w:rPr>
          <w:rFonts w:ascii="Garamond" w:hAnsi="Garamond" w:cs="AdvTTf5341347.I"/>
          <w:b/>
          <w:bCs/>
          <w:kern w:val="0"/>
          <w:sz w:val="28"/>
          <w:szCs w:val="28"/>
        </w:rPr>
        <w:t>può nominare il curatore</w:t>
      </w:r>
      <w:r w:rsidR="000112F0" w:rsidRPr="006F733A">
        <w:rPr>
          <w:rFonts w:ascii="Garamond" w:hAnsi="Garamond" w:cs="AdvTTf5341347.I"/>
          <w:kern w:val="0"/>
          <w:sz w:val="28"/>
          <w:szCs w:val="28"/>
        </w:rPr>
        <w:t xml:space="preserve"> del minore quando dispone,</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all</w:t>
      </w:r>
      <w:r w:rsidR="000112F0" w:rsidRPr="006F733A">
        <w:rPr>
          <w:rFonts w:ascii="Garamond" w:hAnsi="Garamond" w:cs="AdvTTf5341347.I+20"/>
          <w:kern w:val="0"/>
          <w:sz w:val="28"/>
          <w:szCs w:val="28"/>
        </w:rPr>
        <w:t>’</w:t>
      </w:r>
      <w:r w:rsidR="000112F0" w:rsidRPr="006F733A">
        <w:rPr>
          <w:rFonts w:ascii="Garamond" w:hAnsi="Garamond" w:cs="AdvTTf5341347.I"/>
          <w:kern w:val="0"/>
          <w:sz w:val="28"/>
          <w:szCs w:val="28"/>
        </w:rPr>
        <w:t>esito del procedimento, limitazioni della responsabilità genitoriale.</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Il provvedimento di nomina del curatore deve contenere</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l</w:t>
      </w:r>
      <w:r w:rsidR="000112F0" w:rsidRPr="006F733A">
        <w:rPr>
          <w:rFonts w:ascii="Garamond" w:hAnsi="Garamond" w:cs="AdvTTf5341347.I+20"/>
          <w:kern w:val="0"/>
          <w:sz w:val="28"/>
          <w:szCs w:val="28"/>
        </w:rPr>
        <w:t>’</w:t>
      </w:r>
      <w:r w:rsidR="000112F0" w:rsidRPr="006F733A">
        <w:rPr>
          <w:rFonts w:ascii="Garamond" w:hAnsi="Garamond" w:cs="AdvTTf5341347.I"/>
          <w:kern w:val="0"/>
          <w:sz w:val="28"/>
          <w:szCs w:val="28"/>
        </w:rPr>
        <w:t>indicazione: a) della persona presso cui il minore ha la residenza</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abituale; b) degli atti che il curatore ha il potere di compiere</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nell</w:t>
      </w:r>
      <w:r w:rsidR="000112F0" w:rsidRPr="006F733A">
        <w:rPr>
          <w:rFonts w:ascii="Garamond" w:hAnsi="Garamond" w:cs="AdvTTf5341347.I+20"/>
          <w:kern w:val="0"/>
          <w:sz w:val="28"/>
          <w:szCs w:val="28"/>
        </w:rPr>
        <w:t>’</w:t>
      </w:r>
      <w:r w:rsidR="000112F0" w:rsidRPr="006F733A">
        <w:rPr>
          <w:rFonts w:ascii="Garamond" w:hAnsi="Garamond" w:cs="AdvTTf5341347.I"/>
          <w:kern w:val="0"/>
          <w:sz w:val="28"/>
          <w:szCs w:val="28"/>
        </w:rPr>
        <w:t>interesse del minore, e di quelli per i quali è necessaria</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l</w:t>
      </w:r>
      <w:r w:rsidR="000112F0" w:rsidRPr="006F733A">
        <w:rPr>
          <w:rFonts w:ascii="Garamond" w:hAnsi="Garamond" w:cs="AdvTTf5341347.I+20"/>
          <w:kern w:val="0"/>
          <w:sz w:val="28"/>
          <w:szCs w:val="28"/>
        </w:rPr>
        <w:t>’</w:t>
      </w:r>
      <w:r w:rsidR="000112F0" w:rsidRPr="006F733A">
        <w:rPr>
          <w:rFonts w:ascii="Garamond" w:hAnsi="Garamond" w:cs="AdvTTf5341347.I"/>
          <w:kern w:val="0"/>
          <w:sz w:val="28"/>
          <w:szCs w:val="28"/>
        </w:rPr>
        <w:t>autorizzazione del giudice tutelare; c) degli atti che possono</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compiere i genitori, congiuntamente o disgiuntamente; d) degli</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atti che può compiere la persona presso cui il minore ha la</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residenza abituale; e) della periodicità con cui il curatore riferisce</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al giudice tutelare circa l</w:t>
      </w:r>
      <w:r w:rsidR="000112F0" w:rsidRPr="006F733A">
        <w:rPr>
          <w:rFonts w:ascii="Garamond" w:hAnsi="Garamond" w:cs="AdvTTf5341347.I+20"/>
          <w:kern w:val="0"/>
          <w:sz w:val="28"/>
          <w:szCs w:val="28"/>
        </w:rPr>
        <w:t>’</w:t>
      </w:r>
      <w:r w:rsidR="000112F0" w:rsidRPr="006F733A">
        <w:rPr>
          <w:rFonts w:ascii="Garamond" w:hAnsi="Garamond" w:cs="AdvTTf5341347.I"/>
          <w:kern w:val="0"/>
          <w:sz w:val="28"/>
          <w:szCs w:val="28"/>
        </w:rPr>
        <w:t>andamento degli interventi, i</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rapporti mantenuti dal minore con i genitori, l</w:t>
      </w:r>
      <w:r w:rsidR="000112F0" w:rsidRPr="006F733A">
        <w:rPr>
          <w:rFonts w:ascii="Garamond" w:hAnsi="Garamond" w:cs="AdvTTf5341347.I+20"/>
          <w:kern w:val="0"/>
          <w:sz w:val="28"/>
          <w:szCs w:val="28"/>
        </w:rPr>
        <w:t>’</w:t>
      </w:r>
      <w:r w:rsidR="000112F0" w:rsidRPr="006F733A">
        <w:rPr>
          <w:rFonts w:ascii="Garamond" w:hAnsi="Garamond" w:cs="AdvTTf5341347.I"/>
          <w:kern w:val="0"/>
          <w:sz w:val="28"/>
          <w:szCs w:val="28"/>
        </w:rPr>
        <w:t>attuazione del</w:t>
      </w:r>
      <w:r w:rsidR="000112F0">
        <w:rPr>
          <w:rFonts w:ascii="Garamond" w:hAnsi="Garamond" w:cs="AdvTT5843c571"/>
          <w:kern w:val="0"/>
          <w:sz w:val="28"/>
          <w:szCs w:val="28"/>
        </w:rPr>
        <w:t xml:space="preserve"> </w:t>
      </w:r>
      <w:r w:rsidR="000112F0" w:rsidRPr="006F733A">
        <w:rPr>
          <w:rFonts w:ascii="Garamond" w:hAnsi="Garamond" w:cs="AdvTTf5341347.I"/>
          <w:kern w:val="0"/>
          <w:sz w:val="28"/>
          <w:szCs w:val="28"/>
        </w:rPr>
        <w:t>progetto eventualmente predisposto dal tribunale</w:t>
      </w:r>
      <w:r w:rsidR="000112F0" w:rsidRPr="006F733A">
        <w:rPr>
          <w:rFonts w:ascii="Garamond" w:hAnsi="Garamond" w:cs="AdvTTf5341347.I+20"/>
          <w:kern w:val="0"/>
          <w:sz w:val="28"/>
          <w:szCs w:val="28"/>
        </w:rPr>
        <w:t>”</w:t>
      </w:r>
      <w:r w:rsidR="000112F0" w:rsidRPr="006F733A">
        <w:rPr>
          <w:rFonts w:ascii="Garamond" w:hAnsi="Garamond" w:cs="AdvTTf5341347.I"/>
          <w:kern w:val="0"/>
          <w:sz w:val="28"/>
          <w:szCs w:val="28"/>
        </w:rPr>
        <w:t xml:space="preserve">. </w:t>
      </w:r>
    </w:p>
    <w:p w14:paraId="6D5C6B79" w14:textId="3980F0FA" w:rsidR="000112F0" w:rsidRPr="006F733A" w:rsidRDefault="000112F0" w:rsidP="000112F0">
      <w:pPr>
        <w:autoSpaceDE w:val="0"/>
        <w:autoSpaceDN w:val="0"/>
        <w:adjustRightInd w:val="0"/>
        <w:spacing w:after="0" w:line="240" w:lineRule="auto"/>
        <w:jc w:val="both"/>
        <w:rPr>
          <w:rFonts w:ascii="Garamond" w:hAnsi="Garamond" w:cs="AdvTT5843c571"/>
          <w:kern w:val="0"/>
          <w:sz w:val="28"/>
          <w:szCs w:val="28"/>
        </w:rPr>
      </w:pPr>
      <w:r w:rsidRPr="006F733A">
        <w:rPr>
          <w:rFonts w:ascii="Garamond" w:hAnsi="Garamond" w:cs="AdvTT5843c571"/>
          <w:kern w:val="0"/>
          <w:sz w:val="28"/>
          <w:szCs w:val="28"/>
        </w:rPr>
        <w:lastRenderedPageBreak/>
        <w:t>Il curatore</w:t>
      </w:r>
      <w:r>
        <w:rPr>
          <w:rFonts w:ascii="Garamond" w:hAnsi="Garamond" w:cs="AdvTT5843c571"/>
          <w:kern w:val="0"/>
          <w:sz w:val="28"/>
          <w:szCs w:val="28"/>
        </w:rPr>
        <w:t xml:space="preserve"> </w:t>
      </w:r>
      <w:r w:rsidRPr="006F733A">
        <w:rPr>
          <w:rFonts w:ascii="Garamond" w:hAnsi="Garamond" w:cs="AdvTT5843c571"/>
          <w:kern w:val="0"/>
          <w:sz w:val="28"/>
          <w:szCs w:val="28"/>
        </w:rPr>
        <w:t>generale del minore, pertanto, è figura che appartiene all</w:t>
      </w:r>
      <w:r w:rsidRPr="006F733A">
        <w:rPr>
          <w:rFonts w:ascii="Garamond" w:hAnsi="Garamond" w:cs="AdvTT5843c571+20"/>
          <w:kern w:val="0"/>
          <w:sz w:val="28"/>
          <w:szCs w:val="28"/>
        </w:rPr>
        <w:t>’</w:t>
      </w:r>
      <w:r w:rsidRPr="006F733A">
        <w:rPr>
          <w:rFonts w:ascii="Garamond" w:hAnsi="Garamond" w:cs="AdvTT5843c571"/>
          <w:kern w:val="0"/>
          <w:sz w:val="28"/>
          <w:szCs w:val="28"/>
        </w:rPr>
        <w:t>ambito</w:t>
      </w:r>
      <w:r>
        <w:rPr>
          <w:rFonts w:ascii="Garamond" w:hAnsi="Garamond" w:cs="AdvTT5843c571"/>
          <w:kern w:val="0"/>
          <w:sz w:val="28"/>
          <w:szCs w:val="28"/>
        </w:rPr>
        <w:t xml:space="preserve"> </w:t>
      </w:r>
      <w:r w:rsidRPr="006F733A">
        <w:rPr>
          <w:rFonts w:ascii="Garamond" w:hAnsi="Garamond" w:cs="AdvTT5843c571+20"/>
          <w:kern w:val="0"/>
          <w:sz w:val="28"/>
          <w:szCs w:val="28"/>
        </w:rPr>
        <w:t>“</w:t>
      </w:r>
      <w:r w:rsidRPr="006F733A">
        <w:rPr>
          <w:rFonts w:ascii="Garamond" w:hAnsi="Garamond" w:cs="AdvTT5843c571"/>
          <w:kern w:val="0"/>
          <w:sz w:val="28"/>
          <w:szCs w:val="28"/>
        </w:rPr>
        <w:t>sostanziale</w:t>
      </w:r>
      <w:r w:rsidRPr="006F733A">
        <w:rPr>
          <w:rFonts w:ascii="Garamond" w:hAnsi="Garamond" w:cs="AdvTT5843c571+20"/>
          <w:kern w:val="0"/>
          <w:sz w:val="28"/>
          <w:szCs w:val="28"/>
        </w:rPr>
        <w:t>”</w:t>
      </w:r>
      <w:r w:rsidRPr="006F733A">
        <w:rPr>
          <w:rFonts w:ascii="Garamond" w:hAnsi="Garamond" w:cs="AdvTT5843c571"/>
          <w:kern w:val="0"/>
          <w:sz w:val="28"/>
          <w:szCs w:val="28"/>
        </w:rPr>
        <w:t>, come quella del tutore, ma con compiti più limitati</w:t>
      </w:r>
      <w:r>
        <w:rPr>
          <w:rFonts w:ascii="Garamond" w:hAnsi="Garamond" w:cs="AdvTT5843c571"/>
          <w:kern w:val="0"/>
          <w:sz w:val="28"/>
          <w:szCs w:val="28"/>
        </w:rPr>
        <w:t xml:space="preserve"> </w:t>
      </w:r>
      <w:r w:rsidRPr="006F733A">
        <w:rPr>
          <w:rFonts w:ascii="Garamond" w:hAnsi="Garamond" w:cs="AdvTT5843c571"/>
          <w:kern w:val="0"/>
          <w:sz w:val="28"/>
          <w:szCs w:val="28"/>
        </w:rPr>
        <w:t>e specificamente individuati nel provvedimento giudiziale di</w:t>
      </w:r>
      <w:r>
        <w:rPr>
          <w:rFonts w:ascii="Garamond" w:hAnsi="Garamond" w:cs="AdvTT5843c571"/>
          <w:kern w:val="0"/>
          <w:sz w:val="28"/>
          <w:szCs w:val="28"/>
        </w:rPr>
        <w:t xml:space="preserve"> </w:t>
      </w:r>
      <w:r w:rsidRPr="006F733A">
        <w:rPr>
          <w:rFonts w:ascii="Garamond" w:hAnsi="Garamond" w:cs="AdvTT5843c571"/>
          <w:kern w:val="0"/>
          <w:sz w:val="28"/>
          <w:szCs w:val="28"/>
        </w:rPr>
        <w:t>nomina (</w:t>
      </w:r>
      <w:r>
        <w:rPr>
          <w:rFonts w:ascii="Garamond" w:hAnsi="Garamond" w:cs="AdvTT5843c571"/>
          <w:kern w:val="0"/>
          <w:sz w:val="28"/>
          <w:szCs w:val="28"/>
        </w:rPr>
        <w:t xml:space="preserve">così la </w:t>
      </w:r>
      <w:r w:rsidRPr="006F733A">
        <w:rPr>
          <w:rFonts w:ascii="Garamond" w:hAnsi="Garamond" w:cs="AdvTTf5341347.I"/>
          <w:kern w:val="0"/>
          <w:sz w:val="28"/>
          <w:szCs w:val="28"/>
        </w:rPr>
        <w:t>Relazione illustrativa al decreto legislativo 10 ottobre 2022, n. 149</w:t>
      </w:r>
      <w:r w:rsidRPr="006F733A">
        <w:rPr>
          <w:rFonts w:ascii="Garamond" w:hAnsi="Garamond" w:cs="AdvTT5843c571"/>
          <w:kern w:val="0"/>
          <w:sz w:val="28"/>
          <w:szCs w:val="28"/>
        </w:rPr>
        <w:t>,</w:t>
      </w:r>
      <w:r>
        <w:rPr>
          <w:rFonts w:ascii="Garamond" w:hAnsi="Garamond" w:cs="AdvTT5843c571"/>
          <w:kern w:val="0"/>
          <w:sz w:val="28"/>
          <w:szCs w:val="28"/>
        </w:rPr>
        <w:t xml:space="preserve"> </w:t>
      </w:r>
      <w:r w:rsidRPr="006F733A">
        <w:rPr>
          <w:rFonts w:ascii="Garamond" w:hAnsi="Garamond" w:cs="AdvTT5843c571"/>
          <w:kern w:val="0"/>
          <w:sz w:val="28"/>
          <w:szCs w:val="28"/>
        </w:rPr>
        <w:t>p. 55.)</w:t>
      </w:r>
    </w:p>
    <w:p w14:paraId="26B176D1" w14:textId="57DB6C7E" w:rsidR="000112F0" w:rsidRPr="006F733A" w:rsidRDefault="000112F0" w:rsidP="000112F0">
      <w:pPr>
        <w:autoSpaceDE w:val="0"/>
        <w:autoSpaceDN w:val="0"/>
        <w:adjustRightInd w:val="0"/>
        <w:spacing w:after="0" w:line="240" w:lineRule="auto"/>
        <w:jc w:val="both"/>
        <w:rPr>
          <w:rFonts w:ascii="Garamond" w:hAnsi="Garamond" w:cs="AdvTT5843c571"/>
          <w:kern w:val="0"/>
          <w:sz w:val="28"/>
          <w:szCs w:val="28"/>
        </w:rPr>
      </w:pPr>
      <w:r>
        <w:rPr>
          <w:rFonts w:ascii="Garamond" w:hAnsi="Garamond" w:cs="AdvTT5843c571"/>
          <w:kern w:val="0"/>
          <w:sz w:val="28"/>
          <w:szCs w:val="28"/>
        </w:rPr>
        <w:t xml:space="preserve">Per quanto riguarda </w:t>
      </w:r>
      <w:r w:rsidRPr="006F733A">
        <w:rPr>
          <w:rFonts w:ascii="Garamond" w:hAnsi="Garamond" w:cs="AdvTT5843c571"/>
          <w:kern w:val="0"/>
          <w:sz w:val="28"/>
          <w:szCs w:val="28"/>
        </w:rPr>
        <w:t>l</w:t>
      </w:r>
      <w:r w:rsidRPr="006F733A">
        <w:rPr>
          <w:rFonts w:ascii="Garamond" w:hAnsi="Garamond" w:cs="AdvTT5843c571+20"/>
          <w:kern w:val="0"/>
          <w:sz w:val="28"/>
          <w:szCs w:val="28"/>
        </w:rPr>
        <w:t>’</w:t>
      </w:r>
      <w:r w:rsidRPr="006F733A">
        <w:rPr>
          <w:rFonts w:ascii="Garamond" w:hAnsi="Garamond" w:cs="AdvTT5843c571"/>
          <w:kern w:val="0"/>
          <w:sz w:val="28"/>
          <w:szCs w:val="28"/>
        </w:rPr>
        <w:t>attribuzione di poteri, nell</w:t>
      </w:r>
      <w:r w:rsidRPr="006F733A">
        <w:rPr>
          <w:rFonts w:ascii="Garamond" w:hAnsi="Garamond" w:cs="AdvTT5843c571+20"/>
          <w:kern w:val="0"/>
          <w:sz w:val="28"/>
          <w:szCs w:val="28"/>
        </w:rPr>
        <w:t>’</w:t>
      </w:r>
      <w:r w:rsidRPr="006F733A">
        <w:rPr>
          <w:rFonts w:ascii="Garamond" w:hAnsi="Garamond" w:cs="AdvTT5843c571"/>
          <w:kern w:val="0"/>
          <w:sz w:val="28"/>
          <w:szCs w:val="28"/>
        </w:rPr>
        <w:t>ordine, il provvedimento</w:t>
      </w:r>
      <w:r>
        <w:rPr>
          <w:rFonts w:ascii="Garamond" w:hAnsi="Garamond" w:cs="AdvTT5843c571"/>
          <w:kern w:val="0"/>
          <w:sz w:val="28"/>
          <w:szCs w:val="28"/>
        </w:rPr>
        <w:t xml:space="preserve"> </w:t>
      </w:r>
      <w:r w:rsidRPr="006F733A">
        <w:rPr>
          <w:rFonts w:ascii="Garamond" w:hAnsi="Garamond" w:cs="AdvTT5843c571"/>
          <w:kern w:val="0"/>
          <w:sz w:val="28"/>
          <w:szCs w:val="28"/>
        </w:rPr>
        <w:t xml:space="preserve">giudiziale deve indicare gli </w:t>
      </w:r>
      <w:r w:rsidRPr="006F733A">
        <w:rPr>
          <w:rFonts w:ascii="Garamond" w:hAnsi="Garamond" w:cs="AdvTT5843c571+20"/>
          <w:kern w:val="0"/>
          <w:sz w:val="28"/>
          <w:szCs w:val="28"/>
        </w:rPr>
        <w:t>“</w:t>
      </w:r>
      <w:r w:rsidRPr="006F733A">
        <w:rPr>
          <w:rFonts w:ascii="Garamond" w:hAnsi="Garamond" w:cs="AdvTTf5341347.I"/>
          <w:kern w:val="0"/>
          <w:sz w:val="28"/>
          <w:szCs w:val="28"/>
        </w:rPr>
        <w:t>atti che curatore ha il potere</w:t>
      </w:r>
      <w:r>
        <w:rPr>
          <w:rFonts w:ascii="Garamond" w:hAnsi="Garamond" w:cs="AdvTT5843c571"/>
          <w:kern w:val="0"/>
          <w:sz w:val="28"/>
          <w:szCs w:val="28"/>
        </w:rPr>
        <w:t xml:space="preserve"> </w:t>
      </w:r>
      <w:r w:rsidRPr="006F733A">
        <w:rPr>
          <w:rFonts w:ascii="Garamond" w:hAnsi="Garamond" w:cs="AdvTTf5341347.I"/>
          <w:kern w:val="0"/>
          <w:sz w:val="28"/>
          <w:szCs w:val="28"/>
        </w:rPr>
        <w:t>di compiere nell</w:t>
      </w:r>
      <w:r w:rsidRPr="006F733A">
        <w:rPr>
          <w:rFonts w:ascii="Garamond" w:hAnsi="Garamond" w:cs="AdvTTf5341347.I+20"/>
          <w:kern w:val="0"/>
          <w:sz w:val="28"/>
          <w:szCs w:val="28"/>
        </w:rPr>
        <w:t>’</w:t>
      </w:r>
      <w:r w:rsidRPr="006F733A">
        <w:rPr>
          <w:rFonts w:ascii="Garamond" w:hAnsi="Garamond" w:cs="AdvTTf5341347.I"/>
          <w:kern w:val="0"/>
          <w:sz w:val="28"/>
          <w:szCs w:val="28"/>
        </w:rPr>
        <w:t>interesse del minore, e di quelli per i quali è</w:t>
      </w:r>
      <w:r>
        <w:rPr>
          <w:rFonts w:ascii="Garamond" w:hAnsi="Garamond" w:cs="AdvTT5843c571"/>
          <w:kern w:val="0"/>
          <w:sz w:val="28"/>
          <w:szCs w:val="28"/>
        </w:rPr>
        <w:t xml:space="preserve"> </w:t>
      </w:r>
      <w:r w:rsidRPr="006F733A">
        <w:rPr>
          <w:rFonts w:ascii="Garamond" w:hAnsi="Garamond" w:cs="AdvTTf5341347.I"/>
          <w:kern w:val="0"/>
          <w:sz w:val="28"/>
          <w:szCs w:val="28"/>
        </w:rPr>
        <w:t>necessaria l</w:t>
      </w:r>
      <w:r w:rsidRPr="006F733A">
        <w:rPr>
          <w:rFonts w:ascii="Garamond" w:hAnsi="Garamond" w:cs="AdvTTf5341347.I+20"/>
          <w:kern w:val="0"/>
          <w:sz w:val="28"/>
          <w:szCs w:val="28"/>
        </w:rPr>
        <w:t>’</w:t>
      </w:r>
      <w:r w:rsidRPr="006F733A">
        <w:rPr>
          <w:rFonts w:ascii="Garamond" w:hAnsi="Garamond" w:cs="AdvTTf5341347.I"/>
          <w:kern w:val="0"/>
          <w:sz w:val="28"/>
          <w:szCs w:val="28"/>
        </w:rPr>
        <w:t>autorizzazione del giudice tutelare</w:t>
      </w:r>
      <w:r w:rsidRPr="006F733A">
        <w:rPr>
          <w:rFonts w:ascii="Garamond" w:hAnsi="Garamond" w:cs="AdvTT5843c571+20"/>
          <w:kern w:val="0"/>
          <w:sz w:val="28"/>
          <w:szCs w:val="28"/>
        </w:rPr>
        <w:t>”</w:t>
      </w:r>
      <w:r>
        <w:rPr>
          <w:rFonts w:ascii="Garamond" w:hAnsi="Garamond" w:cs="AdvTT5843c571+20"/>
          <w:kern w:val="0"/>
          <w:sz w:val="28"/>
          <w:szCs w:val="28"/>
        </w:rPr>
        <w:t>.</w:t>
      </w:r>
      <w:r w:rsidRPr="006F733A">
        <w:rPr>
          <w:rFonts w:ascii="Garamond" w:hAnsi="Garamond" w:cs="AdvTT5843c571"/>
          <w:kern w:val="0"/>
          <w:sz w:val="28"/>
          <w:szCs w:val="28"/>
        </w:rPr>
        <w:t xml:space="preserve"> La formulazione</w:t>
      </w:r>
      <w:r>
        <w:rPr>
          <w:rFonts w:ascii="Garamond" w:hAnsi="Garamond" w:cs="AdvTT5843c571"/>
          <w:kern w:val="0"/>
          <w:sz w:val="28"/>
          <w:szCs w:val="28"/>
        </w:rPr>
        <w:t xml:space="preserve"> </w:t>
      </w:r>
      <w:r w:rsidRPr="006F733A">
        <w:rPr>
          <w:rFonts w:ascii="Garamond" w:hAnsi="Garamond" w:cs="AdvTT5843c571"/>
          <w:kern w:val="0"/>
          <w:sz w:val="28"/>
          <w:szCs w:val="28"/>
        </w:rPr>
        <w:t>normativa appare ampia ed elastica, limitandosi a fissare</w:t>
      </w:r>
      <w:r>
        <w:rPr>
          <w:rFonts w:ascii="Garamond" w:hAnsi="Garamond" w:cs="AdvTT5843c571"/>
          <w:kern w:val="0"/>
          <w:sz w:val="28"/>
          <w:szCs w:val="28"/>
        </w:rPr>
        <w:t xml:space="preserve"> </w:t>
      </w:r>
      <w:r w:rsidRPr="006F733A">
        <w:rPr>
          <w:rFonts w:ascii="Garamond" w:hAnsi="Garamond" w:cs="AdvTT5843c571"/>
          <w:kern w:val="0"/>
          <w:sz w:val="28"/>
          <w:szCs w:val="28"/>
        </w:rPr>
        <w:t>il criterio funzionale della realizzazione dell</w:t>
      </w:r>
      <w:r w:rsidRPr="006F733A">
        <w:rPr>
          <w:rFonts w:ascii="Garamond" w:hAnsi="Garamond" w:cs="AdvTT5843c571+20"/>
          <w:kern w:val="0"/>
          <w:sz w:val="28"/>
          <w:szCs w:val="28"/>
        </w:rPr>
        <w:t>’</w:t>
      </w:r>
      <w:r w:rsidRPr="006F733A">
        <w:rPr>
          <w:rFonts w:ascii="Garamond" w:hAnsi="Garamond" w:cs="AdvTT5843c571"/>
          <w:kern w:val="0"/>
          <w:sz w:val="28"/>
          <w:szCs w:val="28"/>
        </w:rPr>
        <w:t>interesse del minore,</w:t>
      </w:r>
      <w:r>
        <w:rPr>
          <w:rFonts w:ascii="Garamond" w:hAnsi="Garamond" w:cs="AdvTT5843c571"/>
          <w:kern w:val="0"/>
          <w:sz w:val="28"/>
          <w:szCs w:val="28"/>
        </w:rPr>
        <w:t xml:space="preserve"> </w:t>
      </w:r>
      <w:r w:rsidRPr="006F733A">
        <w:rPr>
          <w:rFonts w:ascii="Garamond" w:hAnsi="Garamond" w:cs="AdvTT5843c571"/>
          <w:kern w:val="0"/>
          <w:sz w:val="28"/>
          <w:szCs w:val="28"/>
        </w:rPr>
        <w:t>quale beneficiario della misura protettiva, senza predeterminare</w:t>
      </w:r>
    </w:p>
    <w:p w14:paraId="1960CE47" w14:textId="4AA0D033" w:rsidR="000112F0" w:rsidRDefault="000112F0" w:rsidP="000112F0">
      <w:pPr>
        <w:autoSpaceDE w:val="0"/>
        <w:autoSpaceDN w:val="0"/>
        <w:adjustRightInd w:val="0"/>
        <w:spacing w:after="0" w:line="240" w:lineRule="auto"/>
        <w:jc w:val="both"/>
        <w:rPr>
          <w:rFonts w:ascii="Garamond" w:hAnsi="Garamond" w:cs="AdvTT5843c571"/>
          <w:kern w:val="0"/>
          <w:sz w:val="28"/>
          <w:szCs w:val="28"/>
        </w:rPr>
      </w:pPr>
      <w:r w:rsidRPr="006F733A">
        <w:rPr>
          <w:rFonts w:ascii="Garamond" w:hAnsi="Garamond" w:cs="AdvTT5843c571"/>
          <w:kern w:val="0"/>
          <w:sz w:val="28"/>
          <w:szCs w:val="28"/>
        </w:rPr>
        <w:t>le modalità di esercizio. In particolare, non vi sono limitazioni</w:t>
      </w:r>
      <w:r>
        <w:rPr>
          <w:rFonts w:ascii="Garamond" w:hAnsi="Garamond" w:cs="AdvTT5843c571"/>
          <w:kern w:val="0"/>
          <w:sz w:val="28"/>
          <w:szCs w:val="28"/>
        </w:rPr>
        <w:t xml:space="preserve"> </w:t>
      </w:r>
      <w:r w:rsidRPr="006F733A">
        <w:rPr>
          <w:rFonts w:ascii="Garamond" w:hAnsi="Garamond" w:cs="AdvTT5843c571"/>
          <w:kern w:val="0"/>
          <w:sz w:val="28"/>
          <w:szCs w:val="28"/>
        </w:rPr>
        <w:t>normative ai meccanismi giuridici utilizzabili, tra quelli</w:t>
      </w:r>
      <w:r>
        <w:rPr>
          <w:rFonts w:ascii="Garamond" w:hAnsi="Garamond" w:cs="AdvTT5843c571"/>
          <w:kern w:val="0"/>
          <w:sz w:val="28"/>
          <w:szCs w:val="28"/>
        </w:rPr>
        <w:t xml:space="preserve"> </w:t>
      </w:r>
      <w:r w:rsidRPr="006F733A">
        <w:rPr>
          <w:rFonts w:ascii="Garamond" w:hAnsi="Garamond" w:cs="AdvTT5843c571"/>
          <w:kern w:val="0"/>
          <w:sz w:val="28"/>
          <w:szCs w:val="28"/>
        </w:rPr>
        <w:t>sostitutivi della rappresentanza legale, ovvero quelli assistenziali della curatela. A seconda delle tipologie di atti da compiere, la</w:t>
      </w:r>
      <w:r>
        <w:rPr>
          <w:rFonts w:ascii="Garamond" w:hAnsi="Garamond" w:cs="AdvTT5843c571"/>
          <w:kern w:val="0"/>
          <w:sz w:val="28"/>
          <w:szCs w:val="28"/>
        </w:rPr>
        <w:t xml:space="preserve"> </w:t>
      </w:r>
      <w:r w:rsidRPr="006F733A">
        <w:rPr>
          <w:rFonts w:ascii="Garamond" w:hAnsi="Garamond" w:cs="AdvTT5843c571"/>
          <w:kern w:val="0"/>
          <w:sz w:val="28"/>
          <w:szCs w:val="28"/>
        </w:rPr>
        <w:t>scelta e la combinazione dei meccanismi giuridici di esercizio</w:t>
      </w:r>
      <w:r>
        <w:rPr>
          <w:rFonts w:ascii="Garamond" w:hAnsi="Garamond" w:cs="AdvTT5843c571"/>
          <w:kern w:val="0"/>
          <w:sz w:val="28"/>
          <w:szCs w:val="28"/>
        </w:rPr>
        <w:t xml:space="preserve"> </w:t>
      </w:r>
      <w:r w:rsidRPr="006F733A">
        <w:rPr>
          <w:rFonts w:ascii="Garamond" w:hAnsi="Garamond" w:cs="AdvTT5843c571"/>
          <w:kern w:val="0"/>
          <w:sz w:val="28"/>
          <w:szCs w:val="28"/>
        </w:rPr>
        <w:t>dei poteri attributi al curatore, pertanto, sono rimesse alla decisione</w:t>
      </w:r>
      <w:r>
        <w:rPr>
          <w:rFonts w:ascii="Garamond" w:hAnsi="Garamond" w:cs="AdvTT5843c571"/>
          <w:kern w:val="0"/>
          <w:sz w:val="28"/>
          <w:szCs w:val="28"/>
        </w:rPr>
        <w:t xml:space="preserve"> </w:t>
      </w:r>
      <w:r w:rsidRPr="006F733A">
        <w:rPr>
          <w:rFonts w:ascii="Garamond" w:hAnsi="Garamond" w:cs="AdvTT5843c571"/>
          <w:kern w:val="0"/>
          <w:sz w:val="28"/>
          <w:szCs w:val="28"/>
        </w:rPr>
        <w:t>discrezionale del giudice che dispone la nomina.</w:t>
      </w:r>
      <w:r>
        <w:rPr>
          <w:rFonts w:ascii="Garamond" w:hAnsi="Garamond" w:cs="AdvTT5843c571"/>
          <w:kern w:val="0"/>
          <w:sz w:val="28"/>
          <w:szCs w:val="28"/>
        </w:rPr>
        <w:t xml:space="preserve"> </w:t>
      </w:r>
    </w:p>
    <w:p w14:paraId="2D8CB33F" w14:textId="77777777" w:rsidR="000112F0" w:rsidRDefault="000112F0" w:rsidP="000112F0">
      <w:pPr>
        <w:autoSpaceDE w:val="0"/>
        <w:autoSpaceDN w:val="0"/>
        <w:adjustRightInd w:val="0"/>
        <w:spacing w:after="0" w:line="240" w:lineRule="auto"/>
        <w:jc w:val="both"/>
        <w:rPr>
          <w:rFonts w:ascii="Garamond" w:hAnsi="Garamond" w:cs="AdvTT5843c571"/>
          <w:kern w:val="0"/>
          <w:sz w:val="28"/>
          <w:szCs w:val="28"/>
        </w:rPr>
      </w:pPr>
    </w:p>
    <w:p w14:paraId="17D9D86C" w14:textId="7A3FB093" w:rsidR="004D18E3" w:rsidRPr="000112F0" w:rsidRDefault="000112F0" w:rsidP="00184CB8">
      <w:pPr>
        <w:autoSpaceDE w:val="0"/>
        <w:autoSpaceDN w:val="0"/>
        <w:adjustRightInd w:val="0"/>
        <w:spacing w:after="0" w:line="240" w:lineRule="auto"/>
        <w:jc w:val="both"/>
        <w:rPr>
          <w:rFonts w:ascii="Garamond" w:hAnsi="Garamond" w:cs="AdvTT5843c571"/>
          <w:kern w:val="0"/>
          <w:sz w:val="28"/>
          <w:szCs w:val="28"/>
        </w:rPr>
      </w:pPr>
      <w:r w:rsidRPr="000112F0">
        <w:rPr>
          <w:rFonts w:ascii="Garamond" w:hAnsi="Garamond" w:cs="AdvTT5843c571"/>
          <w:kern w:val="0"/>
          <w:sz w:val="28"/>
          <w:szCs w:val="28"/>
          <w:highlight w:val="yellow"/>
        </w:rPr>
        <w:t xml:space="preserve">Quindi la </w:t>
      </w:r>
      <w:r w:rsidR="00D96526" w:rsidRPr="000112F0">
        <w:rPr>
          <w:rFonts w:ascii="Garamond" w:hAnsi="Garamond" w:cs="Times New Roman"/>
          <w:kern w:val="0"/>
          <w:sz w:val="28"/>
          <w:szCs w:val="28"/>
          <w:highlight w:val="yellow"/>
        </w:rPr>
        <w:t xml:space="preserve">nomina </w:t>
      </w:r>
      <w:r w:rsidR="00D96526" w:rsidRPr="006F733A">
        <w:rPr>
          <w:rFonts w:ascii="Garamond" w:hAnsi="Garamond" w:cs="Times New Roman"/>
          <w:kern w:val="0"/>
          <w:sz w:val="28"/>
          <w:szCs w:val="28"/>
          <w:highlight w:val="yellow"/>
        </w:rPr>
        <w:t xml:space="preserve">del </w:t>
      </w:r>
      <w:r w:rsidR="00D96526" w:rsidRPr="006F733A">
        <w:rPr>
          <w:rFonts w:ascii="Garamond" w:hAnsi="Garamond" w:cs="Times New Roman"/>
          <w:b/>
          <w:bCs/>
          <w:kern w:val="0"/>
          <w:sz w:val="28"/>
          <w:szCs w:val="28"/>
          <w:highlight w:val="yellow"/>
        </w:rPr>
        <w:t>curatore generale del minore</w:t>
      </w:r>
      <w:r w:rsidR="00D96526" w:rsidRPr="006F733A">
        <w:rPr>
          <w:rFonts w:ascii="Garamond" w:hAnsi="Garamond" w:cs="Times New Roman"/>
          <w:kern w:val="0"/>
          <w:sz w:val="28"/>
          <w:szCs w:val="28"/>
          <w:highlight w:val="yellow"/>
        </w:rPr>
        <w:t xml:space="preserve"> ex art. 473- bis.7, comma 2, c.p.c. adottabile in caso di </w:t>
      </w:r>
      <w:r w:rsidR="00D96526" w:rsidRPr="006F733A">
        <w:rPr>
          <w:rFonts w:ascii="Garamond" w:hAnsi="Garamond" w:cs="Times New Roman"/>
          <w:b/>
          <w:bCs/>
          <w:kern w:val="0"/>
          <w:sz w:val="28"/>
          <w:szCs w:val="28"/>
          <w:highlight w:val="yellow"/>
        </w:rPr>
        <w:t>restrizioni</w:t>
      </w:r>
      <w:r w:rsidR="00D96526" w:rsidRPr="006F733A">
        <w:rPr>
          <w:rFonts w:ascii="Garamond" w:hAnsi="Garamond" w:cs="Times New Roman"/>
          <w:kern w:val="0"/>
          <w:sz w:val="28"/>
          <w:szCs w:val="28"/>
          <w:highlight w:val="yellow"/>
        </w:rPr>
        <w:t xml:space="preserve"> alla responsabilità genitoriale, costituisce una </w:t>
      </w:r>
      <w:r w:rsidR="00D96526" w:rsidRPr="006F733A">
        <w:rPr>
          <w:rFonts w:ascii="Garamond" w:hAnsi="Garamond" w:cs="Times New Roman"/>
          <w:b/>
          <w:bCs/>
          <w:kern w:val="0"/>
          <w:sz w:val="28"/>
          <w:szCs w:val="28"/>
          <w:highlight w:val="yellow"/>
        </w:rPr>
        <w:t xml:space="preserve">nuova forma protettiva di portata trasversale e contenuto adeguabile </w:t>
      </w:r>
      <w:r w:rsidR="00D96526" w:rsidRPr="006F733A">
        <w:rPr>
          <w:rFonts w:ascii="Garamond" w:hAnsi="Garamond" w:cs="Times New Roman"/>
          <w:kern w:val="0"/>
          <w:sz w:val="28"/>
          <w:szCs w:val="28"/>
          <w:highlight w:val="yellow"/>
        </w:rPr>
        <w:t>alle necessità del beneficiario</w:t>
      </w:r>
      <w:r w:rsidR="00EE6578" w:rsidRPr="006F733A">
        <w:rPr>
          <w:rFonts w:ascii="Garamond" w:hAnsi="Garamond" w:cs="Times New Roman"/>
          <w:kern w:val="0"/>
          <w:sz w:val="28"/>
          <w:szCs w:val="28"/>
          <w:highlight w:val="yellow"/>
        </w:rPr>
        <w:t xml:space="preserve"> con il riconoscimento di un autonomo compimento delle scelte personali e patrimoniali.</w:t>
      </w:r>
    </w:p>
    <w:p w14:paraId="3405D1CF" w14:textId="2BDD791D" w:rsidR="000358BF" w:rsidRPr="006F733A" w:rsidRDefault="000358BF" w:rsidP="00184CB8">
      <w:pPr>
        <w:autoSpaceDE w:val="0"/>
        <w:autoSpaceDN w:val="0"/>
        <w:adjustRightInd w:val="0"/>
        <w:spacing w:after="0" w:line="240" w:lineRule="auto"/>
        <w:jc w:val="both"/>
        <w:rPr>
          <w:rFonts w:ascii="Garamond" w:hAnsi="Garamond" w:cs="Times New Roman"/>
          <w:color w:val="333333"/>
          <w:sz w:val="28"/>
          <w:szCs w:val="28"/>
          <w:highlight w:val="yellow"/>
          <w:shd w:val="clear" w:color="auto" w:fill="F5F5F5"/>
        </w:rPr>
      </w:pPr>
      <w:proofErr w:type="gramStart"/>
      <w:r w:rsidRPr="006F733A">
        <w:rPr>
          <w:rFonts w:ascii="Garamond" w:hAnsi="Garamond" w:cs="Times New Roman"/>
          <w:color w:val="333333"/>
          <w:sz w:val="28"/>
          <w:szCs w:val="28"/>
          <w:highlight w:val="yellow"/>
          <w:shd w:val="clear" w:color="auto" w:fill="F5F5F5"/>
        </w:rPr>
        <w:t>Dunque</w:t>
      </w:r>
      <w:proofErr w:type="gramEnd"/>
      <w:r w:rsidRPr="006F733A">
        <w:rPr>
          <w:rFonts w:ascii="Garamond" w:hAnsi="Garamond" w:cs="Times New Roman"/>
          <w:color w:val="333333"/>
          <w:sz w:val="28"/>
          <w:szCs w:val="28"/>
          <w:highlight w:val="yellow"/>
          <w:shd w:val="clear" w:color="auto" w:fill="F5F5F5"/>
        </w:rPr>
        <w:t xml:space="preserve"> accanto alla nomina, anche d’ufficio, di un tutore del minore in caso di provvedimenti di </w:t>
      </w:r>
      <w:r w:rsidRPr="006F733A">
        <w:rPr>
          <w:rFonts w:ascii="Garamond" w:hAnsi="Garamond" w:cs="Times New Roman"/>
          <w:b/>
          <w:bCs/>
          <w:color w:val="333333"/>
          <w:sz w:val="28"/>
          <w:szCs w:val="28"/>
          <w:highlight w:val="yellow"/>
          <w:shd w:val="clear" w:color="auto" w:fill="F5F5F5"/>
        </w:rPr>
        <w:t>sospensione o di decadenza</w:t>
      </w:r>
      <w:r w:rsidRPr="006F733A">
        <w:rPr>
          <w:rFonts w:ascii="Garamond" w:hAnsi="Garamond" w:cs="Times New Roman"/>
          <w:color w:val="333333"/>
          <w:sz w:val="28"/>
          <w:szCs w:val="28"/>
          <w:highlight w:val="yellow"/>
          <w:shd w:val="clear" w:color="auto" w:fill="F5F5F5"/>
        </w:rPr>
        <w:t xml:space="preserve"> dalla responsabilità genitoriale; la possibile nomina di un curatore generale del minore all’esito di </w:t>
      </w:r>
      <w:r w:rsidRPr="006F733A">
        <w:rPr>
          <w:rFonts w:ascii="Garamond" w:hAnsi="Garamond" w:cs="Times New Roman"/>
          <w:b/>
          <w:bCs/>
          <w:color w:val="333333"/>
          <w:sz w:val="28"/>
          <w:szCs w:val="28"/>
          <w:highlight w:val="yellow"/>
          <w:shd w:val="clear" w:color="auto" w:fill="F5F5F5"/>
        </w:rPr>
        <w:t>procedimenti limitativi</w:t>
      </w:r>
      <w:r w:rsidRPr="006F733A">
        <w:rPr>
          <w:rFonts w:ascii="Garamond" w:hAnsi="Garamond" w:cs="Times New Roman"/>
          <w:color w:val="333333"/>
          <w:sz w:val="28"/>
          <w:szCs w:val="28"/>
          <w:highlight w:val="yellow"/>
          <w:shd w:val="clear" w:color="auto" w:fill="F5F5F5"/>
        </w:rPr>
        <w:t xml:space="preserve"> della responsabilità genitoriale. </w:t>
      </w:r>
    </w:p>
    <w:p w14:paraId="6A0E4CCF" w14:textId="77777777" w:rsidR="00D96526" w:rsidRPr="006F733A" w:rsidRDefault="00D96526" w:rsidP="00184CB8">
      <w:pPr>
        <w:autoSpaceDE w:val="0"/>
        <w:autoSpaceDN w:val="0"/>
        <w:adjustRightInd w:val="0"/>
        <w:spacing w:after="0" w:line="240" w:lineRule="auto"/>
        <w:jc w:val="both"/>
        <w:rPr>
          <w:rFonts w:ascii="Garamond" w:hAnsi="Garamond" w:cs="Times New Roman"/>
          <w:kern w:val="0"/>
          <w:sz w:val="28"/>
          <w:szCs w:val="28"/>
        </w:rPr>
      </w:pPr>
      <w:r w:rsidRPr="006F733A">
        <w:rPr>
          <w:rFonts w:ascii="Garamond" w:hAnsi="Garamond" w:cs="Times New Roman"/>
          <w:kern w:val="0"/>
          <w:sz w:val="28"/>
          <w:szCs w:val="28"/>
          <w:highlight w:val="yellow"/>
        </w:rPr>
        <w:t xml:space="preserve">Il provvedimento giudiziale è idoneo a incidere tanto sui profili interni alla </w:t>
      </w:r>
      <w:r w:rsidRPr="006F733A">
        <w:rPr>
          <w:rFonts w:ascii="Garamond" w:hAnsi="Garamond" w:cs="Times New Roman"/>
          <w:b/>
          <w:bCs/>
          <w:kern w:val="0"/>
          <w:sz w:val="28"/>
          <w:szCs w:val="28"/>
          <w:highlight w:val="yellow"/>
        </w:rPr>
        <w:t>responsabilità genitoriale</w:t>
      </w:r>
      <w:r w:rsidRPr="006F733A">
        <w:rPr>
          <w:rFonts w:ascii="Garamond" w:hAnsi="Garamond" w:cs="Times New Roman"/>
          <w:kern w:val="0"/>
          <w:sz w:val="28"/>
          <w:szCs w:val="28"/>
          <w:highlight w:val="yellow"/>
        </w:rPr>
        <w:t xml:space="preserve"> del minore, quanto sui profili esterni dell’autonomo compimento di </w:t>
      </w:r>
      <w:r w:rsidRPr="006F733A">
        <w:rPr>
          <w:rFonts w:ascii="Garamond" w:hAnsi="Garamond" w:cs="Times New Roman"/>
          <w:b/>
          <w:bCs/>
          <w:kern w:val="0"/>
          <w:sz w:val="28"/>
          <w:szCs w:val="28"/>
          <w:highlight w:val="yellow"/>
        </w:rPr>
        <w:t>scelte afferenti</w:t>
      </w:r>
      <w:r w:rsidRPr="006F733A">
        <w:rPr>
          <w:rFonts w:ascii="Garamond" w:hAnsi="Garamond" w:cs="Times New Roman"/>
          <w:kern w:val="0"/>
          <w:sz w:val="28"/>
          <w:szCs w:val="28"/>
          <w:highlight w:val="yellow"/>
        </w:rPr>
        <w:t xml:space="preserve"> alla sua sfera sia </w:t>
      </w:r>
      <w:r w:rsidRPr="006F733A">
        <w:rPr>
          <w:rFonts w:ascii="Garamond" w:hAnsi="Garamond" w:cs="Times New Roman"/>
          <w:b/>
          <w:bCs/>
          <w:kern w:val="0"/>
          <w:sz w:val="28"/>
          <w:szCs w:val="28"/>
          <w:highlight w:val="yellow"/>
        </w:rPr>
        <w:t>personale che patrimoniale</w:t>
      </w:r>
      <w:r w:rsidRPr="006F733A">
        <w:rPr>
          <w:rFonts w:ascii="Garamond" w:hAnsi="Garamond" w:cs="Times New Roman"/>
          <w:kern w:val="0"/>
          <w:sz w:val="28"/>
          <w:szCs w:val="28"/>
          <w:highlight w:val="yellow"/>
        </w:rPr>
        <w:t>.</w:t>
      </w:r>
      <w:r w:rsidRPr="006F733A">
        <w:rPr>
          <w:rFonts w:ascii="Garamond" w:hAnsi="Garamond" w:cs="Times New Roman"/>
          <w:kern w:val="0"/>
          <w:sz w:val="28"/>
          <w:szCs w:val="28"/>
        </w:rPr>
        <w:t xml:space="preserve"> </w:t>
      </w:r>
    </w:p>
    <w:p w14:paraId="0F05AFF5" w14:textId="1D9B2AEA" w:rsidR="00D96526" w:rsidRPr="006F733A" w:rsidRDefault="00D96526" w:rsidP="00184CB8">
      <w:pPr>
        <w:autoSpaceDE w:val="0"/>
        <w:autoSpaceDN w:val="0"/>
        <w:adjustRightInd w:val="0"/>
        <w:spacing w:after="0" w:line="240" w:lineRule="auto"/>
        <w:jc w:val="both"/>
        <w:rPr>
          <w:rFonts w:ascii="Garamond" w:hAnsi="Garamond" w:cs="Times New Roman"/>
          <w:kern w:val="0"/>
          <w:sz w:val="28"/>
          <w:szCs w:val="28"/>
        </w:rPr>
      </w:pPr>
      <w:r w:rsidRPr="006F733A">
        <w:rPr>
          <w:rFonts w:ascii="Garamond" w:hAnsi="Garamond" w:cs="Times New Roman"/>
          <w:kern w:val="0"/>
          <w:sz w:val="28"/>
          <w:szCs w:val="28"/>
          <w:highlight w:val="yellow"/>
        </w:rPr>
        <w:t xml:space="preserve">Le </w:t>
      </w:r>
      <w:r w:rsidRPr="006F733A">
        <w:rPr>
          <w:rFonts w:ascii="Garamond" w:hAnsi="Garamond" w:cs="Times New Roman"/>
          <w:b/>
          <w:bCs/>
          <w:kern w:val="0"/>
          <w:sz w:val="28"/>
          <w:szCs w:val="28"/>
          <w:highlight w:val="yellow"/>
        </w:rPr>
        <w:t>modificazioni della capacità legale d’agire del minore</w:t>
      </w:r>
      <w:r w:rsidRPr="006F733A">
        <w:rPr>
          <w:rFonts w:ascii="Garamond" w:hAnsi="Garamond" w:cs="Times New Roman"/>
          <w:kern w:val="0"/>
          <w:sz w:val="28"/>
          <w:szCs w:val="28"/>
          <w:highlight w:val="yellow"/>
        </w:rPr>
        <w:t xml:space="preserve"> sono pubblicate nel nuovo registro della curatela del minore ex art. 473-bis.7, comma 2, c.p.c., che si affianca a quelli tradizionali della tutela del minore (e dell’interdetto giudiziale) e della curatela dell’emancipato (e dell’inabilitato), oltre che a quello istituto più di recente nel 2004 per l’amministrazione di sostegno.</w:t>
      </w:r>
      <w:r w:rsidR="006F733A" w:rsidRPr="006F733A">
        <w:rPr>
          <w:rFonts w:ascii="Garamond" w:hAnsi="Garamond" w:cs="Times New Roman"/>
          <w:kern w:val="0"/>
          <w:sz w:val="28"/>
          <w:szCs w:val="28"/>
        </w:rPr>
        <w:t xml:space="preserve"> </w:t>
      </w:r>
      <w:r w:rsidRPr="006F733A">
        <w:rPr>
          <w:rFonts w:ascii="Garamond" w:hAnsi="Garamond" w:cs="Times New Roman"/>
          <w:kern w:val="0"/>
          <w:sz w:val="28"/>
          <w:szCs w:val="28"/>
        </w:rPr>
        <w:t>In tal modo, è possibile dare notizia del provvedimento di nomina del curatore, dei relativi contenuti, nonché delle successive vicende attuative e modificative, che segnano l’incapacità legale del minore.</w:t>
      </w:r>
    </w:p>
    <w:p w14:paraId="04168919" w14:textId="6BE17038" w:rsidR="00D96526" w:rsidRPr="006F733A" w:rsidRDefault="00D96526" w:rsidP="00184CB8">
      <w:pPr>
        <w:autoSpaceDE w:val="0"/>
        <w:autoSpaceDN w:val="0"/>
        <w:adjustRightInd w:val="0"/>
        <w:spacing w:after="0" w:line="240" w:lineRule="auto"/>
        <w:jc w:val="both"/>
        <w:rPr>
          <w:rFonts w:ascii="Garamond" w:hAnsi="Garamond" w:cs="Times New Roman"/>
          <w:kern w:val="0"/>
          <w:sz w:val="28"/>
          <w:szCs w:val="28"/>
        </w:rPr>
      </w:pPr>
      <w:r w:rsidRPr="006F733A">
        <w:rPr>
          <w:rFonts w:ascii="Garamond" w:hAnsi="Garamond" w:cs="Times New Roman"/>
          <w:kern w:val="0"/>
          <w:sz w:val="28"/>
          <w:szCs w:val="28"/>
        </w:rPr>
        <w:t>L’importanza che assume il nuovo curatore generale del minore ex art. 473-bis.7, comma 2, c.p.c.</w:t>
      </w:r>
      <w:r w:rsidR="006F733A" w:rsidRPr="006F733A">
        <w:rPr>
          <w:rFonts w:ascii="Garamond" w:hAnsi="Garamond" w:cs="Times New Roman"/>
          <w:kern w:val="0"/>
          <w:sz w:val="28"/>
          <w:szCs w:val="28"/>
        </w:rPr>
        <w:t xml:space="preserve"> in quanto </w:t>
      </w:r>
      <w:r w:rsidRPr="006F733A">
        <w:rPr>
          <w:rFonts w:ascii="Garamond" w:hAnsi="Garamond" w:cs="Times New Roman"/>
          <w:kern w:val="0"/>
          <w:sz w:val="28"/>
          <w:szCs w:val="28"/>
        </w:rPr>
        <w:t>incide sull’incapacità d’agire del minore, avrebbe meritato</w:t>
      </w:r>
      <w:r w:rsidR="006F733A" w:rsidRPr="006F733A">
        <w:rPr>
          <w:rFonts w:ascii="Garamond" w:hAnsi="Garamond" w:cs="Times New Roman"/>
          <w:kern w:val="0"/>
          <w:sz w:val="28"/>
          <w:szCs w:val="28"/>
        </w:rPr>
        <w:t xml:space="preserve"> </w:t>
      </w:r>
      <w:r w:rsidRPr="006F733A">
        <w:rPr>
          <w:rFonts w:ascii="Garamond" w:hAnsi="Garamond" w:cs="Times New Roman"/>
          <w:kern w:val="0"/>
          <w:sz w:val="28"/>
          <w:szCs w:val="28"/>
        </w:rPr>
        <w:t xml:space="preserve">una collocazione sistematica all’interno del </w:t>
      </w:r>
      <w:proofErr w:type="gramStart"/>
      <w:r w:rsidR="000112F0">
        <w:rPr>
          <w:rFonts w:ascii="Garamond" w:hAnsi="Garamond" w:cs="Times New Roman"/>
          <w:kern w:val="0"/>
          <w:sz w:val="28"/>
          <w:szCs w:val="28"/>
        </w:rPr>
        <w:t>c</w:t>
      </w:r>
      <w:r w:rsidR="000112F0" w:rsidRPr="006F733A">
        <w:rPr>
          <w:rFonts w:ascii="Garamond" w:hAnsi="Garamond" w:cs="Times New Roman"/>
          <w:kern w:val="0"/>
          <w:sz w:val="28"/>
          <w:szCs w:val="28"/>
        </w:rPr>
        <w:t>odice civile</w:t>
      </w:r>
      <w:proofErr w:type="gramEnd"/>
      <w:r w:rsidR="006F733A" w:rsidRPr="006F733A">
        <w:rPr>
          <w:rFonts w:ascii="Garamond" w:hAnsi="Garamond" w:cs="Times New Roman"/>
          <w:kern w:val="0"/>
          <w:sz w:val="28"/>
          <w:szCs w:val="28"/>
        </w:rPr>
        <w:t xml:space="preserve"> dopo</w:t>
      </w:r>
      <w:r w:rsidRPr="006F733A">
        <w:rPr>
          <w:rFonts w:ascii="Garamond" w:hAnsi="Garamond" w:cs="Times New Roman"/>
          <w:kern w:val="0"/>
          <w:sz w:val="28"/>
          <w:szCs w:val="28"/>
        </w:rPr>
        <w:t xml:space="preserve"> gli articoli dedicati alla responsabilità genitoriale, accanto a quelli della tutela e dell’emancipazione, in modo da riordinare organicamente la disciplina della materia, collegandola a quella seguente dei mezzi di protezione dell’autonomia dei maggiorenni.</w:t>
      </w:r>
    </w:p>
    <w:p w14:paraId="79AFBD56" w14:textId="0B501195" w:rsidR="00D96526" w:rsidRPr="006F733A" w:rsidRDefault="00D96526" w:rsidP="00184CB8">
      <w:pPr>
        <w:autoSpaceDE w:val="0"/>
        <w:autoSpaceDN w:val="0"/>
        <w:adjustRightInd w:val="0"/>
        <w:spacing w:after="0" w:line="240" w:lineRule="auto"/>
        <w:jc w:val="both"/>
        <w:rPr>
          <w:rFonts w:ascii="Garamond" w:hAnsi="Garamond" w:cs="Times New Roman"/>
          <w:kern w:val="0"/>
          <w:sz w:val="28"/>
          <w:szCs w:val="28"/>
        </w:rPr>
      </w:pPr>
      <w:r w:rsidRPr="006F733A">
        <w:rPr>
          <w:rFonts w:ascii="Garamond" w:hAnsi="Garamond" w:cs="Times New Roman"/>
          <w:kern w:val="0"/>
          <w:sz w:val="28"/>
          <w:szCs w:val="28"/>
        </w:rPr>
        <w:t>Sicché l’importanza del nuovo rito unificato del Titolo-</w:t>
      </w:r>
      <w:proofErr w:type="spellStart"/>
      <w:r w:rsidRPr="006F733A">
        <w:rPr>
          <w:rFonts w:ascii="Garamond" w:hAnsi="Garamond" w:cs="Times New Roman"/>
          <w:kern w:val="0"/>
          <w:sz w:val="28"/>
          <w:szCs w:val="28"/>
        </w:rPr>
        <w:t>IVbis</w:t>
      </w:r>
      <w:proofErr w:type="spellEnd"/>
      <w:r w:rsidRPr="006F733A">
        <w:rPr>
          <w:rFonts w:ascii="Garamond" w:hAnsi="Garamond" w:cs="Times New Roman"/>
          <w:kern w:val="0"/>
          <w:sz w:val="28"/>
          <w:szCs w:val="28"/>
        </w:rPr>
        <w:t xml:space="preserve">, del Libro II, c.p.c. in materia di persone, minorenni e famiglie, si apprezza sia per l’efficienza delle relative soluzioni integranti </w:t>
      </w:r>
      <w:r w:rsidRPr="006F733A">
        <w:rPr>
          <w:rFonts w:ascii="Garamond" w:hAnsi="Garamond" w:cs="Times New Roman"/>
          <w:kern w:val="0"/>
          <w:sz w:val="28"/>
          <w:szCs w:val="28"/>
          <w:highlight w:val="yellow"/>
        </w:rPr>
        <w:t>uno statuto protettivo rafforzato</w:t>
      </w:r>
      <w:r w:rsidRPr="006F733A">
        <w:rPr>
          <w:rFonts w:ascii="Garamond" w:hAnsi="Garamond" w:cs="Times New Roman"/>
          <w:kern w:val="0"/>
          <w:sz w:val="28"/>
          <w:szCs w:val="28"/>
        </w:rPr>
        <w:t xml:space="preserve">, sia per la più </w:t>
      </w:r>
      <w:r w:rsidRPr="006F733A">
        <w:rPr>
          <w:rFonts w:ascii="Garamond" w:hAnsi="Garamond" w:cs="Times New Roman"/>
          <w:kern w:val="0"/>
          <w:sz w:val="28"/>
          <w:szCs w:val="28"/>
          <w:highlight w:val="yellow"/>
        </w:rPr>
        <w:t xml:space="preserve">ampia portata sistematica determinata </w:t>
      </w:r>
      <w:r w:rsidR="006F733A" w:rsidRPr="006F733A">
        <w:rPr>
          <w:rFonts w:ascii="Garamond" w:hAnsi="Garamond" w:cs="Times New Roman"/>
          <w:kern w:val="0"/>
          <w:sz w:val="28"/>
          <w:szCs w:val="28"/>
          <w:highlight w:val="yellow"/>
        </w:rPr>
        <w:t>anche dall’estensione, nei limiti della compatibilità,</w:t>
      </w:r>
      <w:r w:rsidRPr="006F733A">
        <w:rPr>
          <w:rFonts w:ascii="Garamond" w:hAnsi="Garamond" w:cs="Times New Roman"/>
          <w:kern w:val="0"/>
          <w:sz w:val="28"/>
          <w:szCs w:val="28"/>
          <w:highlight w:val="yellow"/>
        </w:rPr>
        <w:t xml:space="preserve"> </w:t>
      </w:r>
      <w:r w:rsidR="006F733A" w:rsidRPr="006F733A">
        <w:rPr>
          <w:rFonts w:ascii="Garamond" w:hAnsi="Garamond" w:cs="Times New Roman"/>
          <w:kern w:val="0"/>
          <w:sz w:val="28"/>
          <w:szCs w:val="28"/>
          <w:highlight w:val="yellow"/>
        </w:rPr>
        <w:t>nei confronti</w:t>
      </w:r>
      <w:r w:rsidRPr="006F733A">
        <w:rPr>
          <w:rFonts w:ascii="Garamond" w:hAnsi="Garamond" w:cs="Times New Roman"/>
          <w:kern w:val="0"/>
          <w:sz w:val="28"/>
          <w:szCs w:val="28"/>
          <w:highlight w:val="yellow"/>
        </w:rPr>
        <w:t xml:space="preserve"> dei figli maggiorenni portatori di handicap grave</w:t>
      </w:r>
      <w:r w:rsidR="006F733A" w:rsidRPr="006F733A">
        <w:rPr>
          <w:rFonts w:ascii="Garamond" w:hAnsi="Garamond" w:cs="Times New Roman"/>
          <w:kern w:val="0"/>
          <w:sz w:val="28"/>
          <w:szCs w:val="28"/>
        </w:rPr>
        <w:t>.</w:t>
      </w:r>
    </w:p>
    <w:p w14:paraId="1CB59F78" w14:textId="3F5A2357" w:rsidR="00D85009" w:rsidRPr="006F733A" w:rsidRDefault="00D85009" w:rsidP="00184CB8">
      <w:pPr>
        <w:autoSpaceDE w:val="0"/>
        <w:autoSpaceDN w:val="0"/>
        <w:adjustRightInd w:val="0"/>
        <w:spacing w:after="0" w:line="240" w:lineRule="auto"/>
        <w:jc w:val="both"/>
        <w:rPr>
          <w:rFonts w:ascii="Garamond" w:hAnsi="Garamond" w:cs="Times New Roman"/>
          <w:kern w:val="0"/>
          <w:sz w:val="28"/>
          <w:szCs w:val="28"/>
        </w:rPr>
      </w:pPr>
      <w:r w:rsidRPr="006F733A">
        <w:rPr>
          <w:rFonts w:ascii="Garamond" w:hAnsi="Garamond" w:cs="Times New Roman"/>
          <w:kern w:val="0"/>
          <w:sz w:val="28"/>
          <w:szCs w:val="28"/>
          <w:highlight w:val="yellow"/>
        </w:rPr>
        <w:lastRenderedPageBreak/>
        <w:t>La legge n. 206/2021, in sintesi, contribuisce in maniera significativa all’ulteriore superamento della categoria rigida dell’incapacità legale, spostando le tutele verso l’assistenza all’esercizio dell’autonomia del minore fin dall’acquisto della capacità di discernimento, che deve essere adeguatamente sostenuta affinché egli compia le proprie scelte personali e patrimoniali funzionali alla crescita e convivenza armoniosa</w:t>
      </w:r>
      <w:r w:rsidRPr="006F733A">
        <w:rPr>
          <w:rFonts w:ascii="Garamond" w:hAnsi="Garamond" w:cs="Times New Roman"/>
          <w:kern w:val="0"/>
          <w:sz w:val="28"/>
          <w:szCs w:val="28"/>
        </w:rPr>
        <w:t>.</w:t>
      </w:r>
    </w:p>
    <w:p w14:paraId="2FEB2F13" w14:textId="1F816A58" w:rsidR="00D85009" w:rsidRPr="006F733A" w:rsidRDefault="000358BF" w:rsidP="00184CB8">
      <w:pPr>
        <w:autoSpaceDE w:val="0"/>
        <w:autoSpaceDN w:val="0"/>
        <w:adjustRightInd w:val="0"/>
        <w:spacing w:after="0" w:line="240" w:lineRule="auto"/>
        <w:jc w:val="both"/>
        <w:rPr>
          <w:rFonts w:ascii="Garamond" w:hAnsi="Garamond" w:cs="Times New Roman"/>
          <w:kern w:val="0"/>
          <w:sz w:val="28"/>
          <w:szCs w:val="28"/>
        </w:rPr>
      </w:pPr>
      <w:r w:rsidRPr="006F733A">
        <w:rPr>
          <w:rFonts w:ascii="Garamond" w:hAnsi="Garamond" w:cs="Times New Roman"/>
          <w:kern w:val="0"/>
          <w:sz w:val="28"/>
          <w:szCs w:val="28"/>
        </w:rPr>
        <w:t>Si è dunque dinanzi a n</w:t>
      </w:r>
      <w:r w:rsidR="00D85009" w:rsidRPr="006F733A">
        <w:rPr>
          <w:rFonts w:ascii="Garamond" w:hAnsi="Garamond" w:cs="Times New Roman"/>
          <w:kern w:val="0"/>
          <w:sz w:val="28"/>
          <w:szCs w:val="28"/>
        </w:rPr>
        <w:t>uove forme di controllo quali le autorizzazioni notarili al compimento degli atti di straordinaria amministrazione degli incapaci d’agire.</w:t>
      </w:r>
    </w:p>
    <w:p w14:paraId="0E918CCB" w14:textId="77777777" w:rsidR="004A6BC4" w:rsidRPr="006F733A" w:rsidRDefault="004A6BC4" w:rsidP="00184CB8">
      <w:pPr>
        <w:autoSpaceDE w:val="0"/>
        <w:autoSpaceDN w:val="0"/>
        <w:adjustRightInd w:val="0"/>
        <w:spacing w:after="0" w:line="240" w:lineRule="auto"/>
        <w:jc w:val="both"/>
        <w:rPr>
          <w:rFonts w:ascii="Garamond" w:hAnsi="Garamond" w:cs="Times New Roman"/>
          <w:kern w:val="0"/>
          <w:sz w:val="28"/>
          <w:szCs w:val="28"/>
        </w:rPr>
      </w:pPr>
    </w:p>
    <w:p w14:paraId="0FC00B97" w14:textId="42D97CE6" w:rsidR="00D85009" w:rsidRPr="006F733A" w:rsidRDefault="00D85009" w:rsidP="00184CB8">
      <w:pPr>
        <w:autoSpaceDE w:val="0"/>
        <w:autoSpaceDN w:val="0"/>
        <w:adjustRightInd w:val="0"/>
        <w:spacing w:after="0" w:line="240" w:lineRule="auto"/>
        <w:jc w:val="both"/>
        <w:rPr>
          <w:rFonts w:ascii="Garamond" w:hAnsi="Garamond" w:cs="Times New Roman"/>
          <w:kern w:val="0"/>
          <w:sz w:val="28"/>
          <w:szCs w:val="28"/>
        </w:rPr>
      </w:pPr>
    </w:p>
    <w:sectPr w:rsidR="00D85009" w:rsidRPr="006F733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dvTT5843c571">
    <w:altName w:val="Cambria"/>
    <w:panose1 w:val="00000000000000000000"/>
    <w:charset w:val="00"/>
    <w:family w:val="roman"/>
    <w:notTrueType/>
    <w:pitch w:val="default"/>
    <w:sig w:usb0="00000003" w:usb1="00000000" w:usb2="00000000" w:usb3="00000000" w:csb0="00000001" w:csb1="00000000"/>
  </w:font>
  <w:font w:name="AdvTTf5341347.I">
    <w:altName w:val="Cambria"/>
    <w:panose1 w:val="00000000000000000000"/>
    <w:charset w:val="00"/>
    <w:family w:val="roman"/>
    <w:notTrueType/>
    <w:pitch w:val="default"/>
    <w:sig w:usb0="00000003" w:usb1="00000000" w:usb2="00000000" w:usb3="00000000" w:csb0="00000001" w:csb1="00000000"/>
  </w:font>
  <w:font w:name="AdvTT5843c571+20">
    <w:altName w:val="Calibri"/>
    <w:panose1 w:val="00000000000000000000"/>
    <w:charset w:val="00"/>
    <w:family w:val="swiss"/>
    <w:notTrueType/>
    <w:pitch w:val="default"/>
    <w:sig w:usb0="00000003" w:usb1="00000000" w:usb2="00000000" w:usb3="00000000" w:csb0="00000001" w:csb1="00000000"/>
  </w:font>
  <w:font w:name="AdvTTf5341347.I+2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526"/>
    <w:rsid w:val="000112F0"/>
    <w:rsid w:val="000358BF"/>
    <w:rsid w:val="00184CB8"/>
    <w:rsid w:val="004A6BC4"/>
    <w:rsid w:val="004D18E3"/>
    <w:rsid w:val="006F733A"/>
    <w:rsid w:val="00D85009"/>
    <w:rsid w:val="00D96526"/>
    <w:rsid w:val="00EE657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FABC8"/>
  <w15:chartTrackingRefBased/>
  <w15:docId w15:val="{25FF51C0-C627-4EC8-9AE9-FF92400C6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1178</Words>
  <Characters>6719</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Perlingieri</dc:creator>
  <cp:keywords/>
  <dc:description/>
  <cp:lastModifiedBy>CAROLINA PERLINGIERI</cp:lastModifiedBy>
  <cp:revision>2</cp:revision>
  <cp:lastPrinted>2023-11-06T10:45:00Z</cp:lastPrinted>
  <dcterms:created xsi:type="dcterms:W3CDTF">2023-11-06T11:11:00Z</dcterms:created>
  <dcterms:modified xsi:type="dcterms:W3CDTF">2023-11-06T11:11:00Z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d0b24d-6422-44b0-b3de-abb3a9e8c81a_Enabled">
    <vt:lpwstr>true</vt:lpwstr>
  </property>
  <property fmtid="{D5CDD505-2E9C-101B-9397-08002B2CF9AE}" pid="3" name="MSIP_Label_2ad0b24d-6422-44b0-b3de-abb3a9e8c81a_SetDate">
    <vt:lpwstr>2023-11-06T08:15:06Z</vt:lpwstr>
  </property>
  <property fmtid="{D5CDD505-2E9C-101B-9397-08002B2CF9AE}" pid="4" name="MSIP_Label_2ad0b24d-6422-44b0-b3de-abb3a9e8c81a_Method">
    <vt:lpwstr>Standard</vt:lpwstr>
  </property>
  <property fmtid="{D5CDD505-2E9C-101B-9397-08002B2CF9AE}" pid="5" name="MSIP_Label_2ad0b24d-6422-44b0-b3de-abb3a9e8c81a_Name">
    <vt:lpwstr>defa4170-0d19-0005-0004-bc88714345d2</vt:lpwstr>
  </property>
  <property fmtid="{D5CDD505-2E9C-101B-9397-08002B2CF9AE}" pid="6" name="MSIP_Label_2ad0b24d-6422-44b0-b3de-abb3a9e8c81a_SiteId">
    <vt:lpwstr>2fcfe26a-bb62-46b0-b1e3-28f9da0c45fd</vt:lpwstr>
  </property>
  <property fmtid="{D5CDD505-2E9C-101B-9397-08002B2CF9AE}" pid="7" name="MSIP_Label_2ad0b24d-6422-44b0-b3de-abb3a9e8c81a_ActionId">
    <vt:lpwstr>833b3f11-386f-4fcf-8e62-c33a847f8319</vt:lpwstr>
  </property>
  <property fmtid="{D5CDD505-2E9C-101B-9397-08002B2CF9AE}" pid="8" name="MSIP_Label_2ad0b24d-6422-44b0-b3de-abb3a9e8c81a_ContentBits">
    <vt:lpwstr>0</vt:lpwstr>
  </property>
</Properties>
</file>