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7720BB" w14:textId="77777777" w:rsidR="002E0ED2" w:rsidRPr="002E0ED2" w:rsidRDefault="002E0ED2" w:rsidP="002E0ED2">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2E0ED2">
        <w:rPr>
          <w:rFonts w:ascii="Lato" w:eastAsia="Times New Roman" w:hAnsi="Lato" w:cs="Times New Roman"/>
          <w:color w:val="3E4249"/>
          <w:spacing w:val="5"/>
          <w:kern w:val="36"/>
          <w:sz w:val="45"/>
          <w:szCs w:val="45"/>
          <w:lang w:eastAsia="it-IT"/>
        </w:rPr>
        <w:t xml:space="preserve">Corte di cassazione civile, sez. un., </w:t>
      </w:r>
      <w:proofErr w:type="spellStart"/>
      <w:r w:rsidRPr="002E0ED2">
        <w:rPr>
          <w:rFonts w:ascii="Lato" w:eastAsia="Times New Roman" w:hAnsi="Lato" w:cs="Times New Roman"/>
          <w:color w:val="3E4249"/>
          <w:spacing w:val="5"/>
          <w:kern w:val="36"/>
          <w:sz w:val="45"/>
          <w:szCs w:val="45"/>
          <w:lang w:eastAsia="it-IT"/>
        </w:rPr>
        <w:t>ord</w:t>
      </w:r>
      <w:proofErr w:type="spellEnd"/>
      <w:r w:rsidRPr="002E0ED2">
        <w:rPr>
          <w:rFonts w:ascii="Lato" w:eastAsia="Times New Roman" w:hAnsi="Lato" w:cs="Times New Roman"/>
          <w:color w:val="3E4249"/>
          <w:spacing w:val="5"/>
          <w:kern w:val="36"/>
          <w:sz w:val="45"/>
          <w:szCs w:val="45"/>
          <w:lang w:eastAsia="it-IT"/>
        </w:rPr>
        <w:t>., 8 gennaio 2024 n. 567</w:t>
      </w:r>
    </w:p>
    <w:p w14:paraId="652F7E0C" w14:textId="77777777" w:rsidR="002E0ED2" w:rsidRPr="002E0ED2" w:rsidRDefault="002E0ED2" w:rsidP="002E0ED2">
      <w:pPr>
        <w:shd w:val="clear" w:color="auto" w:fill="FFFFFF"/>
        <w:spacing w:after="0" w:line="240" w:lineRule="auto"/>
        <w:rPr>
          <w:rFonts w:ascii="Lato" w:eastAsia="Times New Roman" w:hAnsi="Lato" w:cs="Times New Roman"/>
          <w:color w:val="000000"/>
          <w:spacing w:val="5"/>
          <w:sz w:val="24"/>
          <w:szCs w:val="24"/>
          <w:lang w:eastAsia="it-IT"/>
        </w:rPr>
      </w:pPr>
      <w:r w:rsidRPr="002E0ED2">
        <w:rPr>
          <w:rFonts w:ascii="Lato" w:eastAsia="Times New Roman" w:hAnsi="Lato" w:cs="Times New Roman"/>
          <w:noProof/>
          <w:color w:val="005797"/>
          <w:spacing w:val="5"/>
          <w:sz w:val="24"/>
          <w:szCs w:val="24"/>
          <w:lang w:eastAsia="it-IT"/>
        </w:rPr>
        <w:drawing>
          <wp:inline distT="0" distB="0" distL="0" distR="0" wp14:anchorId="7A20D731" wp14:editId="6DA141B1">
            <wp:extent cx="161925" cy="161925"/>
            <wp:effectExtent l="0" t="0" r="9525" b="9525"/>
            <wp:docPr id="3" name="Immagine 1" descr="Immagine che contiene triangolo, stella, astronomia&#10;&#10;Descrizione generata automaticamente">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descr="Immagine che contiene triangolo, stella, astronomia&#10;&#10;Descrizione generata automaticamente">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2E0ED2">
        <w:rPr>
          <w:rFonts w:ascii="Lato" w:eastAsia="Times New Roman" w:hAnsi="Lato" w:cs="Times New Roman"/>
          <w:color w:val="000000"/>
          <w:spacing w:val="5"/>
          <w:sz w:val="24"/>
          <w:szCs w:val="24"/>
          <w:lang w:eastAsia="it-IT"/>
        </w:rPr>
        <w:t>    </w:t>
      </w:r>
    </w:p>
    <w:p w14:paraId="6A038393" w14:textId="77777777" w:rsidR="002E0ED2" w:rsidRPr="002E0ED2" w:rsidRDefault="002E0ED2" w:rsidP="002E0ED2">
      <w:pPr>
        <w:pBdr>
          <w:top w:val="single" w:sz="6" w:space="0" w:color="auto"/>
          <w:left w:val="single" w:sz="6" w:space="8" w:color="auto"/>
          <w:bottom w:val="single" w:sz="6" w:space="0" w:color="auto"/>
          <w:right w:val="single" w:sz="6" w:space="8" w:color="auto"/>
        </w:pBdr>
        <w:shd w:val="clear" w:color="auto" w:fill="FFFFFF"/>
        <w:spacing w:before="45" w:after="0" w:line="570" w:lineRule="atLeast"/>
        <w:outlineLvl w:val="4"/>
        <w:rPr>
          <w:rFonts w:ascii="Lato" w:eastAsia="Times New Roman" w:hAnsi="Lato" w:cs="Times New Roman"/>
          <w:b/>
          <w:bCs/>
          <w:color w:val="905CB8"/>
          <w:spacing w:val="5"/>
          <w:sz w:val="21"/>
          <w:szCs w:val="21"/>
          <w:lang w:eastAsia="it-IT"/>
        </w:rPr>
      </w:pPr>
      <w:r w:rsidRPr="002E0ED2">
        <w:rPr>
          <w:rFonts w:ascii="Lato" w:eastAsia="Times New Roman" w:hAnsi="Lato" w:cs="Times New Roman"/>
          <w:b/>
          <w:bCs/>
          <w:color w:val="905CB8"/>
          <w:spacing w:val="5"/>
          <w:sz w:val="21"/>
          <w:szCs w:val="21"/>
          <w:lang w:eastAsia="it-IT"/>
        </w:rPr>
        <w:t>GIURISPRUDENZA • SENTENZA</w:t>
      </w:r>
    </w:p>
    <w:p w14:paraId="23DB89DA" w14:textId="77777777" w:rsidR="002E0ED2" w:rsidRPr="002E0ED2" w:rsidRDefault="00000000" w:rsidP="002E0ED2">
      <w:pPr>
        <w:spacing w:before="300" w:after="300" w:line="240" w:lineRule="auto"/>
        <w:rPr>
          <w:rFonts w:ascii="Lato" w:eastAsia="Times New Roman" w:hAnsi="Lato" w:cs="Times New Roman"/>
          <w:spacing w:val="5"/>
          <w:sz w:val="24"/>
          <w:szCs w:val="24"/>
          <w:lang w:eastAsia="it-IT"/>
        </w:rPr>
      </w:pPr>
      <w:r>
        <w:rPr>
          <w:rFonts w:ascii="Times New Roman" w:eastAsia="Times New Roman" w:hAnsi="Times New Roman" w:cs="Times New Roman"/>
          <w:sz w:val="24"/>
          <w:szCs w:val="24"/>
          <w:lang w:eastAsia="it-IT"/>
        </w:rPr>
        <w:pict w14:anchorId="48639C7C">
          <v:rect id="_x0000_i1025" style="width:0;height:0" o:hralign="center" o:hrstd="t" o:hrnoshade="t" o:hr="t" fillcolor="black" stroked="f"/>
        </w:pict>
      </w:r>
    </w:p>
    <w:p w14:paraId="384435CE" w14:textId="77777777" w:rsidR="002E0ED2" w:rsidRPr="002E0ED2" w:rsidRDefault="002E0ED2" w:rsidP="002E0ED2">
      <w:pPr>
        <w:shd w:val="clear" w:color="auto" w:fill="FFFFFF"/>
        <w:spacing w:after="0" w:line="240" w:lineRule="auto"/>
        <w:rPr>
          <w:rFonts w:ascii="Lato" w:eastAsia="Times New Roman" w:hAnsi="Lato" w:cs="Times New Roman"/>
          <w:i/>
          <w:iCs/>
          <w:color w:val="000000"/>
          <w:spacing w:val="5"/>
          <w:sz w:val="24"/>
          <w:szCs w:val="24"/>
          <w:lang w:eastAsia="it-IT"/>
        </w:rPr>
      </w:pPr>
      <w:r w:rsidRPr="002E0ED2">
        <w:rPr>
          <w:rFonts w:ascii="Lato" w:eastAsia="Times New Roman" w:hAnsi="Lato" w:cs="Times New Roman"/>
          <w:i/>
          <w:iCs/>
          <w:color w:val="000000"/>
          <w:spacing w:val="5"/>
          <w:sz w:val="24"/>
          <w:szCs w:val="24"/>
          <w:lang w:eastAsia="it-IT"/>
        </w:rPr>
        <w:t>Presidente D'</w:t>
      </w:r>
      <w:proofErr w:type="spellStart"/>
      <w:r w:rsidRPr="002E0ED2">
        <w:rPr>
          <w:rFonts w:ascii="Lato" w:eastAsia="Times New Roman" w:hAnsi="Lato" w:cs="Times New Roman"/>
          <w:i/>
          <w:iCs/>
          <w:color w:val="000000"/>
          <w:spacing w:val="5"/>
          <w:sz w:val="24"/>
          <w:szCs w:val="24"/>
          <w:lang w:eastAsia="it-IT"/>
        </w:rPr>
        <w:t>Ascola</w:t>
      </w:r>
      <w:proofErr w:type="spellEnd"/>
      <w:r w:rsidRPr="002E0ED2">
        <w:rPr>
          <w:rFonts w:ascii="Lato" w:eastAsia="Times New Roman" w:hAnsi="Lato" w:cs="Times New Roman"/>
          <w:i/>
          <w:iCs/>
          <w:color w:val="000000"/>
          <w:spacing w:val="5"/>
          <w:sz w:val="24"/>
          <w:szCs w:val="24"/>
          <w:lang w:eastAsia="it-IT"/>
        </w:rPr>
        <w:t xml:space="preserve"> Pasquale; Estensore Giusti Alberto; Ricorrente Omissis contro Omissis</w:t>
      </w:r>
    </w:p>
    <w:p w14:paraId="2BD0EFDC" w14:textId="77777777" w:rsidR="002E0ED2" w:rsidRPr="002E0ED2" w:rsidRDefault="002E0ED2" w:rsidP="002E0ED2">
      <w:pPr>
        <w:shd w:val="clear" w:color="auto" w:fill="FFFFFF"/>
        <w:spacing w:after="0" w:line="240" w:lineRule="auto"/>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br/>
      </w:r>
    </w:p>
    <w:p w14:paraId="098EA477" w14:textId="77777777" w:rsidR="002E0ED2" w:rsidRPr="002E0ED2" w:rsidRDefault="002E0ED2" w:rsidP="002E0ED2">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2E0ED2">
        <w:rPr>
          <w:rFonts w:ascii="Lato" w:eastAsia="Times New Roman" w:hAnsi="Lato" w:cs="Times New Roman"/>
          <w:b/>
          <w:bCs/>
          <w:color w:val="000000"/>
          <w:spacing w:val="5"/>
          <w:sz w:val="26"/>
          <w:szCs w:val="26"/>
          <w:lang w:eastAsia="it-IT"/>
        </w:rPr>
        <w:t>Svolgimento del processo</w:t>
      </w:r>
    </w:p>
    <w:p w14:paraId="40481F0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1. - Con sentenza n. 625 del 2019, la Sezione giurisdizionale della Corte dei conti per la Regione Puglia, in parziale accoglimento della domanda della Procura regionale, respinta, in via preliminare, l'eccezione di difetto di giurisdizione, ha condannato il signor D.B.A., nella qualità, all'epoca dei fatti, di amministratore unico della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s.r.l., società unipersonale della ASL di Foggia, per il danno erariale cagionato a quest'ultima - pari ad Euro 480.628,31 - scaturito dall'illegittima autoliquidazione di compensi e dall'indebita approvazione di spese e prelievi non autorizzabili.</w:t>
      </w:r>
    </w:p>
    <w:p w14:paraId="29DB396B"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La Sezione giurisdizionale della Corte dei conti ha riconosciuto alla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s.r.l. la natura giuridica di società in house della ASL di Foggia.</w:t>
      </w:r>
    </w:p>
    <w:p w14:paraId="5A368A99"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In particolare, ha ritenuto sussistenti, nel caso di specie:</w:t>
      </w:r>
    </w:p>
    <w:p w14:paraId="796FE96B"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(a) il possesso totale del capitale sociale da parte della ASL;</w:t>
      </w:r>
    </w:p>
    <w:p w14:paraId="555AA5E8"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(b) il requisito del controllo analogo da parte del socio unico;</w:t>
      </w:r>
    </w:p>
    <w:p w14:paraId="119B8ED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(c) l'esclusività o la prevalenza dell'attività della società in favore del socio unico.</w:t>
      </w:r>
    </w:p>
    <w:p w14:paraId="17C2EA74"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2. - Con sentenza in data 9 febbraio 2023, la Corte dei conti, Sezione Terza giurisdizionale centrale d'appello, ha accolto il gravame interposto dal D.B. e ha dichiarato, in riforma della sentenza di primo grado, il proprio difetto di giurisdizione.</w:t>
      </w:r>
    </w:p>
    <w:p w14:paraId="2BA927A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Il giudice d'appello ha osservato che, tra i requisiti della società in house, difettava, al tempo delle condotte ipotizzate come illecite, quello del controllo analogo.</w:t>
      </w:r>
    </w:p>
    <w:p w14:paraId="1362FE66"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Ha rilevato la Corte dei conti che, sulla base delle disposizioni dello statuto originario della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del 30 maggio 2008, rimasto in vigore fino al mese di aprile 2016, la ASL di Foggia non ha mai esercitato (né poteva farlo) nei confronti di detta società un controllo analogo a quello esercitato sui propri servizi, </w:t>
      </w:r>
      <w:r w:rsidRPr="0062188F">
        <w:rPr>
          <w:rFonts w:ascii="Lato" w:eastAsia="Times New Roman" w:hAnsi="Lato" w:cs="Times New Roman"/>
          <w:b/>
          <w:bCs/>
          <w:color w:val="000000"/>
          <w:spacing w:val="5"/>
          <w:sz w:val="24"/>
          <w:szCs w:val="24"/>
          <w:lang w:eastAsia="it-IT"/>
        </w:rPr>
        <w:t xml:space="preserve">atteso che i poteri di vigilanza e di controllo previsti in detto statuto non comportavano la diretta subordinazione degli organi e della operatività societaria alle specifiche direttive della ASL di Foggia, tali da configurare la </w:t>
      </w:r>
      <w:proofErr w:type="spellStart"/>
      <w:r w:rsidRPr="0062188F">
        <w:rPr>
          <w:rFonts w:ascii="Lato" w:eastAsia="Times New Roman" w:hAnsi="Lato" w:cs="Times New Roman"/>
          <w:b/>
          <w:bCs/>
          <w:color w:val="000000"/>
          <w:spacing w:val="5"/>
          <w:sz w:val="24"/>
          <w:szCs w:val="24"/>
          <w:lang w:eastAsia="it-IT"/>
        </w:rPr>
        <w:t>Sanitaservice</w:t>
      </w:r>
      <w:proofErr w:type="spellEnd"/>
      <w:r w:rsidRPr="0062188F">
        <w:rPr>
          <w:rFonts w:ascii="Lato" w:eastAsia="Times New Roman" w:hAnsi="Lato" w:cs="Times New Roman"/>
          <w:b/>
          <w:bCs/>
          <w:color w:val="000000"/>
          <w:spacing w:val="5"/>
          <w:sz w:val="24"/>
          <w:szCs w:val="24"/>
          <w:lang w:eastAsia="it-IT"/>
        </w:rPr>
        <w:t xml:space="preserve"> come una articolazione interna della azienda sanitaria</w:t>
      </w:r>
      <w:r w:rsidRPr="002E0ED2">
        <w:rPr>
          <w:rFonts w:ascii="Lato" w:eastAsia="Times New Roman" w:hAnsi="Lato" w:cs="Times New Roman"/>
          <w:color w:val="000000"/>
          <w:spacing w:val="5"/>
          <w:sz w:val="24"/>
          <w:szCs w:val="24"/>
          <w:lang w:eastAsia="it-IT"/>
        </w:rPr>
        <w:t>.</w:t>
      </w:r>
    </w:p>
    <w:p w14:paraId="57C64288"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Tale condizione è venuta ad integrarsi solo in occasione delle modifiche apportate allo statuto con atto notarile del 26 aprile 2016 (rogito del notaio P.M.) e con atto notarile del 6 settembre 2017 (rogito del notaio S.P.).</w:t>
      </w:r>
    </w:p>
    <w:p w14:paraId="6BF32D1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3. - Per la cassazione della sentenza della Sezione Terza giurisdizionale centrale d'appello della Corte dei conti, il Procuratore Generale rappresentante il Pubblico Ministero presso la Corte dei conti ha proposto ricorso, con atto notificato il 12 maggio 2023, sulla base di un unico motivo.</w:t>
      </w:r>
    </w:p>
    <w:p w14:paraId="6B1531A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Ha resistito, con controricorso, </w:t>
      </w:r>
      <w:proofErr w:type="gramStart"/>
      <w:r w:rsidRPr="002E0ED2">
        <w:rPr>
          <w:rFonts w:ascii="Lato" w:eastAsia="Times New Roman" w:hAnsi="Lato" w:cs="Times New Roman"/>
          <w:color w:val="000000"/>
          <w:spacing w:val="5"/>
          <w:sz w:val="24"/>
          <w:szCs w:val="24"/>
          <w:lang w:eastAsia="it-IT"/>
        </w:rPr>
        <w:t>D.B.A..</w:t>
      </w:r>
      <w:proofErr w:type="gramEnd"/>
    </w:p>
    <w:p w14:paraId="271EC855"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4. - Il ricorso è stato avviato alla trattazione camerale ai sensi dell'art. 380-bis.1 </w:t>
      </w:r>
      <w:proofErr w:type="gramStart"/>
      <w:r w:rsidRPr="002E0ED2">
        <w:rPr>
          <w:rFonts w:ascii="Lato" w:eastAsia="Times New Roman" w:hAnsi="Lato" w:cs="Times New Roman"/>
          <w:color w:val="000000"/>
          <w:spacing w:val="5"/>
          <w:sz w:val="24"/>
          <w:szCs w:val="24"/>
          <w:lang w:eastAsia="it-IT"/>
        </w:rPr>
        <w:t>c.p.c..</w:t>
      </w:r>
      <w:proofErr w:type="gramEnd"/>
    </w:p>
    <w:p w14:paraId="62F837AC"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lastRenderedPageBreak/>
        <w:t>5. - Il Procuratore Generale della Corte di cassazione ha presentato conclusioni scritte, chiedendo l'accoglimento del ricorso e la dichiarazione della giurisdizione della Corte dei conti.</w:t>
      </w:r>
    </w:p>
    <w:p w14:paraId="677CB6AC"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A sostegno delle rassegnate conclusioni, il Pubblico Ministero presso la Corte di cassazione ha rilevato che, secondo lo statuto, la ASL di Foggia, quale ente pubblico partecipante, aveva il potere di dettare le linee strategiche e le scelte operative della società, </w:t>
      </w:r>
      <w:proofErr w:type="spellStart"/>
      <w:r w:rsidRPr="002E0ED2">
        <w:rPr>
          <w:rFonts w:ascii="Lato" w:eastAsia="Times New Roman" w:hAnsi="Lato" w:cs="Times New Roman"/>
          <w:color w:val="000000"/>
          <w:spacing w:val="5"/>
          <w:sz w:val="24"/>
          <w:szCs w:val="24"/>
          <w:lang w:eastAsia="it-IT"/>
        </w:rPr>
        <w:t>nonchè</w:t>
      </w:r>
      <w:proofErr w:type="spellEnd"/>
      <w:r w:rsidRPr="002E0ED2">
        <w:rPr>
          <w:rFonts w:ascii="Lato" w:eastAsia="Times New Roman" w:hAnsi="Lato" w:cs="Times New Roman"/>
          <w:color w:val="000000"/>
          <w:spacing w:val="5"/>
          <w:sz w:val="24"/>
          <w:szCs w:val="24"/>
          <w:lang w:eastAsia="it-IT"/>
        </w:rPr>
        <w:t xml:space="preserve"> di decidere le strategie aziendali in relazione alle operazioni necessarie o utili al raggiungimento dell'oggetto sociale della società, cui andavano aggiunti gli specifici poteri relativi alla ingerenza della ASL nella pianificazione, programmazione e controllo dell'attività aziendale.</w:t>
      </w:r>
    </w:p>
    <w:p w14:paraId="3678C19F"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6. - Il controricorrente ha depositato, in prossimità della camera di consiglio, una memoria illustrativa.</w:t>
      </w:r>
    </w:p>
    <w:p w14:paraId="51A8C222" w14:textId="77777777" w:rsidR="002E0ED2" w:rsidRPr="002E0ED2" w:rsidRDefault="002E0ED2" w:rsidP="002E0ED2">
      <w:pPr>
        <w:shd w:val="clear" w:color="auto" w:fill="FFFFFF"/>
        <w:spacing w:after="0" w:line="240" w:lineRule="auto"/>
        <w:rPr>
          <w:rFonts w:ascii="Lato" w:eastAsia="Times New Roman" w:hAnsi="Lato" w:cs="Times New Roman"/>
          <w:color w:val="000000"/>
          <w:spacing w:val="5"/>
          <w:sz w:val="24"/>
          <w:szCs w:val="24"/>
          <w:lang w:eastAsia="it-IT"/>
        </w:rPr>
      </w:pPr>
    </w:p>
    <w:p w14:paraId="522C763B" w14:textId="77777777" w:rsidR="002E0ED2" w:rsidRPr="002E0ED2" w:rsidRDefault="002E0ED2" w:rsidP="002E0ED2">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2E0ED2">
        <w:rPr>
          <w:rFonts w:ascii="Lato" w:eastAsia="Times New Roman" w:hAnsi="Lato" w:cs="Times New Roman"/>
          <w:b/>
          <w:bCs/>
          <w:color w:val="000000"/>
          <w:spacing w:val="5"/>
          <w:sz w:val="26"/>
          <w:szCs w:val="26"/>
          <w:lang w:eastAsia="it-IT"/>
        </w:rPr>
        <w:t>Motivi della decisione</w:t>
      </w:r>
    </w:p>
    <w:p w14:paraId="0EC09425"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1. - Con il motivo di ricorso, il Procuratore Generale della Corte dei conti censura, in relazione all'</w:t>
      </w:r>
      <w:hyperlink r:id="rId9" w:history="1">
        <w:r w:rsidRPr="002E0ED2">
          <w:rPr>
            <w:rFonts w:ascii="Lato" w:eastAsia="Times New Roman" w:hAnsi="Lato" w:cs="Times New Roman"/>
            <w:b/>
            <w:bCs/>
            <w:color w:val="FFA403"/>
            <w:spacing w:val="5"/>
            <w:sz w:val="24"/>
            <w:szCs w:val="24"/>
            <w:lang w:eastAsia="it-IT"/>
          </w:rPr>
          <w:t>art. 360 comma 1, n. 1, c.p.c.</w:t>
        </w:r>
      </w:hyperlink>
      <w:r w:rsidRPr="002E0ED2">
        <w:rPr>
          <w:rFonts w:ascii="Lato" w:eastAsia="Times New Roman" w:hAnsi="Lato" w:cs="Times New Roman"/>
          <w:color w:val="000000"/>
          <w:spacing w:val="5"/>
          <w:sz w:val="24"/>
          <w:szCs w:val="24"/>
          <w:lang w:eastAsia="it-IT"/>
        </w:rPr>
        <w:t xml:space="preserve">), l'erronea declaratoria del difetto di giurisdizione per asserita insussistenza dei requisiti richiesti per il riconoscimento di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s.r.l. quale società in house dell'Azienda sanitaria locale di Foggia.</w:t>
      </w:r>
    </w:p>
    <w:p w14:paraId="0D0019B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Il ricorrente sostiene che le modifiche statutarie intervenute nel 2016 e nel 2017, lungi dal creare ex novo un potere di controllo analogo in capo all'ASL di Foggia, avrebbero semplicemente rafforzato l'assetto determinatosi alla luce dello statuto originario della società, il quale già contemplava poteri di ingerenza nella programmazione e nel controllo dell'attività aziendale.</w:t>
      </w:r>
    </w:p>
    <w:p w14:paraId="57E69BBA"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Ad avviso del ricorrente, tale conclusione sarebbe confortata da alcune note integrative del bilancio - di cui una, del 2010, redatta dallo stesso D.B. - dalle quali si evincerebbe il riconoscimento di Sanita-service quale soggetto operante secondo le linee strategiche e le scelte operative determinate dalla ASL. Saremmo di fronte ad un soggetto privo di autonomia operativa e, in definitiva, assimilabile a una mera articolazione interna all'ente pubblico controllante. Per tale ragione, il requisito del controllo analogo non potrebbe dirsi insussistente prima delle modifiche apportate allo statuto ma, al più, rafforzato da queste ultime grazie all'introduzione di una disciplina di dettaglio.</w:t>
      </w:r>
    </w:p>
    <w:p w14:paraId="44F11526"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2. - La difesa del controricorrente ha eccepito l'inammissibilità del ricorso del Procuratore Generale della Corte dei conti sotto vari profili.</w:t>
      </w:r>
    </w:p>
    <w:p w14:paraId="6FC51FD4"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2.1. - In primo luogo, per acquiescenza e per carenza di interesse.</w:t>
      </w:r>
    </w:p>
    <w:p w14:paraId="7862FDBA"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L'eccezione è formulata sul rilievo che, laddove nel giudizio di secondo grado la Procura contabile aveva sostenuto che i requisiti di società in house dovessero essere desunti da due bozze di statuto (allegate, l'una, alla </w:t>
      </w:r>
      <w:proofErr w:type="spellStart"/>
      <w:r w:rsidRPr="002E0ED2">
        <w:rPr>
          <w:rFonts w:ascii="Lato" w:eastAsia="Times New Roman" w:hAnsi="Lato" w:cs="Times New Roman"/>
          <w:color w:val="000000"/>
          <w:spacing w:val="5"/>
          <w:sz w:val="24"/>
          <w:szCs w:val="24"/>
          <w:lang w:eastAsia="it-IT"/>
        </w:rPr>
        <w:t>Delib</w:t>
      </w:r>
      <w:proofErr w:type="spellEnd"/>
      <w:r w:rsidRPr="002E0ED2">
        <w:rPr>
          <w:rFonts w:ascii="Lato" w:eastAsia="Times New Roman" w:hAnsi="Lato" w:cs="Times New Roman"/>
          <w:color w:val="000000"/>
          <w:spacing w:val="5"/>
          <w:sz w:val="24"/>
          <w:szCs w:val="24"/>
          <w:lang w:eastAsia="it-IT"/>
        </w:rPr>
        <w:t xml:space="preserve">. del direttore generale della ASL di Foggia n. 3168 del 2008 e, l'altra, alla </w:t>
      </w:r>
      <w:proofErr w:type="spellStart"/>
      <w:r w:rsidRPr="002E0ED2">
        <w:rPr>
          <w:rFonts w:ascii="Lato" w:eastAsia="Times New Roman" w:hAnsi="Lato" w:cs="Times New Roman"/>
          <w:color w:val="000000"/>
          <w:spacing w:val="5"/>
          <w:sz w:val="24"/>
          <w:szCs w:val="24"/>
          <w:lang w:eastAsia="it-IT"/>
        </w:rPr>
        <w:t>Delib</w:t>
      </w:r>
      <w:proofErr w:type="spellEnd"/>
      <w:r w:rsidRPr="002E0ED2">
        <w:rPr>
          <w:rFonts w:ascii="Lato" w:eastAsia="Times New Roman" w:hAnsi="Lato" w:cs="Times New Roman"/>
          <w:color w:val="000000"/>
          <w:spacing w:val="5"/>
          <w:sz w:val="24"/>
          <w:szCs w:val="24"/>
          <w:lang w:eastAsia="it-IT"/>
        </w:rPr>
        <w:t>. dello stesso ente n. 187 del 12 febbraio 2015), con il ricorso per cassazione, invece, la stessa Procura ha sostenuto che i requisiti dovevano ricavarsi dallo statuto allegato all'atto di costituzione della società, datato 30 maggio 2008.</w:t>
      </w:r>
    </w:p>
    <w:p w14:paraId="08ACB03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L'eccezione deve essere disattesa.</w:t>
      </w:r>
    </w:p>
    <w:p w14:paraId="63F05018"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L'interesse all'impugnazione del Procuratore Generale della Corte dei conti si lega alla sentenza d'appello della Corte dei conti che ha dichiarato il difetto di giurisdizione sulla domanda di responsabilità per danno erariale promossa dallo stesso Pubblico Ministero.</w:t>
      </w:r>
    </w:p>
    <w:p w14:paraId="153D9212"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Non costituisce, poi, atto incompatibile con la volontà di avvalersi dell'impugnazione, e non determina pertanto acquiescenza, la circostanza che il Procuratore Generale della Corte dei conti abbia valorizzato, a sostegno del ricorso per cassazione avverso la pronuncia declinatoria della giurisdizione, documenti (lo statuto originario), già presenti </w:t>
      </w:r>
      <w:r w:rsidRPr="002E0ED2">
        <w:rPr>
          <w:rFonts w:ascii="Lato" w:eastAsia="Times New Roman" w:hAnsi="Lato" w:cs="Times New Roman"/>
          <w:color w:val="000000"/>
          <w:spacing w:val="5"/>
          <w:sz w:val="24"/>
          <w:szCs w:val="24"/>
          <w:lang w:eastAsia="it-IT"/>
        </w:rPr>
        <w:lastRenderedPageBreak/>
        <w:t>nell'incartamento processuale, diversi rispetto a quelli richiamati dallo stesso requirente nel giudizio di merito per dimostrare la natura in house della società.</w:t>
      </w:r>
    </w:p>
    <w:p w14:paraId="76197ED9"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2.2. - Contrariamente a quanto ancora eccepito dal controricorrente, la censura articolata non incontra neppure l'ordinario limite della impossibilità, per il giudice di legittimità, di procedere ad una nuova valutazione del fatto, e quindi dello statuto.</w:t>
      </w:r>
    </w:p>
    <w:p w14:paraId="4B244185"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Va ribadito, al riguardo, che in ordine alle questioni di giurisdizione le Sezioni Unite della Corte di cassazione sono anche giudice del fatto (Cass., Sez. Un., 21 aprile 2015, n. 8074).</w:t>
      </w:r>
    </w:p>
    <w:p w14:paraId="48F25A5E"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La questione di giurisdizione non si esaurisce nell'interpretazione della norma giuridica astrattamente destinata a regolare la fattispecie.</w:t>
      </w:r>
    </w:p>
    <w:p w14:paraId="148193D4"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Nell'ambito delle questioni di giurisdizione, i profili di diritto risultano inscindibilmente connessi a quelli di fatto, </w:t>
      </w:r>
      <w:proofErr w:type="spellStart"/>
      <w:r w:rsidRPr="002E0ED2">
        <w:rPr>
          <w:rFonts w:ascii="Lato" w:eastAsia="Times New Roman" w:hAnsi="Lato" w:cs="Times New Roman"/>
          <w:color w:val="000000"/>
          <w:spacing w:val="5"/>
          <w:sz w:val="24"/>
          <w:szCs w:val="24"/>
          <w:lang w:eastAsia="it-IT"/>
        </w:rPr>
        <w:t>giacchè</w:t>
      </w:r>
      <w:proofErr w:type="spellEnd"/>
      <w:r w:rsidRPr="002E0ED2">
        <w:rPr>
          <w:rFonts w:ascii="Lato" w:eastAsia="Times New Roman" w:hAnsi="Lato" w:cs="Times New Roman"/>
          <w:color w:val="000000"/>
          <w:spacing w:val="5"/>
          <w:sz w:val="24"/>
          <w:szCs w:val="24"/>
          <w:lang w:eastAsia="it-IT"/>
        </w:rPr>
        <w:t xml:space="preserve"> l'individuazione del giudice cui spetta la giurisdizione in ordine alla controversia presuppone necessariamente la valutazione della vicenda da cui trae origine la posizione giuridica fatta valere con la domanda giudiziale, che costituisce quindi un aspetto essenziale dell'apprezzamento demandato alle Sezioni Unite.</w:t>
      </w:r>
    </w:p>
    <w:p w14:paraId="4A10F106"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Tale inscindibilità contraddistingue, in linea di principio, tutte le questioni di carattere processuale, per la cui risoluzione questa Corte è chiamata ad operare come giudice anche del fatto, provvedendo al riscontro del vizio lamentato attraverso l'esame diretto degli atti di causa, indipendentemente dalla correttezza giuridica e dalla coerenza e logicità della motivazione adottata dal giudice di merito.</w:t>
      </w:r>
    </w:p>
    <w:p w14:paraId="06FB5830"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Le Sezioni Unite, pertanto, possono e debbono direttamente esaminare lo statuto della società, </w:t>
      </w:r>
      <w:proofErr w:type="spellStart"/>
      <w:r w:rsidRPr="002E0ED2">
        <w:rPr>
          <w:rFonts w:ascii="Lato" w:eastAsia="Times New Roman" w:hAnsi="Lato" w:cs="Times New Roman"/>
          <w:color w:val="000000"/>
          <w:spacing w:val="5"/>
          <w:sz w:val="24"/>
          <w:szCs w:val="24"/>
          <w:lang w:eastAsia="it-IT"/>
        </w:rPr>
        <w:t>perchè</w:t>
      </w:r>
      <w:proofErr w:type="spellEnd"/>
      <w:r w:rsidRPr="002E0ED2">
        <w:rPr>
          <w:rFonts w:ascii="Lato" w:eastAsia="Times New Roman" w:hAnsi="Lato" w:cs="Times New Roman"/>
          <w:color w:val="000000"/>
          <w:spacing w:val="5"/>
          <w:sz w:val="24"/>
          <w:szCs w:val="24"/>
          <w:lang w:eastAsia="it-IT"/>
        </w:rPr>
        <w:t xml:space="preserve"> tale valutazione incide sulla configurazione come in house della società stessa, e quindi sulla determinazione dell'ambito della giurisdizione della Corte dei conti.</w:t>
      </w:r>
    </w:p>
    <w:p w14:paraId="7372D73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Dallo statuto, in particolare, dipende l'individuazione del giudice fornito di giurisdizione. La verifica in ordine alla ricorrenza dei requisiti propri della società in house, la cui sussistenza costituisce il presupposto per l'affermazione della giurisdizione della Corte dei conti sull'azione di responsabilità esercitata nei confronti degli organi sociali per i danni da essi cagionati al patrimonio della società, deve compiersi con riguardo alle previsioni contenute nello statuto della </w:t>
      </w:r>
      <w:proofErr w:type="spellStart"/>
      <w:r w:rsidRPr="002E0ED2">
        <w:rPr>
          <w:rFonts w:ascii="Lato" w:eastAsia="Times New Roman" w:hAnsi="Lato" w:cs="Times New Roman"/>
          <w:color w:val="000000"/>
          <w:spacing w:val="5"/>
          <w:sz w:val="24"/>
          <w:szCs w:val="24"/>
          <w:lang w:eastAsia="it-IT"/>
        </w:rPr>
        <w:t>societa'</w:t>
      </w:r>
      <w:proofErr w:type="spellEnd"/>
      <w:r w:rsidRPr="002E0ED2">
        <w:rPr>
          <w:rFonts w:ascii="Lato" w:eastAsia="Times New Roman" w:hAnsi="Lato" w:cs="Times New Roman"/>
          <w:color w:val="000000"/>
          <w:spacing w:val="5"/>
          <w:sz w:val="24"/>
          <w:szCs w:val="24"/>
          <w:lang w:eastAsia="it-IT"/>
        </w:rPr>
        <w:t xml:space="preserve"> al momento in cui risale la condotta ipotizzata come illecita.</w:t>
      </w:r>
    </w:p>
    <w:p w14:paraId="17B7588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La Corte dei conti ha già proceduto all'apprezzamento della portata dello statuto, ma non per questo la valutazione di quella risultanza è sottratta alle Sezioni Unite, in sede di impugnazione della sentenza del giudice contabile per motivi inerenti alla giurisdizione, perché alla Corte regolatrice compete la decisione sulla correttezza dell'individuazione del giudice munito di competenza giurisdizionale dipendente da quel fatto.</w:t>
      </w:r>
    </w:p>
    <w:p w14:paraId="6FCB530F"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Infatti, se il danno causato per mala </w:t>
      </w:r>
      <w:proofErr w:type="spellStart"/>
      <w:r w:rsidRPr="002E0ED2">
        <w:rPr>
          <w:rFonts w:ascii="Lato" w:eastAsia="Times New Roman" w:hAnsi="Lato" w:cs="Times New Roman"/>
          <w:color w:val="000000"/>
          <w:spacing w:val="5"/>
          <w:sz w:val="24"/>
          <w:szCs w:val="24"/>
          <w:lang w:eastAsia="it-IT"/>
        </w:rPr>
        <w:t>gestio</w:t>
      </w:r>
      <w:proofErr w:type="spellEnd"/>
      <w:r w:rsidRPr="002E0ED2">
        <w:rPr>
          <w:rFonts w:ascii="Lato" w:eastAsia="Times New Roman" w:hAnsi="Lato" w:cs="Times New Roman"/>
          <w:color w:val="000000"/>
          <w:spacing w:val="5"/>
          <w:sz w:val="24"/>
          <w:szCs w:val="24"/>
          <w:lang w:eastAsia="it-IT"/>
        </w:rPr>
        <w:t xml:space="preserve"> degli amministratori al patrimonio di una società a partecipazione pubblica, non legata da un rapporto di servizio con il socio-ente pubblico, non integra un'ipotesi di danno erariale inteso quale pregiudizio direttamente arrecato al patrimonio dell'ente pubblico medesimo (stante la distinzione tra società e soci, </w:t>
      </w:r>
      <w:proofErr w:type="spellStart"/>
      <w:r w:rsidRPr="002E0ED2">
        <w:rPr>
          <w:rFonts w:ascii="Lato" w:eastAsia="Times New Roman" w:hAnsi="Lato" w:cs="Times New Roman"/>
          <w:color w:val="000000"/>
          <w:spacing w:val="5"/>
          <w:sz w:val="24"/>
          <w:szCs w:val="24"/>
          <w:lang w:eastAsia="it-IT"/>
        </w:rPr>
        <w:t>nonchè</w:t>
      </w:r>
      <w:proofErr w:type="spellEnd"/>
      <w:r w:rsidRPr="002E0ED2">
        <w:rPr>
          <w:rFonts w:ascii="Lato" w:eastAsia="Times New Roman" w:hAnsi="Lato" w:cs="Times New Roman"/>
          <w:color w:val="000000"/>
          <w:spacing w:val="5"/>
          <w:sz w:val="24"/>
          <w:szCs w:val="24"/>
          <w:lang w:eastAsia="it-IT"/>
        </w:rPr>
        <w:t xml:space="preserve"> la piena autonomia patrimoniale della prima rispetto ai secondi), con conseguente devoluzione della lite al giudice ordinario, non altrettanto </w:t>
      </w:r>
      <w:proofErr w:type="spellStart"/>
      <w:r w:rsidRPr="002E0ED2">
        <w:rPr>
          <w:rFonts w:ascii="Lato" w:eastAsia="Times New Roman" w:hAnsi="Lato" w:cs="Times New Roman"/>
          <w:color w:val="000000"/>
          <w:spacing w:val="5"/>
          <w:sz w:val="24"/>
          <w:szCs w:val="24"/>
          <w:lang w:eastAsia="it-IT"/>
        </w:rPr>
        <w:t>e'</w:t>
      </w:r>
      <w:proofErr w:type="spellEnd"/>
      <w:r w:rsidRPr="002E0ED2">
        <w:rPr>
          <w:rFonts w:ascii="Lato" w:eastAsia="Times New Roman" w:hAnsi="Lato" w:cs="Times New Roman"/>
          <w:color w:val="000000"/>
          <w:spacing w:val="5"/>
          <w:sz w:val="24"/>
          <w:szCs w:val="24"/>
          <w:lang w:eastAsia="it-IT"/>
        </w:rPr>
        <w:t xml:space="preserve"> a dirsi allorquando questo danno venga fatto valere nella gestione di una società che, in quanto in house, sia caratterizzata da un rapporto di servizio qualificato con l'ente pubblico.</w:t>
      </w:r>
    </w:p>
    <w:p w14:paraId="663E4C80" w14:textId="77777777" w:rsidR="002E0ED2" w:rsidRPr="0062188F" w:rsidRDefault="002E0ED2" w:rsidP="002E0ED2">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62188F">
        <w:rPr>
          <w:rFonts w:ascii="Lato" w:eastAsia="Times New Roman" w:hAnsi="Lato" w:cs="Times New Roman"/>
          <w:b/>
          <w:bCs/>
          <w:color w:val="000000"/>
          <w:spacing w:val="5"/>
          <w:sz w:val="24"/>
          <w:szCs w:val="24"/>
          <w:lang w:eastAsia="it-IT"/>
        </w:rPr>
        <w:t>3. - Passando all'esame del motivo di ricorso come sopra compendiato, esso è fondato.</w:t>
      </w:r>
    </w:p>
    <w:p w14:paraId="7F09B39F" w14:textId="77777777" w:rsidR="002E0ED2" w:rsidRPr="0062188F" w:rsidRDefault="002E0ED2" w:rsidP="002E0ED2">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62188F">
        <w:rPr>
          <w:rFonts w:ascii="Lato" w:eastAsia="Times New Roman" w:hAnsi="Lato" w:cs="Times New Roman"/>
          <w:b/>
          <w:bCs/>
          <w:color w:val="000000"/>
          <w:spacing w:val="5"/>
          <w:sz w:val="24"/>
          <w:szCs w:val="24"/>
          <w:lang w:eastAsia="it-IT"/>
        </w:rPr>
        <w:t xml:space="preserve">4. - I requisiti della società in house (indicati nella sentenza della Corte di giustizia 18 novembre 1999, C-107/1998, </w:t>
      </w:r>
      <w:proofErr w:type="spellStart"/>
      <w:r w:rsidRPr="0062188F">
        <w:rPr>
          <w:rFonts w:ascii="Lato" w:eastAsia="Times New Roman" w:hAnsi="Lato" w:cs="Times New Roman"/>
          <w:b/>
          <w:bCs/>
          <w:color w:val="000000"/>
          <w:spacing w:val="5"/>
          <w:sz w:val="24"/>
          <w:szCs w:val="24"/>
          <w:lang w:eastAsia="it-IT"/>
        </w:rPr>
        <w:t>Teckal</w:t>
      </w:r>
      <w:proofErr w:type="spellEnd"/>
      <w:r w:rsidRPr="0062188F">
        <w:rPr>
          <w:rFonts w:ascii="Lato" w:eastAsia="Times New Roman" w:hAnsi="Lato" w:cs="Times New Roman"/>
          <w:b/>
          <w:bCs/>
          <w:color w:val="000000"/>
          <w:spacing w:val="5"/>
          <w:sz w:val="24"/>
          <w:szCs w:val="24"/>
          <w:lang w:eastAsia="it-IT"/>
        </w:rPr>
        <w:t>) che fondano la giurisdizione contabile in ambito societario sono stati da tempo focalizzati dalla giurisprudenza di legittimità.</w:t>
      </w:r>
    </w:p>
    <w:p w14:paraId="323CD4E5" w14:textId="77777777" w:rsidR="002E0ED2" w:rsidRPr="0062188F" w:rsidRDefault="002E0ED2" w:rsidP="002E0ED2">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Secondo la costante giurisprudenza di questa Corte, infatti, sussiste la giurisdizione contabile in materia di azione di responsabilità nei confronti degli organi di gestione e di </w:t>
      </w:r>
      <w:r w:rsidRPr="002E0ED2">
        <w:rPr>
          <w:rFonts w:ascii="Lato" w:eastAsia="Times New Roman" w:hAnsi="Lato" w:cs="Times New Roman"/>
          <w:color w:val="000000"/>
          <w:spacing w:val="5"/>
          <w:sz w:val="24"/>
          <w:szCs w:val="24"/>
          <w:lang w:eastAsia="it-IT"/>
        </w:rPr>
        <w:lastRenderedPageBreak/>
        <w:t xml:space="preserve">controllo di società di capitali partecipata da enti pubblici solo se questa abbia i requisiti per potere essere definita come </w:t>
      </w:r>
      <w:proofErr w:type="spellStart"/>
      <w:r w:rsidRPr="002E0ED2">
        <w:rPr>
          <w:rFonts w:ascii="Lato" w:eastAsia="Times New Roman" w:hAnsi="Lato" w:cs="Times New Roman"/>
          <w:color w:val="000000"/>
          <w:spacing w:val="5"/>
          <w:sz w:val="24"/>
          <w:szCs w:val="24"/>
          <w:lang w:eastAsia="it-IT"/>
        </w:rPr>
        <w:t>societa'</w:t>
      </w:r>
      <w:proofErr w:type="spellEnd"/>
      <w:r w:rsidRPr="002E0ED2">
        <w:rPr>
          <w:rFonts w:ascii="Lato" w:eastAsia="Times New Roman" w:hAnsi="Lato" w:cs="Times New Roman"/>
          <w:color w:val="000000"/>
          <w:spacing w:val="5"/>
          <w:sz w:val="24"/>
          <w:szCs w:val="24"/>
          <w:lang w:eastAsia="it-IT"/>
        </w:rPr>
        <w:t xml:space="preserve"> in house: </w:t>
      </w:r>
      <w:r w:rsidRPr="00440DFC">
        <w:rPr>
          <w:rFonts w:ascii="Lato" w:eastAsia="Times New Roman" w:hAnsi="Lato" w:cs="Times New Roman"/>
          <w:b/>
          <w:bCs/>
          <w:color w:val="000000"/>
          <w:spacing w:val="5"/>
          <w:sz w:val="24"/>
          <w:szCs w:val="24"/>
          <w:lang w:eastAsia="it-IT"/>
        </w:rPr>
        <w:t>per tale dovendosi intendere quella dal cui quadro statutario, vigente all'epoca della condotta ritenuta dannosa, emerga che</w:t>
      </w:r>
      <w:r w:rsidRPr="002E0ED2">
        <w:rPr>
          <w:rFonts w:ascii="Lato" w:eastAsia="Times New Roman" w:hAnsi="Lato" w:cs="Times New Roman"/>
          <w:color w:val="000000"/>
          <w:spacing w:val="5"/>
          <w:sz w:val="24"/>
          <w:szCs w:val="24"/>
          <w:lang w:eastAsia="it-IT"/>
        </w:rPr>
        <w:t xml:space="preserve"> </w:t>
      </w:r>
      <w:r w:rsidRPr="0062188F">
        <w:rPr>
          <w:rFonts w:ascii="Lato" w:eastAsia="Times New Roman" w:hAnsi="Lato" w:cs="Times New Roman"/>
          <w:b/>
          <w:bCs/>
          <w:color w:val="000000"/>
          <w:spacing w:val="5"/>
          <w:sz w:val="24"/>
          <w:szCs w:val="24"/>
          <w:lang w:eastAsia="it-IT"/>
        </w:rPr>
        <w:t>sia stata costituita da uno o più enti pubblici per l'esercizio di pubblici servizi e rispetto alla quale solamente i medesimi enti siano soci, ove essa esplichi la propria attività prevalente in favore degli enti partecipanti e sia assoggettata a forme di controllo della gestione analoghe a quelle esercitate dagli enti pubblici sui propri uffici (Cass., Sez. Un., 25 novembre 2013, n. 26283; Cass., Sez. Un., 2 dicembre 2013, n. 26936; Cass., Sez. Un., 13 settembre 2018, n. 22409).</w:t>
      </w:r>
    </w:p>
    <w:p w14:paraId="62C0320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Pertanto, una società di capitali partecipata da enti pubblici è configurabile come in house, e sussiste la giurisdizione contabile in materia di azione di responsabilità nei confronti dei suoi organi di gestione e di controllo, </w:t>
      </w:r>
      <w:proofErr w:type="spellStart"/>
      <w:r w:rsidRPr="002E0ED2">
        <w:rPr>
          <w:rFonts w:ascii="Lato" w:eastAsia="Times New Roman" w:hAnsi="Lato" w:cs="Times New Roman"/>
          <w:color w:val="000000"/>
          <w:spacing w:val="5"/>
          <w:sz w:val="24"/>
          <w:szCs w:val="24"/>
          <w:lang w:eastAsia="it-IT"/>
        </w:rPr>
        <w:t>allorchè</w:t>
      </w:r>
      <w:proofErr w:type="spellEnd"/>
      <w:r w:rsidRPr="002E0ED2">
        <w:rPr>
          <w:rFonts w:ascii="Lato" w:eastAsia="Times New Roman" w:hAnsi="Lato" w:cs="Times New Roman"/>
          <w:color w:val="000000"/>
          <w:spacing w:val="5"/>
          <w:sz w:val="24"/>
          <w:szCs w:val="24"/>
          <w:lang w:eastAsia="it-IT"/>
        </w:rPr>
        <w:t xml:space="preserve"> vi siano i seguenti requisiti: (a) il capitale sociale deve essere integralmente detenuto da uno o più enti pubblici per l'esercizio di pubblici servizi e lo statuto deve vietare la cessione delle partecipazioni a soci privati; (b) la società deve esplicare statutaria-mente la propria attività prevalente in favore degli enti partecipanti, in modo che l'eventuale attività accessoria non implichi una significativa presenza sul mercato e rivesta una valenza meramente strumentale; (c) la gestione sia per statuto assoggettata a forme di controllo analoghe a quelle esercitate dagli enti pubblici sui propri uffici. Detti requisiti devono sussistere tutti contemporaneamente e risultare da precise disposizioni statutarie in vigore al momento in cui risale la condotta ipotizzata come illecita.</w:t>
      </w:r>
    </w:p>
    <w:p w14:paraId="024C1269" w14:textId="77777777" w:rsidR="002E0ED2" w:rsidRPr="00D473EB" w:rsidRDefault="002E0ED2" w:rsidP="002E0ED2">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2E0ED2">
        <w:rPr>
          <w:rFonts w:ascii="Lato" w:eastAsia="Times New Roman" w:hAnsi="Lato" w:cs="Times New Roman"/>
          <w:color w:val="000000"/>
          <w:spacing w:val="5"/>
          <w:sz w:val="24"/>
          <w:szCs w:val="24"/>
          <w:lang w:eastAsia="it-IT"/>
        </w:rPr>
        <w:t>Il T.U. in materia di società a partecipazione pubblica (</w:t>
      </w:r>
      <w:hyperlink r:id="rId10" w:history="1">
        <w:r w:rsidRPr="002E0ED2">
          <w:rPr>
            <w:rFonts w:ascii="Lato" w:eastAsia="Times New Roman" w:hAnsi="Lato" w:cs="Times New Roman"/>
            <w:b/>
            <w:bCs/>
            <w:color w:val="FFA403"/>
            <w:spacing w:val="5"/>
            <w:sz w:val="24"/>
            <w:szCs w:val="24"/>
            <w:lang w:eastAsia="it-IT"/>
          </w:rPr>
          <w:t>D.L.vo n. 175 del 2016</w:t>
        </w:r>
      </w:hyperlink>
      <w:r w:rsidRPr="002E0ED2">
        <w:rPr>
          <w:rFonts w:ascii="Lato" w:eastAsia="Times New Roman" w:hAnsi="Lato" w:cs="Times New Roman"/>
          <w:color w:val="000000"/>
          <w:spacing w:val="5"/>
          <w:sz w:val="24"/>
          <w:szCs w:val="24"/>
          <w:lang w:eastAsia="it-IT"/>
        </w:rPr>
        <w:t xml:space="preserve">) ha sostanzialmente recepito l'approdo della Corte regolatrice: facendo salva la giurisdizione della Corte dei conti per il danno erariale causato dagli amministratori e dai dipendenti delle società in house (art. 12); definendo in house le </w:t>
      </w:r>
      <w:proofErr w:type="spellStart"/>
      <w:r w:rsidRPr="002E0ED2">
        <w:rPr>
          <w:rFonts w:ascii="Lato" w:eastAsia="Times New Roman" w:hAnsi="Lato" w:cs="Times New Roman"/>
          <w:color w:val="000000"/>
          <w:spacing w:val="5"/>
          <w:sz w:val="24"/>
          <w:szCs w:val="24"/>
          <w:lang w:eastAsia="it-IT"/>
        </w:rPr>
        <w:t>societa'</w:t>
      </w:r>
      <w:proofErr w:type="spellEnd"/>
      <w:r w:rsidRPr="002E0ED2">
        <w:rPr>
          <w:rFonts w:ascii="Lato" w:eastAsia="Times New Roman" w:hAnsi="Lato" w:cs="Times New Roman"/>
          <w:color w:val="000000"/>
          <w:spacing w:val="5"/>
          <w:sz w:val="24"/>
          <w:szCs w:val="24"/>
          <w:lang w:eastAsia="it-IT"/>
        </w:rPr>
        <w:t xml:space="preserve"> sulle quali un'amministrazione esercita il controllo analogo o più amministrazioni esercitano il controllo analogo congiunto, nelle quali la partecipazione di capitali privati avviene in certe forme, e che soddisfano il requisito dell'attività prevalente (art. 2, comma 1, lett. o, e art. 16, commi 1 e 3); </w:t>
      </w:r>
      <w:r w:rsidRPr="00D473EB">
        <w:rPr>
          <w:rFonts w:ascii="Lato" w:eastAsia="Times New Roman" w:hAnsi="Lato" w:cs="Times New Roman"/>
          <w:b/>
          <w:bCs/>
          <w:color w:val="000000"/>
          <w:spacing w:val="5"/>
          <w:sz w:val="24"/>
          <w:szCs w:val="24"/>
          <w:lang w:eastAsia="it-IT"/>
        </w:rPr>
        <w:t>intendendo per controllo analogo la situazione in cui l'amministrazione esercita su una società un controllo analogo a quello esercitato sui propri servizi, esercitando un'influenza determinante sia sugli obiettivi strategici che sulle decisioni significative della società controllata (art. 2, comma 1, lett. c).</w:t>
      </w:r>
    </w:p>
    <w:p w14:paraId="3B6AEDC8"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5. - Nel caso in esame il requisito della partecipazione totalitaria dell'ente pubblico è pacifico, non essendo controversa la circostanza che la ASL di Foggia </w:t>
      </w:r>
      <w:proofErr w:type="spellStart"/>
      <w:proofErr w:type="gramStart"/>
      <w:r w:rsidRPr="002E0ED2">
        <w:rPr>
          <w:rFonts w:ascii="Lato" w:eastAsia="Times New Roman" w:hAnsi="Lato" w:cs="Times New Roman"/>
          <w:color w:val="000000"/>
          <w:spacing w:val="5"/>
          <w:sz w:val="24"/>
          <w:szCs w:val="24"/>
          <w:lang w:eastAsia="it-IT"/>
        </w:rPr>
        <w:t>e'</w:t>
      </w:r>
      <w:proofErr w:type="spellEnd"/>
      <w:proofErr w:type="gramEnd"/>
      <w:r w:rsidRPr="002E0ED2">
        <w:rPr>
          <w:rFonts w:ascii="Lato" w:eastAsia="Times New Roman" w:hAnsi="Lato" w:cs="Times New Roman"/>
          <w:color w:val="000000"/>
          <w:spacing w:val="5"/>
          <w:sz w:val="24"/>
          <w:szCs w:val="24"/>
          <w:lang w:eastAsia="it-IT"/>
        </w:rPr>
        <w:t xml:space="preserve"> titolare dell'intero capitale sociale della Sanita-service, e che questa ha per oggetto la fornitura di prestazioni e la gestione di servizi nel settore socio sanitario, con particolare riferimento al servizio 118 e al servizio di </w:t>
      </w:r>
      <w:proofErr w:type="spellStart"/>
      <w:r w:rsidRPr="002E0ED2">
        <w:rPr>
          <w:rFonts w:ascii="Lato" w:eastAsia="Times New Roman" w:hAnsi="Lato" w:cs="Times New Roman"/>
          <w:color w:val="000000"/>
          <w:spacing w:val="5"/>
          <w:sz w:val="24"/>
          <w:szCs w:val="24"/>
          <w:lang w:eastAsia="it-IT"/>
        </w:rPr>
        <w:t>ausiliariato</w:t>
      </w:r>
      <w:proofErr w:type="spellEnd"/>
      <w:r w:rsidRPr="002E0ED2">
        <w:rPr>
          <w:rFonts w:ascii="Lato" w:eastAsia="Times New Roman" w:hAnsi="Lato" w:cs="Times New Roman"/>
          <w:color w:val="000000"/>
          <w:spacing w:val="5"/>
          <w:sz w:val="24"/>
          <w:szCs w:val="24"/>
          <w:lang w:eastAsia="it-IT"/>
        </w:rPr>
        <w:t xml:space="preserve"> presso le strutture sanitarie.</w:t>
      </w:r>
    </w:p>
    <w:p w14:paraId="1030EEDF"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La ASL di Foggia è il socio unico di tale società (così l'art. 1 dell'atto di costituzione della società a responsabilità limitata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s.r.l., ai rogiti del notaio Labianca del 30 maggio 2008, rep. n. (Omissis), racc. n. (Omissis), ai cui sensi "E' costituita una società a responsabilità limitata sotto la denominazione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s.r.l." della quale l'Azienda sanitaria locale della Provincia di Foggia è l'unico socio") e in base all'art. 6 dello statuto le quote di partecipazione sociale possono essere possedute esclusivamente dalla medesima ASL o da altre pubbliche amministrazioni di cui al </w:t>
      </w:r>
      <w:hyperlink r:id="rId11" w:history="1">
        <w:r w:rsidRPr="002E0ED2">
          <w:rPr>
            <w:rFonts w:ascii="Lato" w:eastAsia="Times New Roman" w:hAnsi="Lato" w:cs="Times New Roman"/>
            <w:b/>
            <w:bCs/>
            <w:color w:val="FFA403"/>
            <w:spacing w:val="5"/>
            <w:sz w:val="24"/>
            <w:szCs w:val="24"/>
            <w:lang w:eastAsia="it-IT"/>
          </w:rPr>
          <w:t>D.L.vo n. 165 del 2001</w:t>
        </w:r>
      </w:hyperlink>
      <w:r w:rsidRPr="002E0ED2">
        <w:rPr>
          <w:rFonts w:ascii="Lato" w:eastAsia="Times New Roman" w:hAnsi="Lato" w:cs="Times New Roman"/>
          <w:color w:val="000000"/>
          <w:spacing w:val="5"/>
          <w:sz w:val="24"/>
          <w:szCs w:val="24"/>
          <w:lang w:eastAsia="it-IT"/>
        </w:rPr>
        <w:t>, art. 1.</w:t>
      </w:r>
    </w:p>
    <w:p w14:paraId="4048A9FE"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Ricorre, inoltre, il requisito dell'esercizio prevalente dell'attività a favore dell'ente pubblico quotista unico, come risulta dall'espresso dettato statutario secondo cui le attività facenti parte dell'oggetto sociale (vale a dire la fornitura di prestazioni e la gestione di servizi nel settore socio sanitario, con particolare riferimento al servizio 118 </w:t>
      </w:r>
      <w:r w:rsidRPr="002E0ED2">
        <w:rPr>
          <w:rFonts w:ascii="Lato" w:eastAsia="Times New Roman" w:hAnsi="Lato" w:cs="Times New Roman"/>
          <w:color w:val="000000"/>
          <w:spacing w:val="5"/>
          <w:sz w:val="24"/>
          <w:szCs w:val="24"/>
          <w:lang w:eastAsia="it-IT"/>
        </w:rPr>
        <w:lastRenderedPageBreak/>
        <w:t xml:space="preserve">e al servizio di </w:t>
      </w:r>
      <w:proofErr w:type="spellStart"/>
      <w:r w:rsidRPr="002E0ED2">
        <w:rPr>
          <w:rFonts w:ascii="Lato" w:eastAsia="Times New Roman" w:hAnsi="Lato" w:cs="Times New Roman"/>
          <w:color w:val="000000"/>
          <w:spacing w:val="5"/>
          <w:sz w:val="24"/>
          <w:szCs w:val="24"/>
          <w:lang w:eastAsia="it-IT"/>
        </w:rPr>
        <w:t>ausiliariato</w:t>
      </w:r>
      <w:proofErr w:type="spellEnd"/>
      <w:r w:rsidRPr="002E0ED2">
        <w:rPr>
          <w:rFonts w:ascii="Lato" w:eastAsia="Times New Roman" w:hAnsi="Lato" w:cs="Times New Roman"/>
          <w:color w:val="000000"/>
          <w:spacing w:val="5"/>
          <w:sz w:val="24"/>
          <w:szCs w:val="24"/>
          <w:lang w:eastAsia="it-IT"/>
        </w:rPr>
        <w:t xml:space="preserve"> presso le strutture sanitarie) devono essere svolte in favore della stessa azienda sanitaria ed entro l'ambito di competenza territoriale di quest'ultima. </w:t>
      </w:r>
      <w:proofErr w:type="gramStart"/>
      <w:r w:rsidRPr="00D473EB">
        <w:rPr>
          <w:rFonts w:ascii="Lato" w:eastAsia="Times New Roman" w:hAnsi="Lato" w:cs="Times New Roman"/>
          <w:b/>
          <w:bCs/>
          <w:color w:val="000000"/>
          <w:spacing w:val="5"/>
          <w:sz w:val="24"/>
          <w:szCs w:val="24"/>
          <w:lang w:eastAsia="it-IT"/>
        </w:rPr>
        <w:t>E'</w:t>
      </w:r>
      <w:proofErr w:type="gramEnd"/>
      <w:r w:rsidRPr="00D473EB">
        <w:rPr>
          <w:rFonts w:ascii="Lato" w:eastAsia="Times New Roman" w:hAnsi="Lato" w:cs="Times New Roman"/>
          <w:b/>
          <w:bCs/>
          <w:color w:val="000000"/>
          <w:spacing w:val="5"/>
          <w:sz w:val="24"/>
          <w:szCs w:val="24"/>
          <w:lang w:eastAsia="it-IT"/>
        </w:rPr>
        <w:t xml:space="preserve"> infatti previsto che rientrano nell'oggetto sociale le attività di supporto e di integrazione dei servizi sanitari di emergenza-urgenza resi dalla ASL di Foggia, ivi incluse le </w:t>
      </w:r>
      <w:proofErr w:type="spellStart"/>
      <w:r w:rsidRPr="00D473EB">
        <w:rPr>
          <w:rFonts w:ascii="Lato" w:eastAsia="Times New Roman" w:hAnsi="Lato" w:cs="Times New Roman"/>
          <w:b/>
          <w:bCs/>
          <w:color w:val="000000"/>
          <w:spacing w:val="5"/>
          <w:sz w:val="24"/>
          <w:szCs w:val="24"/>
          <w:lang w:eastAsia="it-IT"/>
        </w:rPr>
        <w:t>attivita'</w:t>
      </w:r>
      <w:proofErr w:type="spellEnd"/>
      <w:r w:rsidRPr="00D473EB">
        <w:rPr>
          <w:rFonts w:ascii="Lato" w:eastAsia="Times New Roman" w:hAnsi="Lato" w:cs="Times New Roman"/>
          <w:b/>
          <w:bCs/>
          <w:color w:val="000000"/>
          <w:spacing w:val="5"/>
          <w:sz w:val="24"/>
          <w:szCs w:val="24"/>
          <w:lang w:eastAsia="it-IT"/>
        </w:rPr>
        <w:t xml:space="preserve"> di soccorso e trasporto dei pazienti da e presso qualsiasi struttura sanitaria</w:t>
      </w:r>
      <w:r w:rsidRPr="002E0ED2">
        <w:rPr>
          <w:rFonts w:ascii="Lato" w:eastAsia="Times New Roman" w:hAnsi="Lato" w:cs="Times New Roman"/>
          <w:color w:val="000000"/>
          <w:spacing w:val="5"/>
          <w:sz w:val="24"/>
          <w:szCs w:val="24"/>
          <w:lang w:eastAsia="it-IT"/>
        </w:rPr>
        <w:t>.</w:t>
      </w:r>
    </w:p>
    <w:p w14:paraId="3EAE4BF7" w14:textId="77777777" w:rsidR="002E0ED2" w:rsidRPr="00D473EB" w:rsidRDefault="002E0ED2" w:rsidP="002E0ED2">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6. - In ordine al requisito del controllo analogo, preme rilevare che l'evoluzione della </w:t>
      </w:r>
      <w:r w:rsidRPr="00440DFC">
        <w:rPr>
          <w:rFonts w:ascii="Lato" w:eastAsia="Times New Roman" w:hAnsi="Lato" w:cs="Times New Roman"/>
          <w:b/>
          <w:bCs/>
          <w:color w:val="000000"/>
          <w:spacing w:val="5"/>
          <w:sz w:val="24"/>
          <w:szCs w:val="24"/>
          <w:u w:val="single"/>
          <w:lang w:eastAsia="it-IT"/>
        </w:rPr>
        <w:t xml:space="preserve">giurisprudenza della Corte di giustizia (v. sentenza 11 gennaio 2005, C-26/2003, </w:t>
      </w:r>
      <w:proofErr w:type="spellStart"/>
      <w:r w:rsidRPr="00440DFC">
        <w:rPr>
          <w:rFonts w:ascii="Lato" w:eastAsia="Times New Roman" w:hAnsi="Lato" w:cs="Times New Roman"/>
          <w:b/>
          <w:bCs/>
          <w:color w:val="000000"/>
          <w:spacing w:val="5"/>
          <w:sz w:val="24"/>
          <w:szCs w:val="24"/>
          <w:u w:val="single"/>
          <w:lang w:eastAsia="it-IT"/>
        </w:rPr>
        <w:t>Stadt</w:t>
      </w:r>
      <w:proofErr w:type="spellEnd"/>
      <w:r w:rsidRPr="00440DFC">
        <w:rPr>
          <w:rFonts w:ascii="Lato" w:eastAsia="Times New Roman" w:hAnsi="Lato" w:cs="Times New Roman"/>
          <w:b/>
          <w:bCs/>
          <w:color w:val="000000"/>
          <w:spacing w:val="5"/>
          <w:sz w:val="24"/>
          <w:szCs w:val="24"/>
          <w:u w:val="single"/>
          <w:lang w:eastAsia="it-IT"/>
        </w:rPr>
        <w:t xml:space="preserve"> Halle; sentenza 13 ottobre 2005, C-458/2003, Parking Brixen</w:t>
      </w:r>
      <w:r w:rsidRPr="002E0ED2">
        <w:rPr>
          <w:rFonts w:ascii="Lato" w:eastAsia="Times New Roman" w:hAnsi="Lato" w:cs="Times New Roman"/>
          <w:color w:val="000000"/>
          <w:spacing w:val="5"/>
          <w:sz w:val="24"/>
          <w:szCs w:val="24"/>
          <w:lang w:eastAsia="it-IT"/>
        </w:rPr>
        <w:t xml:space="preserve">) e di legittimità registra una progressiva specificazione della nozione, </w:t>
      </w:r>
      <w:r w:rsidRPr="00D473EB">
        <w:rPr>
          <w:rFonts w:ascii="Lato" w:eastAsia="Times New Roman" w:hAnsi="Lato" w:cs="Times New Roman"/>
          <w:b/>
          <w:bCs/>
          <w:color w:val="000000"/>
          <w:spacing w:val="5"/>
          <w:sz w:val="24"/>
          <w:szCs w:val="24"/>
          <w:lang w:eastAsia="it-IT"/>
        </w:rPr>
        <w:t>nel senso di una sua non assoluta e perfetta coincidenza o sovrapposizione (a partire da un dato anche lessicale, posto che "analogo" non è sinonimo di "identico") con il controllo esercitato dall'ente pubblico sui propri organi ed uffici interni, a favore di una più marcata sua identificazione nella fattispecie di influenza determinante sulle linee strategiche e sulle decisioni fondamentali della società.</w:t>
      </w:r>
    </w:p>
    <w:p w14:paraId="3FA522A4" w14:textId="77777777" w:rsidR="002E0ED2" w:rsidRPr="00D473EB" w:rsidRDefault="002E0ED2" w:rsidP="002E0ED2">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440DFC">
        <w:rPr>
          <w:rFonts w:ascii="Lato" w:eastAsia="Times New Roman" w:hAnsi="Lato" w:cs="Times New Roman"/>
          <w:b/>
          <w:bCs/>
          <w:color w:val="000000"/>
          <w:spacing w:val="5"/>
          <w:sz w:val="24"/>
          <w:szCs w:val="24"/>
          <w:u w:val="single"/>
          <w:lang w:eastAsia="it-IT"/>
        </w:rPr>
        <w:t xml:space="preserve">In particolare, come questa Corte ha già sottolineato, non può essere accolta una nozione di controllo analogo esercitata dall'ente pubblico sulla società in house tale da declassare la </w:t>
      </w:r>
      <w:proofErr w:type="spellStart"/>
      <w:r w:rsidRPr="00440DFC">
        <w:rPr>
          <w:rFonts w:ascii="Lato" w:eastAsia="Times New Roman" w:hAnsi="Lato" w:cs="Times New Roman"/>
          <w:b/>
          <w:bCs/>
          <w:color w:val="000000"/>
          <w:spacing w:val="5"/>
          <w:sz w:val="24"/>
          <w:szCs w:val="24"/>
          <w:u w:val="single"/>
          <w:lang w:eastAsia="it-IT"/>
        </w:rPr>
        <w:t>societa'</w:t>
      </w:r>
      <w:proofErr w:type="spellEnd"/>
      <w:r w:rsidRPr="00440DFC">
        <w:rPr>
          <w:rFonts w:ascii="Lato" w:eastAsia="Times New Roman" w:hAnsi="Lato" w:cs="Times New Roman"/>
          <w:b/>
          <w:bCs/>
          <w:color w:val="000000"/>
          <w:spacing w:val="5"/>
          <w:sz w:val="24"/>
          <w:szCs w:val="24"/>
          <w:u w:val="single"/>
          <w:lang w:eastAsia="it-IT"/>
        </w:rPr>
        <w:t xml:space="preserve"> di capitali a mera articolazione interna dell'ente pubblico, del tutto priva di autonomia e sottoposta all'identico potere gerarchico esercitato dall'amministrazione sugli uffici dipendenti</w:t>
      </w:r>
      <w:r w:rsidRPr="002E0ED2">
        <w:rPr>
          <w:rFonts w:ascii="Lato" w:eastAsia="Times New Roman" w:hAnsi="Lato" w:cs="Times New Roman"/>
          <w:color w:val="000000"/>
          <w:spacing w:val="5"/>
          <w:sz w:val="24"/>
          <w:szCs w:val="24"/>
          <w:lang w:eastAsia="it-IT"/>
        </w:rPr>
        <w:t xml:space="preserve">. Osta a tale interpretazione la previsione come analogo del controllo, con ciò intendendosi propriamente affermare che tale controllo </w:t>
      </w:r>
      <w:r w:rsidRPr="00D473EB">
        <w:rPr>
          <w:rFonts w:ascii="Lato" w:eastAsia="Times New Roman" w:hAnsi="Lato" w:cs="Times New Roman"/>
          <w:b/>
          <w:bCs/>
          <w:color w:val="000000"/>
          <w:spacing w:val="5"/>
          <w:sz w:val="24"/>
          <w:szCs w:val="24"/>
          <w:lang w:eastAsia="it-IT"/>
        </w:rPr>
        <w:t>non è uguale ma semplicemente simile a quello esercitato dall'ente pubblico sui propri servizi gestiti direttamente. Inoltre, una interpretazione del controllo analogo tale per cui la società in house risulti assoggettata ad un potere di direzione gerarchica, indistinguibile da quello esercitato dall'ente pubblico sulle proprie articolazioni interne, appare incompatibile con i principi di autonomia patrimoniale e attribuzione della personalità giuridica che il c.c. riconosce alla società di capitali (Cass., Sez. Un., 8 luglio 2020, n. 14236; Cass., Sez. Un., 8 febbraio 2023, n. 3869).</w:t>
      </w:r>
    </w:p>
    <w:p w14:paraId="3D2EB43C"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In altri termini, il </w:t>
      </w:r>
      <w:r w:rsidRPr="00440DFC">
        <w:rPr>
          <w:rFonts w:ascii="Lato" w:eastAsia="Times New Roman" w:hAnsi="Lato" w:cs="Times New Roman"/>
          <w:b/>
          <w:bCs/>
          <w:color w:val="000000"/>
          <w:spacing w:val="5"/>
          <w:sz w:val="24"/>
          <w:szCs w:val="24"/>
          <w:lang w:eastAsia="it-IT"/>
        </w:rPr>
        <w:t>controllo analogo non è un controllo assoluto come su un pubblico ufficio né un controllo gerarchico, trattandosi del controllo di un soggetto esterno e rimasto distinto, a ben guardare, da quello controllato</w:t>
      </w:r>
      <w:r w:rsidRPr="002E0ED2">
        <w:rPr>
          <w:rFonts w:ascii="Lato" w:eastAsia="Times New Roman" w:hAnsi="Lato" w:cs="Times New Roman"/>
          <w:color w:val="000000"/>
          <w:spacing w:val="5"/>
          <w:sz w:val="24"/>
          <w:szCs w:val="24"/>
          <w:lang w:eastAsia="it-IT"/>
        </w:rPr>
        <w:t>. Ne consegue ontologicamente la limitazione dell'obiettivo del controllo alle decisioni fondamentali del soggetto così controllato, ovvero a quelle riconducibili alle linee strategiche e alle più importanti scelte operative, in modo tale quindi da incidere sulla complessiva governance dell'attività della società in house, per tenere in conto e preservare le finalità pubbliche che comunque la permeano (Cass., Sez. Un., 28 giugno 2022, n. 20632).</w:t>
      </w:r>
    </w:p>
    <w:p w14:paraId="43C546A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In questa prospettiva si muove anche Cass., Sez. Un., 26 maggio 2023, n. 14776, la quale ha ritenuto sussistente il requisito del controllo analogo in una fattispecie nella quale il Comune era l'unico socio della società di capitali gestore del servizio di trasporto pubblico locale: condizione, questa, ha precisato la Corte, che consentiva di per </w:t>
      </w:r>
      <w:proofErr w:type="spellStart"/>
      <w:r w:rsidRPr="002E0ED2">
        <w:rPr>
          <w:rFonts w:ascii="Lato" w:eastAsia="Times New Roman" w:hAnsi="Lato" w:cs="Times New Roman"/>
          <w:color w:val="000000"/>
          <w:spacing w:val="5"/>
          <w:sz w:val="24"/>
          <w:szCs w:val="24"/>
          <w:lang w:eastAsia="it-IT"/>
        </w:rPr>
        <w:t>sè</w:t>
      </w:r>
      <w:proofErr w:type="spellEnd"/>
      <w:r w:rsidRPr="002E0ED2">
        <w:rPr>
          <w:rFonts w:ascii="Lato" w:eastAsia="Times New Roman" w:hAnsi="Lato" w:cs="Times New Roman"/>
          <w:color w:val="000000"/>
          <w:spacing w:val="5"/>
          <w:sz w:val="24"/>
          <w:szCs w:val="24"/>
          <w:lang w:eastAsia="it-IT"/>
        </w:rPr>
        <w:t xml:space="preserve"> il totale controllo dell'attività sociale, posto che in quanto unico socio il Comune poteva, ad esempio, convocare l'assemblea, revocare gli amministratori e approvare o non approvare i bilanci.</w:t>
      </w:r>
    </w:p>
    <w:p w14:paraId="02343AE1"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Resta, dunque, fermo il carattere istituzionalmente servente della società in house quale articolazione della P.A. da cui promana, in contrapposizione alla natura di soggetto giuridico esterno ed autonomo da questa.</w:t>
      </w:r>
    </w:p>
    <w:p w14:paraId="28C384C9"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E tuttavia il punto di equilibrio - rilevabile nel tipo di condizionamento indotto sulle linee strategiche e le scelte operative fondamentali della società - va posto tra un controllo che, da un lato, non si esaurisca in quello ordinario e che, dall'altro, neppure si identifichi </w:t>
      </w:r>
      <w:r w:rsidRPr="002E0ED2">
        <w:rPr>
          <w:rFonts w:ascii="Lato" w:eastAsia="Times New Roman" w:hAnsi="Lato" w:cs="Times New Roman"/>
          <w:color w:val="000000"/>
          <w:spacing w:val="5"/>
          <w:sz w:val="24"/>
          <w:szCs w:val="24"/>
          <w:lang w:eastAsia="it-IT"/>
        </w:rPr>
        <w:lastRenderedPageBreak/>
        <w:t>necessariamente in una soggezione assoluta e totalmente riproduttiva dei modelli di comando interni alla P.A. (il che priverebbe di rilievo, in pratica, la stessa autonomia e personalità giuridica di diritto privato della società).</w:t>
      </w:r>
    </w:p>
    <w:p w14:paraId="6FC9CB9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7. - Tanto premesso, diversamente da quanto ritenuto dalla sentenza impugnata, sussiste nella specie anche il requisito del controllo analogo a quello esercitato sui servizi di diretta gestione dell'ente pubblico.</w:t>
      </w:r>
    </w:p>
    <w:p w14:paraId="2B945605"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Lo si ricava, innanzitutto, dal potere per l'ente pubblico partecipante di dettare le linee strategiche e le scelte operative della società.</w:t>
      </w:r>
    </w:p>
    <w:p w14:paraId="74B4C286"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Ai sensi dell'art. 2 dello statuto del 30 maggio 2008 (allegato all'atto costitutivo del notaio Labianca), infatti, la società può compiere tutte le operazioni necessarie o utili al raggiungimento dell'oggetto sociale, "nell'ambito delle strategie aziendali decise dalla ASL di Foggia".</w:t>
      </w:r>
    </w:p>
    <w:p w14:paraId="55977E2C"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Inoltre, l'art. 8 del medesimo statuto prevede l'ingerenza della ASL nella pianificazione, programmazione e controllo dell'attività aziendale, con l'individuazione di regole gestionali e operative.</w:t>
      </w:r>
    </w:p>
    <w:p w14:paraId="2FD0429D"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All'assemblea dei soci, e quindi al socio unico ASL di Foggia, spetta, infatti, in via esclusiva il potere di deliberare su indirizzo, coordinamento e controllo delle strategie e politiche aziendali, "al fine di consentire in concreto ai soci un controllo analogo a quello esercitato sui propri servizi" (art. 8 dello statuto).</w:t>
      </w:r>
    </w:p>
    <w:p w14:paraId="639858B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proofErr w:type="gramStart"/>
      <w:r w:rsidRPr="002E0ED2">
        <w:rPr>
          <w:rFonts w:ascii="Lato" w:eastAsia="Times New Roman" w:hAnsi="Lato" w:cs="Times New Roman"/>
          <w:color w:val="000000"/>
          <w:spacing w:val="5"/>
          <w:sz w:val="24"/>
          <w:szCs w:val="24"/>
          <w:lang w:eastAsia="it-IT"/>
        </w:rPr>
        <w:t>E'</w:t>
      </w:r>
      <w:proofErr w:type="gramEnd"/>
      <w:r w:rsidRPr="002E0ED2">
        <w:rPr>
          <w:rFonts w:ascii="Lato" w:eastAsia="Times New Roman" w:hAnsi="Lato" w:cs="Times New Roman"/>
          <w:color w:val="000000"/>
          <w:spacing w:val="5"/>
          <w:sz w:val="24"/>
          <w:szCs w:val="24"/>
          <w:lang w:eastAsia="it-IT"/>
        </w:rPr>
        <w:t xml:space="preserve"> significativo, del resto, che il rogito notarile del 30 maggio 2008 del notaio Labianca, recante l'atto di costituzione e lo statuto della società, richiama, in premessa, la </w:t>
      </w:r>
      <w:proofErr w:type="spellStart"/>
      <w:r w:rsidRPr="002E0ED2">
        <w:rPr>
          <w:rFonts w:ascii="Lato" w:eastAsia="Times New Roman" w:hAnsi="Lato" w:cs="Times New Roman"/>
          <w:color w:val="000000"/>
          <w:spacing w:val="5"/>
          <w:sz w:val="24"/>
          <w:szCs w:val="24"/>
          <w:lang w:eastAsia="it-IT"/>
        </w:rPr>
        <w:t>Delib</w:t>
      </w:r>
      <w:proofErr w:type="spellEnd"/>
      <w:r w:rsidRPr="002E0ED2">
        <w:rPr>
          <w:rFonts w:ascii="Lato" w:eastAsia="Times New Roman" w:hAnsi="Lato" w:cs="Times New Roman"/>
          <w:color w:val="000000"/>
          <w:spacing w:val="5"/>
          <w:sz w:val="24"/>
          <w:szCs w:val="24"/>
          <w:lang w:eastAsia="it-IT"/>
        </w:rPr>
        <w:t xml:space="preserve">. del commissario straordinario della ASL FG 20 maggio 2008, n. 1475 con la quale si deliberava, tra l'altro, di approvare in via definitiva lo statuto della società. Questa </w:t>
      </w:r>
      <w:proofErr w:type="spellStart"/>
      <w:r w:rsidRPr="002E0ED2">
        <w:rPr>
          <w:rFonts w:ascii="Lato" w:eastAsia="Times New Roman" w:hAnsi="Lato" w:cs="Times New Roman"/>
          <w:color w:val="000000"/>
          <w:spacing w:val="5"/>
          <w:sz w:val="24"/>
          <w:szCs w:val="24"/>
          <w:lang w:eastAsia="it-IT"/>
        </w:rPr>
        <w:t>Delib</w:t>
      </w:r>
      <w:proofErr w:type="spellEnd"/>
      <w:r w:rsidRPr="002E0ED2">
        <w:rPr>
          <w:rFonts w:ascii="Lato" w:eastAsia="Times New Roman" w:hAnsi="Lato" w:cs="Times New Roman"/>
          <w:color w:val="000000"/>
          <w:spacing w:val="5"/>
          <w:sz w:val="24"/>
          <w:szCs w:val="24"/>
          <w:lang w:eastAsia="it-IT"/>
        </w:rPr>
        <w:t>. (cfr. allegato D al rogito notarile Labianca) è stata adottata sulla premessa "di dover procedere ad adeguare lo statuto alle regole dettate dal Consiglio di Stato (in Adunanza Plenaria, 3 marzo 2008) in materia di controllo analogo degli enti pubblici sulle società di capitali totalmente possedute".</w:t>
      </w:r>
    </w:p>
    <w:p w14:paraId="668FB8CC"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8. - Ne consegue, pertanto, che la società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risulta, già in base allo statuto del 2008 (adottato con atto del notaio Labianca in data 30 maggio 2008), assoggettata a forme di controllo analoghe a quelle esercitate dall'ente pubblico partecipante sui propri servizi, essendo questo investito di compiti di controllo ulteriori che si pongono al di fuori dei normali diritti e poteri spettanti ai soci in base alle regole del </w:t>
      </w:r>
      <w:proofErr w:type="gramStart"/>
      <w:r w:rsidRPr="002E0ED2">
        <w:rPr>
          <w:rFonts w:ascii="Lato" w:eastAsia="Times New Roman" w:hAnsi="Lato" w:cs="Times New Roman"/>
          <w:color w:val="000000"/>
          <w:spacing w:val="5"/>
          <w:sz w:val="24"/>
          <w:szCs w:val="24"/>
          <w:lang w:eastAsia="it-IT"/>
        </w:rPr>
        <w:t>c.c..</w:t>
      </w:r>
      <w:proofErr w:type="gramEnd"/>
    </w:p>
    <w:p w14:paraId="32B147EC"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Le modifiche statutarie introdotte nel 2016 e nel 2017 sono intervenute a specificazione nel dettaglio della natura di società in house già esistente alla data dell'illecito contestato (posto in essere, secondo l'ipotesi accusatoria, dal gennaio 2011 al giugno 2016). Esse, cioè, non hanno introdotto ex novo un regime di controllo analogo prima insussistente, bensì hanno solamente rafforzato quello preesistente con introduzione di disciplina di dettaglio.</w:t>
      </w:r>
    </w:p>
    <w:p w14:paraId="5620EC18"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Infatti, le modifiche statutarie introdotte nell'aprile 2016 e nell'ottobre 2017 hanno comportato la nomina degli organi di amministrazione e controllo in capo alla ASL di Foggia, in persona del direttore generale, e l'individuazione della figura incaricata dell'esercizio dei poteri di direzione e controllo, per il socio pubblico, nella persona del direttore generale dell'azienda sanitaria.</w:t>
      </w:r>
    </w:p>
    <w:p w14:paraId="480E39DF"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9. - Ad un approdo convergente è pervenuto, in punto di qualificazione, il Consiglio di Stato.</w:t>
      </w:r>
    </w:p>
    <w:p w14:paraId="64CF0217"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 xml:space="preserve">In una controversia nella quale era in discussione la legittimità degli atti con cui la ASL di Foggia aveva istituito la società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 xml:space="preserve"> e le aveva affidato il servizio di fornitura del personale e dei mezzi per effettuare le attività di pulizia, </w:t>
      </w:r>
      <w:proofErr w:type="spellStart"/>
      <w:r w:rsidRPr="002E0ED2">
        <w:rPr>
          <w:rFonts w:ascii="Lato" w:eastAsia="Times New Roman" w:hAnsi="Lato" w:cs="Times New Roman"/>
          <w:color w:val="000000"/>
          <w:spacing w:val="5"/>
          <w:sz w:val="24"/>
          <w:szCs w:val="24"/>
          <w:lang w:eastAsia="it-IT"/>
        </w:rPr>
        <w:t>ausiliariato</w:t>
      </w:r>
      <w:proofErr w:type="spellEnd"/>
      <w:r w:rsidRPr="002E0ED2">
        <w:rPr>
          <w:rFonts w:ascii="Lato" w:eastAsia="Times New Roman" w:hAnsi="Lato" w:cs="Times New Roman"/>
          <w:color w:val="000000"/>
          <w:spacing w:val="5"/>
          <w:sz w:val="24"/>
          <w:szCs w:val="24"/>
          <w:lang w:eastAsia="it-IT"/>
        </w:rPr>
        <w:t xml:space="preserve"> e portierato delle strutture immobiliari dell'Azienda, la Terza Sezione del Consiglio di Stato, con la sentenza </w:t>
      </w:r>
      <w:r w:rsidRPr="002E0ED2">
        <w:rPr>
          <w:rFonts w:ascii="Lato" w:eastAsia="Times New Roman" w:hAnsi="Lato" w:cs="Times New Roman"/>
          <w:color w:val="000000"/>
          <w:spacing w:val="5"/>
          <w:sz w:val="24"/>
          <w:szCs w:val="24"/>
          <w:lang w:eastAsia="it-IT"/>
        </w:rPr>
        <w:lastRenderedPageBreak/>
        <w:t xml:space="preserve">11 marzo 2011, n. 1572, ha rilevato la sussistenza, in concreto, di "tutti i presupposti per l'affidamento diretto in house (con particolare riguardo al controllo esercitato dall'Azienda sulla società </w:t>
      </w:r>
      <w:proofErr w:type="spellStart"/>
      <w:r w:rsidRPr="002E0ED2">
        <w:rPr>
          <w:rFonts w:ascii="Lato" w:eastAsia="Times New Roman" w:hAnsi="Lato" w:cs="Times New Roman"/>
          <w:color w:val="000000"/>
          <w:spacing w:val="5"/>
          <w:sz w:val="24"/>
          <w:szCs w:val="24"/>
          <w:lang w:eastAsia="it-IT"/>
        </w:rPr>
        <w:t>Sanitaservice</w:t>
      </w:r>
      <w:proofErr w:type="spellEnd"/>
      <w:r w:rsidRPr="002E0ED2">
        <w:rPr>
          <w:rFonts w:ascii="Lato" w:eastAsia="Times New Roman" w:hAnsi="Lato" w:cs="Times New Roman"/>
          <w:color w:val="000000"/>
          <w:spacing w:val="5"/>
          <w:sz w:val="24"/>
          <w:szCs w:val="24"/>
          <w:lang w:eastAsia="it-IT"/>
        </w:rPr>
        <w:t>").</w:t>
      </w:r>
    </w:p>
    <w:p w14:paraId="749023A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10. - Il ricorso è accolto.</w:t>
      </w:r>
    </w:p>
    <w:p w14:paraId="58B42B02"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proofErr w:type="gramStart"/>
      <w:r w:rsidRPr="002E0ED2">
        <w:rPr>
          <w:rFonts w:ascii="Lato" w:eastAsia="Times New Roman" w:hAnsi="Lato" w:cs="Times New Roman"/>
          <w:color w:val="000000"/>
          <w:spacing w:val="5"/>
          <w:sz w:val="24"/>
          <w:szCs w:val="24"/>
          <w:lang w:eastAsia="it-IT"/>
        </w:rPr>
        <w:t>E'</w:t>
      </w:r>
      <w:proofErr w:type="gramEnd"/>
      <w:r w:rsidRPr="002E0ED2">
        <w:rPr>
          <w:rFonts w:ascii="Lato" w:eastAsia="Times New Roman" w:hAnsi="Lato" w:cs="Times New Roman"/>
          <w:color w:val="000000"/>
          <w:spacing w:val="5"/>
          <w:sz w:val="24"/>
          <w:szCs w:val="24"/>
          <w:lang w:eastAsia="it-IT"/>
        </w:rPr>
        <w:t xml:space="preserve"> dichiarata la giurisdizione della Corte dei conti.</w:t>
      </w:r>
    </w:p>
    <w:p w14:paraId="12E2E33E"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La sentenza impugnata è cassata.</w:t>
      </w:r>
    </w:p>
    <w:p w14:paraId="25346A23"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Per effetto della cassazione della sentenza, la causa deve essere rinviata alla Corte dei conti, Sezione giurisdizionale centrale d'appello.</w:t>
      </w:r>
    </w:p>
    <w:p w14:paraId="66D8856C"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Non vi è luogo a pronuncia sulle spese, essendo il Procuratore Generale della Corte dei conti parte soltanto in senso formale.</w:t>
      </w:r>
    </w:p>
    <w:p w14:paraId="1B836FBB"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P.Q.M.</w:t>
      </w:r>
    </w:p>
    <w:p w14:paraId="1C621734" w14:textId="77777777" w:rsidR="002E0ED2" w:rsidRPr="002E0ED2" w:rsidRDefault="002E0ED2" w:rsidP="002E0ED2">
      <w:pPr>
        <w:shd w:val="clear" w:color="auto" w:fill="FFFFFF"/>
        <w:spacing w:after="0" w:line="240" w:lineRule="auto"/>
        <w:jc w:val="both"/>
        <w:rPr>
          <w:rFonts w:ascii="Lato" w:eastAsia="Times New Roman" w:hAnsi="Lato" w:cs="Times New Roman"/>
          <w:color w:val="000000"/>
          <w:spacing w:val="5"/>
          <w:sz w:val="24"/>
          <w:szCs w:val="24"/>
          <w:lang w:eastAsia="it-IT"/>
        </w:rPr>
      </w:pPr>
      <w:r w:rsidRPr="002E0ED2">
        <w:rPr>
          <w:rFonts w:ascii="Lato" w:eastAsia="Times New Roman" w:hAnsi="Lato" w:cs="Times New Roman"/>
          <w:color w:val="000000"/>
          <w:spacing w:val="5"/>
          <w:sz w:val="24"/>
          <w:szCs w:val="24"/>
          <w:lang w:eastAsia="it-IT"/>
        </w:rPr>
        <w:t>accoglie il ricorso, dichiara la giurisdizione della Corte dei conti, cassa la sentenza impugnata e rinvia la causa alla Corte dei conti, Sezione giurisdizionale centrale d'appello.</w:t>
      </w:r>
    </w:p>
    <w:p w14:paraId="68750F09" w14:textId="77777777" w:rsidR="00A2351A" w:rsidRDefault="00A2351A"/>
    <w:p w14:paraId="32982CC2" w14:textId="77777777" w:rsidR="00D473EB" w:rsidRDefault="00D473EB"/>
    <w:p w14:paraId="17F3615E" w14:textId="77777777" w:rsidR="00D473EB" w:rsidRDefault="00D473EB"/>
    <w:p w14:paraId="4A6241C8" w14:textId="77777777" w:rsidR="00D473EB" w:rsidRPr="00D473EB" w:rsidRDefault="00D473EB" w:rsidP="00D473EB">
      <w:pPr>
        <w:spacing w:after="0" w:line="240" w:lineRule="auto"/>
        <w:rPr>
          <w:rFonts w:ascii="Times New Roman" w:eastAsia="Times New Roman" w:hAnsi="Times New Roman" w:cs="Times New Roman"/>
          <w:sz w:val="24"/>
          <w:szCs w:val="24"/>
          <w:lang w:eastAsia="it-IT"/>
        </w:rPr>
      </w:pPr>
      <w:r w:rsidRPr="00D473EB">
        <w:rPr>
          <w:rFonts w:ascii="Times New Roman" w:eastAsia="Times New Roman" w:hAnsi="Times New Roman" w:cs="Times New Roman"/>
          <w:sz w:val="24"/>
          <w:szCs w:val="24"/>
          <w:lang w:eastAsia="it-IT"/>
        </w:rPr>
        <w:t>Responsabilità contabile e amministrativa, Responsabilità civile, Amministratori e dipendenti, degli enti locali, Giurisdizione, Società</w:t>
      </w:r>
    </w:p>
    <w:p w14:paraId="36826F32" w14:textId="77777777" w:rsidR="00D473EB" w:rsidRPr="00D473EB" w:rsidRDefault="00D473EB" w:rsidP="00D473EB">
      <w:pPr>
        <w:spacing w:after="0" w:line="240" w:lineRule="auto"/>
        <w:rPr>
          <w:rFonts w:ascii="Times New Roman" w:eastAsia="Times New Roman" w:hAnsi="Times New Roman" w:cs="Times New Roman"/>
          <w:sz w:val="24"/>
          <w:szCs w:val="24"/>
          <w:lang w:eastAsia="it-IT"/>
        </w:rPr>
      </w:pPr>
    </w:p>
    <w:p w14:paraId="44F0AD53" w14:textId="77777777" w:rsidR="00D473EB" w:rsidRPr="00D473EB" w:rsidRDefault="00D473EB" w:rsidP="00D473EB">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D473EB">
        <w:rPr>
          <w:rFonts w:ascii="Lato" w:eastAsia="Times New Roman" w:hAnsi="Lato" w:cs="Times New Roman"/>
          <w:b/>
          <w:bCs/>
          <w:color w:val="000000"/>
          <w:spacing w:val="5"/>
          <w:sz w:val="26"/>
          <w:szCs w:val="26"/>
          <w:lang w:eastAsia="it-IT"/>
        </w:rPr>
        <w:t>Svolgimento del processo e motivi della decisione</w:t>
      </w:r>
    </w:p>
    <w:p w14:paraId="60363306"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Si osserva che:</w:t>
      </w:r>
    </w:p>
    <w:p w14:paraId="1A506046"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p. 1.1 B.M. propone - ex </w:t>
      </w:r>
      <w:hyperlink r:id="rId12" w:history="1">
        <w:r w:rsidRPr="00D473EB">
          <w:rPr>
            <w:rFonts w:ascii="Lato" w:eastAsia="Times New Roman" w:hAnsi="Lato" w:cs="Times New Roman"/>
            <w:b/>
            <w:bCs/>
            <w:color w:val="FFA403"/>
            <w:spacing w:val="5"/>
            <w:sz w:val="24"/>
            <w:szCs w:val="24"/>
            <w:u w:val="single"/>
            <w:lang w:eastAsia="it-IT"/>
          </w:rPr>
          <w:t>art. 360 comma 1, n. 1, c.p.c.</w:t>
        </w:r>
      </w:hyperlink>
      <w:r w:rsidRPr="00D473EB">
        <w:rPr>
          <w:rFonts w:ascii="Lato" w:eastAsia="Times New Roman" w:hAnsi="Lato" w:cs="Times New Roman"/>
          <w:color w:val="000000"/>
          <w:spacing w:val="5"/>
          <w:sz w:val="24"/>
          <w:szCs w:val="24"/>
          <w:lang w:eastAsia="it-IT"/>
        </w:rPr>
        <w:t>) e </w:t>
      </w:r>
      <w:hyperlink r:id="rId13" w:history="1">
        <w:r w:rsidRPr="00D473EB">
          <w:rPr>
            <w:rFonts w:ascii="Lato" w:eastAsia="Times New Roman" w:hAnsi="Lato" w:cs="Times New Roman"/>
            <w:b/>
            <w:bCs/>
            <w:color w:val="FFA403"/>
            <w:spacing w:val="5"/>
            <w:sz w:val="24"/>
            <w:szCs w:val="24"/>
            <w:u w:val="single"/>
            <w:lang w:eastAsia="it-IT"/>
          </w:rPr>
          <w:t>D.L.vo n. 174 del 2016</w:t>
        </w:r>
      </w:hyperlink>
      <w:r w:rsidRPr="00D473EB">
        <w:rPr>
          <w:rFonts w:ascii="Lato" w:eastAsia="Times New Roman" w:hAnsi="Lato" w:cs="Times New Roman"/>
          <w:color w:val="000000"/>
          <w:spacing w:val="5"/>
          <w:sz w:val="24"/>
          <w:szCs w:val="24"/>
          <w:lang w:eastAsia="it-IT"/>
        </w:rPr>
        <w:t>, art. 207 - un motivo di ricorso per la cassazione della sentenza n. 330 del 1 dicembre 2020, non notificata, con la quale la Corte dei Conti, Sezione Giurisdizionale centrale di appello, ha confermato la decisione di primo grado (</w:t>
      </w:r>
      <w:proofErr w:type="spellStart"/>
      <w:r w:rsidRPr="00D473EB">
        <w:rPr>
          <w:rFonts w:ascii="Lato" w:eastAsia="Times New Roman" w:hAnsi="Lato" w:cs="Times New Roman"/>
          <w:color w:val="000000"/>
          <w:spacing w:val="5"/>
          <w:sz w:val="24"/>
          <w:szCs w:val="24"/>
          <w:lang w:eastAsia="it-IT"/>
        </w:rPr>
        <w:t>sent</w:t>
      </w:r>
      <w:proofErr w:type="spellEnd"/>
      <w:r w:rsidRPr="00D473EB">
        <w:rPr>
          <w:rFonts w:ascii="Lato" w:eastAsia="Times New Roman" w:hAnsi="Lato" w:cs="Times New Roman"/>
          <w:color w:val="000000"/>
          <w:spacing w:val="5"/>
          <w:sz w:val="24"/>
          <w:szCs w:val="24"/>
          <w:lang w:eastAsia="it-IT"/>
        </w:rPr>
        <w:t xml:space="preserve">. Sezione Giurisdizionale per la Sardegna n. 215/2019) che lo aveva condannato al pagamento dell'importo di Euro 61.756,20, oltre accessori, a titolo di risarcimento del danno erariale da lui dolosamente causato alla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Sardegna IT (ritenuta in house della Regione Autonoma) di cui era amministratore delegato.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per essersi fatto indebitamente liquidare - tra il 2009 ed il 2014 - spese per vitto, pernottamento ed utilizzo di una vettura di servizio in aggiunta alla specifica </w:t>
      </w:r>
      <w:proofErr w:type="spellStart"/>
      <w:r w:rsidRPr="00D473EB">
        <w:rPr>
          <w:rFonts w:ascii="Lato" w:eastAsia="Times New Roman" w:hAnsi="Lato" w:cs="Times New Roman"/>
          <w:color w:val="000000"/>
          <w:spacing w:val="5"/>
          <w:sz w:val="24"/>
          <w:szCs w:val="24"/>
          <w:lang w:eastAsia="it-IT"/>
        </w:rPr>
        <w:t>indennita'</w:t>
      </w:r>
      <w:proofErr w:type="spellEnd"/>
      <w:r w:rsidRPr="00D473EB">
        <w:rPr>
          <w:rFonts w:ascii="Lato" w:eastAsia="Times New Roman" w:hAnsi="Lato" w:cs="Times New Roman"/>
          <w:color w:val="000000"/>
          <w:spacing w:val="5"/>
          <w:sz w:val="24"/>
          <w:szCs w:val="24"/>
          <w:lang w:eastAsia="it-IT"/>
        </w:rPr>
        <w:t xml:space="preserve"> annuale onnicomprensiva di cui </w:t>
      </w:r>
      <w:proofErr w:type="spellStart"/>
      <w:r w:rsidRPr="00D473EB">
        <w:rPr>
          <w:rFonts w:ascii="Lato" w:eastAsia="Times New Roman" w:hAnsi="Lato" w:cs="Times New Roman"/>
          <w:color w:val="000000"/>
          <w:spacing w:val="5"/>
          <w:sz w:val="24"/>
          <w:szCs w:val="24"/>
          <w:lang w:eastAsia="it-IT"/>
        </w:rPr>
        <w:t>gia'</w:t>
      </w:r>
      <w:proofErr w:type="spellEnd"/>
      <w:r w:rsidRPr="00D473EB">
        <w:rPr>
          <w:rFonts w:ascii="Lato" w:eastAsia="Times New Roman" w:hAnsi="Lato" w:cs="Times New Roman"/>
          <w:color w:val="000000"/>
          <w:spacing w:val="5"/>
          <w:sz w:val="24"/>
          <w:szCs w:val="24"/>
          <w:lang w:eastAsia="it-IT"/>
        </w:rPr>
        <w:t xml:space="preserve"> usufruiva a tale titolo; il tutto in accoglimento dell'azione nei suoi confronti promossa dalla Procura Regionale della Corte dei Conti nell'agosto 2018.</w:t>
      </w:r>
    </w:p>
    <w:p w14:paraId="188A10E8"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Per quanto qui rileva, la sentenza impugnata ha ritenuto infondato il motivo di appello con il quale il B. contestava la giurisdizione del giudice contabile, dal momento che si verteva nella specie in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in house </w:t>
      </w:r>
      <w:proofErr w:type="spellStart"/>
      <w:r w:rsidRPr="00D473EB">
        <w:rPr>
          <w:rFonts w:ascii="Lato" w:eastAsia="Times New Roman" w:hAnsi="Lato" w:cs="Times New Roman"/>
          <w:color w:val="000000"/>
          <w:spacing w:val="5"/>
          <w:sz w:val="24"/>
          <w:szCs w:val="24"/>
          <w:lang w:eastAsia="it-IT"/>
        </w:rPr>
        <w:t>providing</w:t>
      </w:r>
      <w:proofErr w:type="spellEnd"/>
      <w:r w:rsidRPr="00D473EB">
        <w:rPr>
          <w:rFonts w:ascii="Lato" w:eastAsia="Times New Roman" w:hAnsi="Lato" w:cs="Times New Roman"/>
          <w:color w:val="000000"/>
          <w:spacing w:val="5"/>
          <w:sz w:val="24"/>
          <w:szCs w:val="24"/>
          <w:lang w:eastAsia="it-IT"/>
        </w:rPr>
        <w:t xml:space="preserve"> della Regione, posto che:</w:t>
      </w:r>
    </w:p>
    <w:p w14:paraId="03B765F5"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soci fondatori della Sardegna IT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erano unicamente la Regione e la Centro di Ricerca, Sviluppo e Studi Superiori (CRS4)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unipersonale pubblica in mano regionale, con esclusione di qualsiasi, seppur minima, partecipazione privata al capitale sociale dell'ente danneggiato;</w:t>
      </w:r>
    </w:p>
    <w:p w14:paraId="2DCF1B08"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in ordine al requisito della natura esclusivamente pubblica della compagine sociale, fin dalla prima versione dello Statuto societario risultava l'astratta </w:t>
      </w:r>
      <w:proofErr w:type="spellStart"/>
      <w:r w:rsidRPr="00D473EB">
        <w:rPr>
          <w:rFonts w:ascii="Lato" w:eastAsia="Times New Roman" w:hAnsi="Lato" w:cs="Times New Roman"/>
          <w:color w:val="000000"/>
          <w:spacing w:val="5"/>
          <w:sz w:val="24"/>
          <w:szCs w:val="24"/>
          <w:lang w:eastAsia="it-IT"/>
        </w:rPr>
        <w:t>incedibilita'</w:t>
      </w:r>
      <w:proofErr w:type="spellEnd"/>
      <w:r w:rsidRPr="00D473EB">
        <w:rPr>
          <w:rFonts w:ascii="Lato" w:eastAsia="Times New Roman" w:hAnsi="Lato" w:cs="Times New Roman"/>
          <w:color w:val="000000"/>
          <w:spacing w:val="5"/>
          <w:sz w:val="24"/>
          <w:szCs w:val="24"/>
          <w:lang w:eastAsia="it-IT"/>
        </w:rPr>
        <w:t xml:space="preserve"> delle quote a favore di soggetti privati </w:t>
      </w:r>
      <w:proofErr w:type="spellStart"/>
      <w:r w:rsidRPr="00D473EB">
        <w:rPr>
          <w:rFonts w:ascii="Lato" w:eastAsia="Times New Roman" w:hAnsi="Lato" w:cs="Times New Roman"/>
          <w:color w:val="000000"/>
          <w:spacing w:val="5"/>
          <w:sz w:val="24"/>
          <w:szCs w:val="24"/>
          <w:lang w:eastAsia="it-IT"/>
        </w:rPr>
        <w:t>perche</w:t>
      </w:r>
      <w:proofErr w:type="spellEnd"/>
      <w:r w:rsidRPr="00D473EB">
        <w:rPr>
          <w:rFonts w:ascii="Lato" w:eastAsia="Times New Roman" w:hAnsi="Lato" w:cs="Times New Roman"/>
          <w:color w:val="000000"/>
          <w:spacing w:val="5"/>
          <w:sz w:val="24"/>
          <w:szCs w:val="24"/>
          <w:lang w:eastAsia="it-IT"/>
        </w:rPr>
        <w:t xml:space="preserve">' la, pur prevista, </w:t>
      </w:r>
      <w:proofErr w:type="spellStart"/>
      <w:r w:rsidRPr="00D473EB">
        <w:rPr>
          <w:rFonts w:ascii="Lato" w:eastAsia="Times New Roman" w:hAnsi="Lato" w:cs="Times New Roman"/>
          <w:color w:val="000000"/>
          <w:spacing w:val="5"/>
          <w:sz w:val="24"/>
          <w:szCs w:val="24"/>
          <w:lang w:eastAsia="it-IT"/>
        </w:rPr>
        <w:t>possibilita'</w:t>
      </w:r>
      <w:proofErr w:type="spellEnd"/>
      <w:r w:rsidRPr="00D473EB">
        <w:rPr>
          <w:rFonts w:ascii="Lato" w:eastAsia="Times New Roman" w:hAnsi="Lato" w:cs="Times New Roman"/>
          <w:color w:val="000000"/>
          <w:spacing w:val="5"/>
          <w:sz w:val="24"/>
          <w:szCs w:val="24"/>
          <w:lang w:eastAsia="it-IT"/>
        </w:rPr>
        <w:t xml:space="preserve"> di offrire in opzione a terzi le quote di nuova emissione risultava temperata dal generale divieto di partecipazione societaria da parte di soggetti non pubblici (art. 5, </w:t>
      </w:r>
      <w:proofErr w:type="spellStart"/>
      <w:r w:rsidRPr="00D473EB">
        <w:rPr>
          <w:rFonts w:ascii="Lato" w:eastAsia="Times New Roman" w:hAnsi="Lato" w:cs="Times New Roman"/>
          <w:color w:val="000000"/>
          <w:spacing w:val="5"/>
          <w:sz w:val="24"/>
          <w:szCs w:val="24"/>
          <w:lang w:eastAsia="it-IT"/>
        </w:rPr>
        <w:t>u.c.</w:t>
      </w:r>
      <w:proofErr w:type="spellEnd"/>
      <w:r w:rsidRPr="00D473EB">
        <w:rPr>
          <w:rFonts w:ascii="Lato" w:eastAsia="Times New Roman" w:hAnsi="Lato" w:cs="Times New Roman"/>
          <w:color w:val="000000"/>
          <w:spacing w:val="5"/>
          <w:sz w:val="24"/>
          <w:szCs w:val="24"/>
          <w:lang w:eastAsia="it-IT"/>
        </w:rPr>
        <w:t xml:space="preserve"> e 9 Statuto);</w:t>
      </w:r>
    </w:p>
    <w:p w14:paraId="7D4CD021"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in ordine al requisito della prevalenza dello svolgimento </w:t>
      </w:r>
      <w:proofErr w:type="spellStart"/>
      <w:r w:rsidRPr="00D473EB">
        <w:rPr>
          <w:rFonts w:ascii="Lato" w:eastAsia="Times New Roman" w:hAnsi="Lato" w:cs="Times New Roman"/>
          <w:color w:val="000000"/>
          <w:spacing w:val="5"/>
          <w:sz w:val="24"/>
          <w:szCs w:val="24"/>
          <w:lang w:eastAsia="it-IT"/>
        </w:rPr>
        <w:t>dell'attivita'</w:t>
      </w:r>
      <w:proofErr w:type="spellEnd"/>
      <w:r w:rsidRPr="00D473EB">
        <w:rPr>
          <w:rFonts w:ascii="Lato" w:eastAsia="Times New Roman" w:hAnsi="Lato" w:cs="Times New Roman"/>
          <w:color w:val="000000"/>
          <w:spacing w:val="5"/>
          <w:sz w:val="24"/>
          <w:szCs w:val="24"/>
          <w:lang w:eastAsia="it-IT"/>
        </w:rPr>
        <w:t xml:space="preserve"> sociale in favore dei soci pubblici, l'art. 3 dello statuto prevedeva che l'oggetto sociale si realizzasse nella </w:t>
      </w:r>
      <w:r w:rsidRPr="00D473EB">
        <w:rPr>
          <w:rFonts w:ascii="Lato" w:eastAsia="Times New Roman" w:hAnsi="Lato" w:cs="Times New Roman"/>
          <w:color w:val="000000"/>
          <w:spacing w:val="5"/>
          <w:sz w:val="24"/>
          <w:szCs w:val="24"/>
          <w:lang w:eastAsia="it-IT"/>
        </w:rPr>
        <w:lastRenderedPageBreak/>
        <w:t>"progettazione, realizzazione, integrazione e gestione di processi innovativi in materia di e-government (...)", ad esclusivo vantaggio della Regione, degli enti regionali e locali, del Servizio Sanitario Regionale ovvero di altre pubbliche amministrazioni;</w:t>
      </w:r>
    </w:p>
    <w:p w14:paraId="06D9741C"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quanto al requisito del 'controllo analogo', lo statuto (art. 1316) consentiva alla Regione di intervenire sulla gestione sociale in maniera non ordinaria, come evincibile: - dalla subordinazione delle scelte operative dell'amministratore, di esclusiva nomina regionale (art. 13); - dalla programmazione regionale annuale (art. 16); - dall'approvazione regionale del piano strategico e del bilancio preventivo; - dalla nomina degli organi di controllo interno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(art. 14).</w:t>
      </w:r>
    </w:p>
    <w:p w14:paraId="5F47FBDC"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p. 1.2 Con l'unico motivo di ricorso, il B. lamenta violazione degli artt. </w:t>
      </w:r>
      <w:hyperlink r:id="rId14" w:history="1">
        <w:r w:rsidRPr="00D473EB">
          <w:rPr>
            <w:rFonts w:ascii="Lato" w:eastAsia="Times New Roman" w:hAnsi="Lato" w:cs="Times New Roman"/>
            <w:b/>
            <w:bCs/>
            <w:color w:val="FFA403"/>
            <w:spacing w:val="5"/>
            <w:sz w:val="24"/>
            <w:szCs w:val="24"/>
            <w:u w:val="single"/>
            <w:lang w:eastAsia="it-IT"/>
          </w:rPr>
          <w:t>103</w:t>
        </w:r>
      </w:hyperlink>
      <w:r w:rsidRPr="00D473EB">
        <w:rPr>
          <w:rFonts w:ascii="Lato" w:eastAsia="Times New Roman" w:hAnsi="Lato" w:cs="Times New Roman"/>
          <w:color w:val="000000"/>
          <w:spacing w:val="5"/>
          <w:sz w:val="24"/>
          <w:szCs w:val="24"/>
          <w:lang w:eastAsia="it-IT"/>
        </w:rPr>
        <w:t> e </w:t>
      </w:r>
      <w:hyperlink r:id="rId15" w:history="1">
        <w:r w:rsidRPr="00D473EB">
          <w:rPr>
            <w:rFonts w:ascii="Lato" w:eastAsia="Times New Roman" w:hAnsi="Lato" w:cs="Times New Roman"/>
            <w:b/>
            <w:bCs/>
            <w:color w:val="FFA403"/>
            <w:spacing w:val="5"/>
            <w:sz w:val="24"/>
            <w:szCs w:val="24"/>
            <w:u w:val="single"/>
            <w:lang w:eastAsia="it-IT"/>
          </w:rPr>
          <w:t>111</w:t>
        </w:r>
      </w:hyperlink>
      <w:r w:rsidRPr="00D473EB">
        <w:rPr>
          <w:rFonts w:ascii="Lato" w:eastAsia="Times New Roman" w:hAnsi="Lato" w:cs="Times New Roman"/>
          <w:color w:val="000000"/>
          <w:spacing w:val="5"/>
          <w:sz w:val="24"/>
          <w:szCs w:val="24"/>
          <w:lang w:eastAsia="it-IT"/>
        </w:rPr>
        <w:t> Cost., </w:t>
      </w:r>
      <w:hyperlink r:id="rId16" w:history="1">
        <w:r w:rsidRPr="00D473EB">
          <w:rPr>
            <w:rFonts w:ascii="Lato" w:eastAsia="Times New Roman" w:hAnsi="Lato" w:cs="Times New Roman"/>
            <w:b/>
            <w:bCs/>
            <w:color w:val="FFA403"/>
            <w:spacing w:val="5"/>
            <w:sz w:val="24"/>
            <w:szCs w:val="24"/>
            <w:u w:val="single"/>
            <w:lang w:eastAsia="it-IT"/>
          </w:rPr>
          <w:t>L. n. 20 del 1994</w:t>
        </w:r>
      </w:hyperlink>
      <w:r w:rsidRPr="00D473EB">
        <w:rPr>
          <w:rFonts w:ascii="Lato" w:eastAsia="Times New Roman" w:hAnsi="Lato" w:cs="Times New Roman"/>
          <w:color w:val="000000"/>
          <w:spacing w:val="5"/>
          <w:sz w:val="24"/>
          <w:szCs w:val="24"/>
          <w:lang w:eastAsia="it-IT"/>
        </w:rPr>
        <w:t>, </w:t>
      </w:r>
      <w:hyperlink r:id="rId17" w:history="1">
        <w:r w:rsidRPr="00D473EB">
          <w:rPr>
            <w:rFonts w:ascii="Lato" w:eastAsia="Times New Roman" w:hAnsi="Lato" w:cs="Times New Roman"/>
            <w:b/>
            <w:bCs/>
            <w:color w:val="FFA403"/>
            <w:spacing w:val="5"/>
            <w:sz w:val="24"/>
            <w:szCs w:val="24"/>
            <w:u w:val="single"/>
            <w:lang w:eastAsia="it-IT"/>
          </w:rPr>
          <w:t>art. 1, D.L.vo n. 174 del 2016</w:t>
        </w:r>
      </w:hyperlink>
      <w:r w:rsidRPr="00D473EB">
        <w:rPr>
          <w:rFonts w:ascii="Lato" w:eastAsia="Times New Roman" w:hAnsi="Lato" w:cs="Times New Roman"/>
          <w:color w:val="000000"/>
          <w:spacing w:val="5"/>
          <w:sz w:val="24"/>
          <w:szCs w:val="24"/>
          <w:lang w:eastAsia="it-IT"/>
        </w:rPr>
        <w:t>, artt. 1 e 13, in riferimento all'</w:t>
      </w:r>
      <w:hyperlink r:id="rId18" w:history="1">
        <w:r w:rsidRPr="00D473EB">
          <w:rPr>
            <w:rFonts w:ascii="Lato" w:eastAsia="Times New Roman" w:hAnsi="Lato" w:cs="Times New Roman"/>
            <w:b/>
            <w:bCs/>
            <w:color w:val="FFA403"/>
            <w:spacing w:val="5"/>
            <w:sz w:val="24"/>
            <w:szCs w:val="24"/>
            <w:u w:val="single"/>
            <w:lang w:eastAsia="it-IT"/>
          </w:rPr>
          <w:t>art. 360 comma 1, n. 1, c.p.c.</w:t>
        </w:r>
      </w:hyperlink>
      <w:r w:rsidRPr="00D473EB">
        <w:rPr>
          <w:rFonts w:ascii="Lato" w:eastAsia="Times New Roman" w:hAnsi="Lato" w:cs="Times New Roman"/>
          <w:color w:val="000000"/>
          <w:spacing w:val="5"/>
          <w:sz w:val="24"/>
          <w:szCs w:val="24"/>
          <w:lang w:eastAsia="it-IT"/>
        </w:rPr>
        <w:t>) e </w:t>
      </w:r>
      <w:hyperlink r:id="rId19" w:history="1">
        <w:r w:rsidRPr="00D473EB">
          <w:rPr>
            <w:rFonts w:ascii="Lato" w:eastAsia="Times New Roman" w:hAnsi="Lato" w:cs="Times New Roman"/>
            <w:b/>
            <w:bCs/>
            <w:color w:val="FFA403"/>
            <w:spacing w:val="5"/>
            <w:sz w:val="24"/>
            <w:szCs w:val="24"/>
            <w:u w:val="single"/>
            <w:lang w:eastAsia="it-IT"/>
          </w:rPr>
          <w:t>art. 362 c.p.c.</w:t>
        </w:r>
      </w:hyperlink>
      <w:r w:rsidRPr="00D473EB">
        <w:rPr>
          <w:rFonts w:ascii="Lato" w:eastAsia="Times New Roman" w:hAnsi="Lato" w:cs="Times New Roman"/>
          <w:color w:val="000000"/>
          <w:spacing w:val="5"/>
          <w:sz w:val="24"/>
          <w:szCs w:val="24"/>
          <w:lang w:eastAsia="it-IT"/>
        </w:rPr>
        <w:t>, comma 1.</w:t>
      </w:r>
    </w:p>
    <w:p w14:paraId="67960EC5"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Contrariamente a quanto affermato dalla Corte dei Conti, la giurisdizione in materia deve essere attribuita al giudice ordinario, difettando in capo alla Sardegna IT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i caratteri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in house della Regione Autonoma, atteso che:</w:t>
      </w:r>
    </w:p>
    <w:p w14:paraId="02C19255"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i fatti contestati si erano svolti sotto la successiva vigenza di tre diversi statuti societari, rispettivamente adottati con atti notarili del 22 dicembre 2006 (in una con l'atto costitutivo), del 29 giugno 2011 e del 28 novembre 2013;</w:t>
      </w:r>
    </w:p>
    <w:p w14:paraId="57177688"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lo statuto del 2006 (artt. 13-16); - non escludeva la partecipazione di soci di diritto privato (come doveva ritenersi la CRS4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che non risultava essere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pubblica in mano regionale); - conferiva l'amministrazione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ad un amministratore unico al quale spettavano tutti i poteri di ordinaria e straordinaria amministrazione, oltre che rappresentativi; - riservava alla competenza dell'assemblea dei soci (art. 22) le decisioni nelle materie indicate dall'</w:t>
      </w:r>
      <w:hyperlink r:id="rId20" w:history="1">
        <w:r w:rsidRPr="00D473EB">
          <w:rPr>
            <w:rFonts w:ascii="Lato" w:eastAsia="Times New Roman" w:hAnsi="Lato" w:cs="Times New Roman"/>
            <w:b/>
            <w:bCs/>
            <w:color w:val="FFA403"/>
            <w:spacing w:val="5"/>
            <w:sz w:val="24"/>
            <w:szCs w:val="24"/>
            <w:u w:val="single"/>
            <w:lang w:eastAsia="it-IT"/>
          </w:rPr>
          <w:t>art. 2479 c.c.</w:t>
        </w:r>
      </w:hyperlink>
      <w:r w:rsidRPr="00D473EB">
        <w:rPr>
          <w:rFonts w:ascii="Lato" w:eastAsia="Times New Roman" w:hAnsi="Lato" w:cs="Times New Roman"/>
          <w:color w:val="000000"/>
          <w:spacing w:val="5"/>
          <w:sz w:val="24"/>
          <w:szCs w:val="24"/>
          <w:lang w:eastAsia="it-IT"/>
        </w:rPr>
        <w:t>, comma 2, e </w:t>
      </w:r>
      <w:hyperlink r:id="rId21" w:history="1">
        <w:r w:rsidRPr="00D473EB">
          <w:rPr>
            <w:rFonts w:ascii="Lato" w:eastAsia="Times New Roman" w:hAnsi="Lato" w:cs="Times New Roman"/>
            <w:b/>
            <w:bCs/>
            <w:color w:val="FFA403"/>
            <w:spacing w:val="5"/>
            <w:sz w:val="24"/>
            <w:szCs w:val="24"/>
            <w:u w:val="single"/>
            <w:lang w:eastAsia="it-IT"/>
          </w:rPr>
          <w:t>art. 2465 c.c.</w:t>
        </w:r>
      </w:hyperlink>
      <w:r w:rsidRPr="00D473EB">
        <w:rPr>
          <w:rFonts w:ascii="Lato" w:eastAsia="Times New Roman" w:hAnsi="Lato" w:cs="Times New Roman"/>
          <w:color w:val="000000"/>
          <w:spacing w:val="5"/>
          <w:sz w:val="24"/>
          <w:szCs w:val="24"/>
          <w:lang w:eastAsia="it-IT"/>
        </w:rPr>
        <w:t>, oltre che di emissione di titoli di debito e su altre questioni ad essa devolute dall'organo amministrativo, ovvero da tanti soci rappresentanti almeno 1/3 del capitale sociale; - non riconosceva particolari diritti di amministrazione ad alcun socio;</w:t>
      </w:r>
    </w:p>
    <w:p w14:paraId="3A2B2D54"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lo statuto del 2011: - contemplava tra i possibili soci (art. 5 comma 5"), oltre alla Regione Sardegna, anche gli altri enti pubblici operanti sul territorio regionale, </w:t>
      </w:r>
      <w:proofErr w:type="spellStart"/>
      <w:r w:rsidRPr="00D473EB">
        <w:rPr>
          <w:rFonts w:ascii="Lato" w:eastAsia="Times New Roman" w:hAnsi="Lato" w:cs="Times New Roman"/>
          <w:color w:val="000000"/>
          <w:spacing w:val="5"/>
          <w:sz w:val="24"/>
          <w:szCs w:val="24"/>
          <w:lang w:eastAsia="it-IT"/>
        </w:rPr>
        <w:t>nonche</w:t>
      </w:r>
      <w:proofErr w:type="spellEnd"/>
      <w:r w:rsidRPr="00D473EB">
        <w:rPr>
          <w:rFonts w:ascii="Lato" w:eastAsia="Times New Roman" w:hAnsi="Lato" w:cs="Times New Roman"/>
          <w:color w:val="000000"/>
          <w:spacing w:val="5"/>
          <w:sz w:val="24"/>
          <w:szCs w:val="24"/>
          <w:lang w:eastAsia="it-IT"/>
        </w:rPr>
        <w:t>' le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a partecipazione regionale" senza </w:t>
      </w:r>
      <w:proofErr w:type="spellStart"/>
      <w:r w:rsidRPr="00D473EB">
        <w:rPr>
          <w:rFonts w:ascii="Lato" w:eastAsia="Times New Roman" w:hAnsi="Lato" w:cs="Times New Roman"/>
          <w:color w:val="000000"/>
          <w:spacing w:val="5"/>
          <w:sz w:val="24"/>
          <w:szCs w:val="24"/>
          <w:lang w:eastAsia="it-IT"/>
        </w:rPr>
        <w:t>pero'</w:t>
      </w:r>
      <w:proofErr w:type="spellEnd"/>
      <w:r w:rsidRPr="00D473EB">
        <w:rPr>
          <w:rFonts w:ascii="Lato" w:eastAsia="Times New Roman" w:hAnsi="Lato" w:cs="Times New Roman"/>
          <w:color w:val="000000"/>
          <w:spacing w:val="5"/>
          <w:sz w:val="24"/>
          <w:szCs w:val="24"/>
          <w:lang w:eastAsia="it-IT"/>
        </w:rPr>
        <w:t xml:space="preserve"> distinguere tra partecipazione maggioritaria o minoritaria; - istituiva un organo amministrativo collegiale (consiglio di amministrazione) al quale spettava "la gestione dell'impresa" attraverso il compimento delle "operazioni necessarie per l'attuazione dell'oggetto sociale ed in genere tutte le operazioni attribuite alla sua competenza dalla legge e dal presente statuto", nel rispetto degli "indirizzi generali necessari al raggiungimento degli obiettivi di interesse collettivo determinati dall'assemblea" (artt. 24, 31); - stabiliva che le attribuzioni del consiglio di amministrazione potessero venire demandate (come da visura CCIAA in atti) ad un amministratore delegato (art. 24, comma 2) con </w:t>
      </w:r>
      <w:proofErr w:type="spellStart"/>
      <w:r w:rsidRPr="00D473EB">
        <w:rPr>
          <w:rFonts w:ascii="Lato" w:eastAsia="Times New Roman" w:hAnsi="Lato" w:cs="Times New Roman"/>
          <w:color w:val="000000"/>
          <w:spacing w:val="5"/>
          <w:sz w:val="24"/>
          <w:szCs w:val="24"/>
          <w:lang w:eastAsia="it-IT"/>
        </w:rPr>
        <w:t>potesta'</w:t>
      </w:r>
      <w:proofErr w:type="spellEnd"/>
      <w:r w:rsidRPr="00D473EB">
        <w:rPr>
          <w:rFonts w:ascii="Lato" w:eastAsia="Times New Roman" w:hAnsi="Lato" w:cs="Times New Roman"/>
          <w:color w:val="000000"/>
          <w:spacing w:val="5"/>
          <w:sz w:val="24"/>
          <w:szCs w:val="24"/>
          <w:lang w:eastAsia="it-IT"/>
        </w:rPr>
        <w:t xml:space="preserve"> di "compiere tutti gli atti di ordinaria e straordinaria amministrazione che risulteranno dalla delega conferita dal consiglio di amministrazione"; - prevedeva che le competenze, anche autorizzative, dell'assemblea dei soci ricalcassero quanto stabilito dall'</w:t>
      </w:r>
      <w:hyperlink r:id="rId22" w:history="1">
        <w:r w:rsidRPr="00D473EB">
          <w:rPr>
            <w:rFonts w:ascii="Lato" w:eastAsia="Times New Roman" w:hAnsi="Lato" w:cs="Times New Roman"/>
            <w:b/>
            <w:bCs/>
            <w:color w:val="FFA403"/>
            <w:spacing w:val="5"/>
            <w:sz w:val="24"/>
            <w:szCs w:val="24"/>
            <w:u w:val="single"/>
            <w:lang w:eastAsia="it-IT"/>
          </w:rPr>
          <w:t>art. 2479 c.c.</w:t>
        </w:r>
      </w:hyperlink>
      <w:r w:rsidRPr="00D473EB">
        <w:rPr>
          <w:rFonts w:ascii="Lato" w:eastAsia="Times New Roman" w:hAnsi="Lato" w:cs="Times New Roman"/>
          <w:color w:val="000000"/>
          <w:spacing w:val="5"/>
          <w:sz w:val="24"/>
          <w:szCs w:val="24"/>
          <w:lang w:eastAsia="it-IT"/>
        </w:rPr>
        <w:t> (decisioni dei soci) (art. 31.3);</w:t>
      </w:r>
    </w:p>
    <w:p w14:paraId="2576CBE7"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solo lo statuto del 2013 mirava in effetti ad esplicitamente conformare 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al modello in house (artt. 7 e 8 segg. sui diritti spettanti al socio unico Regione Sardegna e sul controllo analogo) ma, in </w:t>
      </w:r>
      <w:proofErr w:type="spellStart"/>
      <w:r w:rsidRPr="00D473EB">
        <w:rPr>
          <w:rFonts w:ascii="Lato" w:eastAsia="Times New Roman" w:hAnsi="Lato" w:cs="Times New Roman"/>
          <w:color w:val="000000"/>
          <w:spacing w:val="5"/>
          <w:sz w:val="24"/>
          <w:szCs w:val="24"/>
          <w:lang w:eastAsia="it-IT"/>
        </w:rPr>
        <w:t>realta'</w:t>
      </w:r>
      <w:proofErr w:type="spellEnd"/>
      <w:r w:rsidRPr="00D473EB">
        <w:rPr>
          <w:rFonts w:ascii="Lato" w:eastAsia="Times New Roman" w:hAnsi="Lato" w:cs="Times New Roman"/>
          <w:color w:val="000000"/>
          <w:spacing w:val="5"/>
          <w:sz w:val="24"/>
          <w:szCs w:val="24"/>
          <w:lang w:eastAsia="it-IT"/>
        </w:rPr>
        <w:t xml:space="preserve">, neppure questo attuava lo scopo, dal momento che il socio pubblico non era investito di particolari poteri di controllo che non gli derivassero </w:t>
      </w:r>
      <w:proofErr w:type="spellStart"/>
      <w:r w:rsidRPr="00D473EB">
        <w:rPr>
          <w:rFonts w:ascii="Lato" w:eastAsia="Times New Roman" w:hAnsi="Lato" w:cs="Times New Roman"/>
          <w:color w:val="000000"/>
          <w:spacing w:val="5"/>
          <w:sz w:val="24"/>
          <w:szCs w:val="24"/>
          <w:lang w:eastAsia="it-IT"/>
        </w:rPr>
        <w:t>gia'</w:t>
      </w:r>
      <w:proofErr w:type="spellEnd"/>
      <w:r w:rsidRPr="00D473EB">
        <w:rPr>
          <w:rFonts w:ascii="Lato" w:eastAsia="Times New Roman" w:hAnsi="Lato" w:cs="Times New Roman"/>
          <w:color w:val="000000"/>
          <w:spacing w:val="5"/>
          <w:sz w:val="24"/>
          <w:szCs w:val="24"/>
          <w:lang w:eastAsia="it-IT"/>
        </w:rPr>
        <w:t xml:space="preserve"> dal c.c., mentre restavano in capo all'organo amministrativo i </w:t>
      </w:r>
      <w:proofErr w:type="spellStart"/>
      <w:r w:rsidRPr="00D473EB">
        <w:rPr>
          <w:rFonts w:ascii="Lato" w:eastAsia="Times New Roman" w:hAnsi="Lato" w:cs="Times New Roman"/>
          <w:color w:val="000000"/>
          <w:spacing w:val="5"/>
          <w:sz w:val="24"/>
          <w:szCs w:val="24"/>
          <w:lang w:eastAsia="it-IT"/>
        </w:rPr>
        <w:t>gia'</w:t>
      </w:r>
      <w:proofErr w:type="spellEnd"/>
      <w:r w:rsidRPr="00D473EB">
        <w:rPr>
          <w:rFonts w:ascii="Lato" w:eastAsia="Times New Roman" w:hAnsi="Lato" w:cs="Times New Roman"/>
          <w:color w:val="000000"/>
          <w:spacing w:val="5"/>
          <w:sz w:val="24"/>
          <w:szCs w:val="24"/>
          <w:lang w:eastAsia="it-IT"/>
        </w:rPr>
        <w:t xml:space="preserve"> individuati ampi poteri gestionali (art. 18);</w:t>
      </w:r>
    </w:p>
    <w:p w14:paraId="59793555"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lastRenderedPageBreak/>
        <w:t xml:space="preserve">- da tutto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risultava come erroneamente la Corte dei Conti avesse nella specie ravvisato i requisiti essenziali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in house (come individuabili, all'esito di una interpretazione rigorosa, secondo la giurisprudenza sia nazionale sia UE) quali: - la natura esclusivamente pubblica dei soci (essendo ammessa, quantomeno nei primi due statuti, la partecipazione anche da parte di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nelle quali la partecipazione regionale fosse parziale o addirittura minoritaria); - l'esercizio </w:t>
      </w:r>
      <w:proofErr w:type="spellStart"/>
      <w:r w:rsidRPr="00D473EB">
        <w:rPr>
          <w:rFonts w:ascii="Lato" w:eastAsia="Times New Roman" w:hAnsi="Lato" w:cs="Times New Roman"/>
          <w:color w:val="000000"/>
          <w:spacing w:val="5"/>
          <w:sz w:val="24"/>
          <w:szCs w:val="24"/>
          <w:lang w:eastAsia="it-IT"/>
        </w:rPr>
        <w:t>dell'attivita'</w:t>
      </w:r>
      <w:proofErr w:type="spellEnd"/>
      <w:r w:rsidRPr="00D473EB">
        <w:rPr>
          <w:rFonts w:ascii="Lato" w:eastAsia="Times New Roman" w:hAnsi="Lato" w:cs="Times New Roman"/>
          <w:color w:val="000000"/>
          <w:spacing w:val="5"/>
          <w:sz w:val="24"/>
          <w:szCs w:val="24"/>
          <w:lang w:eastAsia="it-IT"/>
        </w:rPr>
        <w:t xml:space="preserve"> in prevalenza a favore dei soci stessi (dal momento che gli enti pubblici in proposito menzionati nella sentenza impugnata non rivestivano la </w:t>
      </w:r>
      <w:proofErr w:type="spellStart"/>
      <w:r w:rsidRPr="00D473EB">
        <w:rPr>
          <w:rFonts w:ascii="Lato" w:eastAsia="Times New Roman" w:hAnsi="Lato" w:cs="Times New Roman"/>
          <w:color w:val="000000"/>
          <w:spacing w:val="5"/>
          <w:sz w:val="24"/>
          <w:szCs w:val="24"/>
          <w:lang w:eastAsia="it-IT"/>
        </w:rPr>
        <w:t>qualita'</w:t>
      </w:r>
      <w:proofErr w:type="spellEnd"/>
      <w:r w:rsidRPr="00D473EB">
        <w:rPr>
          <w:rFonts w:ascii="Lato" w:eastAsia="Times New Roman" w:hAnsi="Lato" w:cs="Times New Roman"/>
          <w:color w:val="000000"/>
          <w:spacing w:val="5"/>
          <w:sz w:val="24"/>
          <w:szCs w:val="24"/>
          <w:lang w:eastAsia="it-IT"/>
        </w:rPr>
        <w:t xml:space="preserve"> di socio); - l'esistenza di un "controllo analogo" inteso, non come mera influenza dominante, ma come potere di comando direttamente esercitato sulle decisioni di gestione (non solo sugli obiettivi strategici) con </w:t>
      </w:r>
      <w:proofErr w:type="spellStart"/>
      <w:r w:rsidRPr="00D473EB">
        <w:rPr>
          <w:rFonts w:ascii="Lato" w:eastAsia="Times New Roman" w:hAnsi="Lato" w:cs="Times New Roman"/>
          <w:color w:val="000000"/>
          <w:spacing w:val="5"/>
          <w:sz w:val="24"/>
          <w:szCs w:val="24"/>
          <w:lang w:eastAsia="it-IT"/>
        </w:rPr>
        <w:t>modalita'</w:t>
      </w:r>
      <w:proofErr w:type="spellEnd"/>
      <w:r w:rsidRPr="00D473EB">
        <w:rPr>
          <w:rFonts w:ascii="Lato" w:eastAsia="Times New Roman" w:hAnsi="Lato" w:cs="Times New Roman"/>
          <w:color w:val="000000"/>
          <w:spacing w:val="5"/>
          <w:sz w:val="24"/>
          <w:szCs w:val="24"/>
          <w:lang w:eastAsia="it-IT"/>
        </w:rPr>
        <w:t xml:space="preserve"> ed </w:t>
      </w:r>
      <w:proofErr w:type="spellStart"/>
      <w:r w:rsidRPr="00D473EB">
        <w:rPr>
          <w:rFonts w:ascii="Lato" w:eastAsia="Times New Roman" w:hAnsi="Lato" w:cs="Times New Roman"/>
          <w:color w:val="000000"/>
          <w:spacing w:val="5"/>
          <w:sz w:val="24"/>
          <w:szCs w:val="24"/>
          <w:lang w:eastAsia="it-IT"/>
        </w:rPr>
        <w:t>intensita'</w:t>
      </w:r>
      <w:proofErr w:type="spellEnd"/>
      <w:r w:rsidRPr="00D473EB">
        <w:rPr>
          <w:rFonts w:ascii="Lato" w:eastAsia="Times New Roman" w:hAnsi="Lato" w:cs="Times New Roman"/>
          <w:color w:val="000000"/>
          <w:spacing w:val="5"/>
          <w:sz w:val="24"/>
          <w:szCs w:val="24"/>
          <w:lang w:eastAsia="it-IT"/>
        </w:rPr>
        <w:t xml:space="preserve"> non riconducibili alle </w:t>
      </w:r>
      <w:proofErr w:type="spellStart"/>
      <w:r w:rsidRPr="00D473EB">
        <w:rPr>
          <w:rFonts w:ascii="Lato" w:eastAsia="Times New Roman" w:hAnsi="Lato" w:cs="Times New Roman"/>
          <w:color w:val="000000"/>
          <w:spacing w:val="5"/>
          <w:sz w:val="24"/>
          <w:szCs w:val="24"/>
          <w:lang w:eastAsia="it-IT"/>
        </w:rPr>
        <w:t>potesta'</w:t>
      </w:r>
      <w:proofErr w:type="spellEnd"/>
      <w:r w:rsidRPr="00D473EB">
        <w:rPr>
          <w:rFonts w:ascii="Lato" w:eastAsia="Times New Roman" w:hAnsi="Lato" w:cs="Times New Roman"/>
          <w:color w:val="000000"/>
          <w:spacing w:val="5"/>
          <w:sz w:val="24"/>
          <w:szCs w:val="24"/>
          <w:lang w:eastAsia="it-IT"/>
        </w:rPr>
        <w:t xml:space="preserve"> normalmente attribuite al socio (anche se totalitario),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anche in considerazione del fatto che gli statuti in questione non attribuivano particolari diritti amministrativi ai soci e demandavano agli amministratori ogni ampia </w:t>
      </w:r>
      <w:proofErr w:type="spellStart"/>
      <w:r w:rsidRPr="00D473EB">
        <w:rPr>
          <w:rFonts w:ascii="Lato" w:eastAsia="Times New Roman" w:hAnsi="Lato" w:cs="Times New Roman"/>
          <w:color w:val="000000"/>
          <w:spacing w:val="5"/>
          <w:sz w:val="24"/>
          <w:szCs w:val="24"/>
          <w:lang w:eastAsia="it-IT"/>
        </w:rPr>
        <w:t>potesta'</w:t>
      </w:r>
      <w:proofErr w:type="spellEnd"/>
      <w:r w:rsidRPr="00D473EB">
        <w:rPr>
          <w:rFonts w:ascii="Lato" w:eastAsia="Times New Roman" w:hAnsi="Lato" w:cs="Times New Roman"/>
          <w:color w:val="000000"/>
          <w:spacing w:val="5"/>
          <w:sz w:val="24"/>
          <w:szCs w:val="24"/>
          <w:lang w:eastAsia="it-IT"/>
        </w:rPr>
        <w:t xml:space="preserve"> gestoria;</w:t>
      </w:r>
    </w:p>
    <w:p w14:paraId="19FFE49C"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ne derivava che il rapporto di lavoro intercorrente tra l'amministratore e la Sardegna IT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non poteva essere equiparato a quello del dirigente regionale, con conseguente </w:t>
      </w:r>
      <w:proofErr w:type="spellStart"/>
      <w:r w:rsidRPr="00D473EB">
        <w:rPr>
          <w:rFonts w:ascii="Lato" w:eastAsia="Times New Roman" w:hAnsi="Lato" w:cs="Times New Roman"/>
          <w:color w:val="000000"/>
          <w:spacing w:val="5"/>
          <w:sz w:val="24"/>
          <w:szCs w:val="24"/>
          <w:lang w:eastAsia="it-IT"/>
        </w:rPr>
        <w:t>inconfigurabilita</w:t>
      </w:r>
      <w:proofErr w:type="spellEnd"/>
      <w:r w:rsidRPr="00D473EB">
        <w:rPr>
          <w:rFonts w:ascii="Lato" w:eastAsia="Times New Roman" w:hAnsi="Lato" w:cs="Times New Roman"/>
          <w:color w:val="000000"/>
          <w:spacing w:val="5"/>
          <w:sz w:val="24"/>
          <w:szCs w:val="24"/>
          <w:lang w:eastAsia="it-IT"/>
        </w:rPr>
        <w:t>' di un rapporto di servizio e quindi di un danno erariale, del resto dalla stessa Procura contabile riferito al patrimonio sociale e non a quello del socio-Regione;</w:t>
      </w:r>
    </w:p>
    <w:p w14:paraId="08F1E946"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in ogni caso, quand'anche si fossero ravvisati i requisiti dell''in house </w:t>
      </w:r>
      <w:proofErr w:type="spellStart"/>
      <w:r w:rsidRPr="00D473EB">
        <w:rPr>
          <w:rFonts w:ascii="Lato" w:eastAsia="Times New Roman" w:hAnsi="Lato" w:cs="Times New Roman"/>
          <w:color w:val="000000"/>
          <w:spacing w:val="5"/>
          <w:sz w:val="24"/>
          <w:szCs w:val="24"/>
          <w:lang w:eastAsia="it-IT"/>
        </w:rPr>
        <w:t>providing</w:t>
      </w:r>
      <w:proofErr w:type="spellEnd"/>
      <w:r w:rsidRPr="00D473EB">
        <w:rPr>
          <w:rFonts w:ascii="Lato" w:eastAsia="Times New Roman" w:hAnsi="Lato" w:cs="Times New Roman"/>
          <w:color w:val="000000"/>
          <w:spacing w:val="5"/>
          <w:sz w:val="24"/>
          <w:szCs w:val="24"/>
          <w:lang w:eastAsia="it-IT"/>
        </w:rPr>
        <w:t xml:space="preserve">',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avrebbe al </w:t>
      </w:r>
      <w:proofErr w:type="spellStart"/>
      <w:r w:rsidRPr="00D473EB">
        <w:rPr>
          <w:rFonts w:ascii="Lato" w:eastAsia="Times New Roman" w:hAnsi="Lato" w:cs="Times New Roman"/>
          <w:color w:val="000000"/>
          <w:spacing w:val="5"/>
          <w:sz w:val="24"/>
          <w:szCs w:val="24"/>
          <w:lang w:eastAsia="it-IT"/>
        </w:rPr>
        <w:t>piu'</w:t>
      </w:r>
      <w:proofErr w:type="spellEnd"/>
      <w:r w:rsidRPr="00D473EB">
        <w:rPr>
          <w:rFonts w:ascii="Lato" w:eastAsia="Times New Roman" w:hAnsi="Lato" w:cs="Times New Roman"/>
          <w:color w:val="000000"/>
          <w:spacing w:val="5"/>
          <w:sz w:val="24"/>
          <w:szCs w:val="24"/>
          <w:lang w:eastAsia="it-IT"/>
        </w:rPr>
        <w:t xml:space="preserve"> potuto riguardare unicamente lo statuto del 2013 e, pertanto, soltanto i fatti asseritamente appropriativi verificatisi dopo il 28 novembre 2013, con correlativa sensibile riduzione del danno erariale in condanna.</w:t>
      </w:r>
    </w:p>
    <w:p w14:paraId="438EE989"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 1.3 Si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costituito con controricorso il Procuratore Generale presso la Corte dei Conti, il quale ha chiesto il rigetto del ricorso con conseguente conferma della giurisdizione della Corte dei Conti, posto che:</w:t>
      </w:r>
    </w:p>
    <w:p w14:paraId="5CA21511"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quanto al divieto di cessione di partecipazioni a terzi, correttamente la Corte dei Conti ne aveva individuato il fondamento nel combinato disposto dell'art. 5, ultimo comma e art. 9 dello statuto 2006, mentre l'art. 5, </w:t>
      </w:r>
      <w:proofErr w:type="spellStart"/>
      <w:r w:rsidRPr="00D473EB">
        <w:rPr>
          <w:rFonts w:ascii="Lato" w:eastAsia="Times New Roman" w:hAnsi="Lato" w:cs="Times New Roman"/>
          <w:color w:val="000000"/>
          <w:spacing w:val="5"/>
          <w:sz w:val="24"/>
          <w:szCs w:val="24"/>
          <w:lang w:eastAsia="it-IT"/>
        </w:rPr>
        <w:t>u.c.</w:t>
      </w:r>
      <w:proofErr w:type="spellEnd"/>
      <w:r w:rsidRPr="00D473EB">
        <w:rPr>
          <w:rFonts w:ascii="Lato" w:eastAsia="Times New Roman" w:hAnsi="Lato" w:cs="Times New Roman"/>
          <w:color w:val="000000"/>
          <w:spacing w:val="5"/>
          <w:sz w:val="24"/>
          <w:szCs w:val="24"/>
          <w:lang w:eastAsia="it-IT"/>
        </w:rPr>
        <w:t xml:space="preserve"> dello statuto 2011 stabiliva che soci della Sardegna IT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potevano essere soltanto la Regione, gli enti pubblici territoriali della Regione 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a partecipazione regionale, inteso quest'ultimo inciso (anche vista la mancanza di una precisa disciplina dei presupposti e dei limiti di una ipotetica partecipazione privata) con riguardo 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di natura esclusivamente pubblica, come poi sarebbe stato infatti esplicitato nell'art. 5, comma 2, dello statuto 2013;</w:t>
      </w:r>
    </w:p>
    <w:p w14:paraId="510F276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quanto al controllo analogo (reso addirittura esplicito nello statuto 2013) le previsioni statutarie (anche del 2006 e 2011) prevedevano che l'organo amministrativo fosse nominato dal Presidente della Regione previa conforme delibera di Giunta, e che alla Regione spettasse l'approvazione di atti gestori fondamentali, quali il piano strategico, il programma annuale, il budget finanziario ed il bilancio;</w:t>
      </w:r>
    </w:p>
    <w:p w14:paraId="4D66BE41"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quanto alla prevalenza </w:t>
      </w:r>
      <w:proofErr w:type="spellStart"/>
      <w:r w:rsidRPr="00D473EB">
        <w:rPr>
          <w:rFonts w:ascii="Lato" w:eastAsia="Times New Roman" w:hAnsi="Lato" w:cs="Times New Roman"/>
          <w:color w:val="000000"/>
          <w:spacing w:val="5"/>
          <w:sz w:val="24"/>
          <w:szCs w:val="24"/>
          <w:lang w:eastAsia="it-IT"/>
        </w:rPr>
        <w:t>dell'attivita'</w:t>
      </w:r>
      <w:proofErr w:type="spellEnd"/>
      <w:r w:rsidRPr="00D473EB">
        <w:rPr>
          <w:rFonts w:ascii="Lato" w:eastAsia="Times New Roman" w:hAnsi="Lato" w:cs="Times New Roman"/>
          <w:color w:val="000000"/>
          <w:spacing w:val="5"/>
          <w:sz w:val="24"/>
          <w:szCs w:val="24"/>
          <w:lang w:eastAsia="it-IT"/>
        </w:rPr>
        <w:t xml:space="preserve"> sociale in favore dei soci pubblici, sia il primo statuto (art. 1) sia il secondo (art. 2) e sia ancora il terzo (art. 3) prevedevano quale oggetto sociale lo svolgimento, da parte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di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di progettazione, realizzazione e gestione di processi innovativi, </w:t>
      </w:r>
      <w:proofErr w:type="spellStart"/>
      <w:r w:rsidRPr="00D473EB">
        <w:rPr>
          <w:rFonts w:ascii="Lato" w:eastAsia="Times New Roman" w:hAnsi="Lato" w:cs="Times New Roman"/>
          <w:color w:val="000000"/>
          <w:spacing w:val="5"/>
          <w:sz w:val="24"/>
          <w:szCs w:val="24"/>
          <w:lang w:eastAsia="it-IT"/>
        </w:rPr>
        <w:t>nonche</w:t>
      </w:r>
      <w:proofErr w:type="spellEnd"/>
      <w:r w:rsidRPr="00D473EB">
        <w:rPr>
          <w:rFonts w:ascii="Lato" w:eastAsia="Times New Roman" w:hAnsi="Lato" w:cs="Times New Roman"/>
          <w:color w:val="000000"/>
          <w:spacing w:val="5"/>
          <w:sz w:val="24"/>
          <w:szCs w:val="24"/>
          <w:lang w:eastAsia="it-IT"/>
        </w:rPr>
        <w:t>' di fornitura di servizi informatici e di miglioramento tecnologico per gli uffici della Regione Sardegna o di altri organismi di diritto pubblico di interesse regionale;</w:t>
      </w:r>
    </w:p>
    <w:p w14:paraId="799DB3C7"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come stabilito dal </w:t>
      </w:r>
      <w:hyperlink r:id="rId23" w:history="1">
        <w:r w:rsidRPr="00D473EB">
          <w:rPr>
            <w:rFonts w:ascii="Lato" w:eastAsia="Times New Roman" w:hAnsi="Lato" w:cs="Times New Roman"/>
            <w:b/>
            <w:bCs/>
            <w:color w:val="FFA403"/>
            <w:spacing w:val="5"/>
            <w:sz w:val="24"/>
            <w:szCs w:val="24"/>
            <w:u w:val="single"/>
            <w:lang w:eastAsia="it-IT"/>
          </w:rPr>
          <w:t>D.L.vo n. 175 del 2016</w:t>
        </w:r>
      </w:hyperlink>
      <w:r w:rsidRPr="00D473EB">
        <w:rPr>
          <w:rFonts w:ascii="Lato" w:eastAsia="Times New Roman" w:hAnsi="Lato" w:cs="Times New Roman"/>
          <w:color w:val="000000"/>
          <w:spacing w:val="5"/>
          <w:sz w:val="24"/>
          <w:szCs w:val="24"/>
          <w:lang w:eastAsia="it-IT"/>
        </w:rPr>
        <w:t>, art. 12, (</w:t>
      </w:r>
      <w:proofErr w:type="spellStart"/>
      <w:r w:rsidRPr="00D473EB">
        <w:rPr>
          <w:rFonts w:ascii="Lato" w:eastAsia="Times New Roman" w:hAnsi="Lato" w:cs="Times New Roman"/>
          <w:color w:val="000000"/>
          <w:spacing w:val="5"/>
          <w:sz w:val="24"/>
          <w:szCs w:val="24"/>
          <w:lang w:eastAsia="it-IT"/>
        </w:rPr>
        <w:t>Responsabilita'</w:t>
      </w:r>
      <w:proofErr w:type="spellEnd"/>
      <w:r w:rsidRPr="00D473EB">
        <w:rPr>
          <w:rFonts w:ascii="Lato" w:eastAsia="Times New Roman" w:hAnsi="Lato" w:cs="Times New Roman"/>
          <w:color w:val="000000"/>
          <w:spacing w:val="5"/>
          <w:sz w:val="24"/>
          <w:szCs w:val="24"/>
          <w:lang w:eastAsia="it-IT"/>
        </w:rPr>
        <w:t xml:space="preserve"> degli enti partecipanti dei componenti degli organi delle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partecipate), nel caso di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in house opera sempre la giurisdizione della Corte dei Conti per il danno erariale, indipendentemente dal fatto che questo venga direttamente riferito al patrimonio sociale piuttosto che, indirettamente, a quello dell'ente pubblico partecipante.</w:t>
      </w:r>
    </w:p>
    <w:p w14:paraId="3206D646"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lastRenderedPageBreak/>
        <w:t>p. 1.4 Il B. ha depositato telematicamente, in data 15 gennaio 2023, memoria con la quale ha preso posizione sugli argomenti tutti esposti in controricorso dal Procuratore Generale contabile.</w:t>
      </w:r>
    </w:p>
    <w:p w14:paraId="4B57145F"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 2.1 Il ricorso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infondato.</w:t>
      </w:r>
    </w:p>
    <w:p w14:paraId="66B54B4A"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Va premesso che i requisiti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c.d. "in house </w:t>
      </w:r>
      <w:proofErr w:type="spellStart"/>
      <w:r w:rsidRPr="00D473EB">
        <w:rPr>
          <w:rFonts w:ascii="Lato" w:eastAsia="Times New Roman" w:hAnsi="Lato" w:cs="Times New Roman"/>
          <w:color w:val="000000"/>
          <w:spacing w:val="5"/>
          <w:sz w:val="24"/>
          <w:szCs w:val="24"/>
          <w:lang w:eastAsia="it-IT"/>
        </w:rPr>
        <w:t>providing</w:t>
      </w:r>
      <w:proofErr w:type="spellEnd"/>
      <w:r w:rsidRPr="00D473EB">
        <w:rPr>
          <w:rFonts w:ascii="Lato" w:eastAsia="Times New Roman" w:hAnsi="Lato" w:cs="Times New Roman"/>
          <w:color w:val="000000"/>
          <w:spacing w:val="5"/>
          <w:sz w:val="24"/>
          <w:szCs w:val="24"/>
          <w:lang w:eastAsia="it-IT"/>
        </w:rPr>
        <w:t xml:space="preserve">" che eccezionalmente fondano la giurisdizione contabile in ambito societario sono stati da tempo focalizzati - in ragione della fondamentale sentenza della Corte di Giustizia 18 novembre 1999, C107/1998, </w:t>
      </w:r>
      <w:proofErr w:type="spellStart"/>
      <w:r w:rsidRPr="00D473EB">
        <w:rPr>
          <w:rFonts w:ascii="Lato" w:eastAsia="Times New Roman" w:hAnsi="Lato" w:cs="Times New Roman"/>
          <w:color w:val="000000"/>
          <w:spacing w:val="5"/>
          <w:sz w:val="24"/>
          <w:szCs w:val="24"/>
          <w:lang w:eastAsia="it-IT"/>
        </w:rPr>
        <w:t>Teckal</w:t>
      </w:r>
      <w:proofErr w:type="spellEnd"/>
      <w:r w:rsidRPr="00D473EB">
        <w:rPr>
          <w:rFonts w:ascii="Lato" w:eastAsia="Times New Roman" w:hAnsi="Lato" w:cs="Times New Roman"/>
          <w:color w:val="000000"/>
          <w:spacing w:val="5"/>
          <w:sz w:val="24"/>
          <w:szCs w:val="24"/>
          <w:lang w:eastAsia="it-IT"/>
        </w:rPr>
        <w:t xml:space="preserve"> - dalla giurisprudenza di </w:t>
      </w:r>
      <w:proofErr w:type="spellStart"/>
      <w:r w:rsidRPr="00D473EB">
        <w:rPr>
          <w:rFonts w:ascii="Lato" w:eastAsia="Times New Roman" w:hAnsi="Lato" w:cs="Times New Roman"/>
          <w:color w:val="000000"/>
          <w:spacing w:val="5"/>
          <w:sz w:val="24"/>
          <w:szCs w:val="24"/>
          <w:lang w:eastAsia="it-IT"/>
        </w:rPr>
        <w:t>legittimita'</w:t>
      </w:r>
      <w:proofErr w:type="spellEnd"/>
      <w:r w:rsidRPr="00D473EB">
        <w:rPr>
          <w:rFonts w:ascii="Lato" w:eastAsia="Times New Roman" w:hAnsi="Lato" w:cs="Times New Roman"/>
          <w:color w:val="000000"/>
          <w:spacing w:val="5"/>
          <w:sz w:val="24"/>
          <w:szCs w:val="24"/>
          <w:lang w:eastAsia="it-IT"/>
        </w:rPr>
        <w:t xml:space="preserve">, la quale </w:t>
      </w:r>
      <w:proofErr w:type="spellStart"/>
      <w:r w:rsidRPr="00D473EB">
        <w:rPr>
          <w:rFonts w:ascii="Lato" w:eastAsia="Times New Roman" w:hAnsi="Lato" w:cs="Times New Roman"/>
          <w:color w:val="000000"/>
          <w:spacing w:val="5"/>
          <w:sz w:val="24"/>
          <w:szCs w:val="24"/>
          <w:lang w:eastAsia="it-IT"/>
        </w:rPr>
        <w:t>gia'</w:t>
      </w:r>
      <w:proofErr w:type="spellEnd"/>
      <w:r w:rsidRPr="00D473EB">
        <w:rPr>
          <w:rFonts w:ascii="Lato" w:eastAsia="Times New Roman" w:hAnsi="Lato" w:cs="Times New Roman"/>
          <w:color w:val="000000"/>
          <w:spacing w:val="5"/>
          <w:sz w:val="24"/>
          <w:szCs w:val="24"/>
          <w:lang w:eastAsia="it-IT"/>
        </w:rPr>
        <w:t xml:space="preserve"> con Cass. SSUU n. 26283/13 ebbe ad affermare che tale deve considerarsi 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che, pur avendo veste di diritto privato, sia "costituita da uno o </w:t>
      </w:r>
      <w:proofErr w:type="spellStart"/>
      <w:r w:rsidRPr="00D473EB">
        <w:rPr>
          <w:rFonts w:ascii="Lato" w:eastAsia="Times New Roman" w:hAnsi="Lato" w:cs="Times New Roman"/>
          <w:color w:val="000000"/>
          <w:spacing w:val="5"/>
          <w:sz w:val="24"/>
          <w:szCs w:val="24"/>
          <w:lang w:eastAsia="it-IT"/>
        </w:rPr>
        <w:t>piu'</w:t>
      </w:r>
      <w:proofErr w:type="spellEnd"/>
      <w:r w:rsidRPr="00D473EB">
        <w:rPr>
          <w:rFonts w:ascii="Lato" w:eastAsia="Times New Roman" w:hAnsi="Lato" w:cs="Times New Roman"/>
          <w:color w:val="000000"/>
          <w:spacing w:val="5"/>
          <w:sz w:val="24"/>
          <w:szCs w:val="24"/>
          <w:lang w:eastAsia="it-IT"/>
        </w:rPr>
        <w:t xml:space="preserve"> enti pubblici per l'esercizio di pubblici servizi, di cui esclusivamente i medesimi enti possano essere soci, che statutariamente esplichi la propria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prevalente in favore degli enti partecipanti e la cui gestione sia per statuto assoggettata a forme di controllo analoghe a quello esercitato dagli enti pubblici sui propri uffici". Si tratta di indirizzo innumerevoli volte successivamente ripreso e ribadito: v. Cass. SSUU n. 17188/18; 22409/18; 22712/19; 26738/21; 20632/22 ed altre.</w:t>
      </w:r>
    </w:p>
    <w:p w14:paraId="54163A5C"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Deve poi osservarsi che, in materia di </w:t>
      </w:r>
      <w:proofErr w:type="spellStart"/>
      <w:r w:rsidRPr="00D473EB">
        <w:rPr>
          <w:rFonts w:ascii="Lato" w:eastAsia="Times New Roman" w:hAnsi="Lato" w:cs="Times New Roman"/>
          <w:color w:val="000000"/>
          <w:spacing w:val="5"/>
          <w:sz w:val="24"/>
          <w:szCs w:val="24"/>
          <w:lang w:eastAsia="it-IT"/>
        </w:rPr>
        <w:t>responsabilita'</w:t>
      </w:r>
      <w:proofErr w:type="spellEnd"/>
      <w:r w:rsidRPr="00D473EB">
        <w:rPr>
          <w:rFonts w:ascii="Lato" w:eastAsia="Times New Roman" w:hAnsi="Lato" w:cs="Times New Roman"/>
          <w:color w:val="000000"/>
          <w:spacing w:val="5"/>
          <w:sz w:val="24"/>
          <w:szCs w:val="24"/>
          <w:lang w:eastAsia="it-IT"/>
        </w:rPr>
        <w:t xml:space="preserve"> contabile, l'accertamento caso per caso della sussistenza di questi caratteri tipici - necessitanti di simultanea presenza: Cass. SSUU n. 22409/18 - deve essere svolto con riguardo al momento di commissione dei fatti contestati, non </w:t>
      </w:r>
      <w:proofErr w:type="spellStart"/>
      <w:r w:rsidRPr="00D473EB">
        <w:rPr>
          <w:rFonts w:ascii="Lato" w:eastAsia="Times New Roman" w:hAnsi="Lato" w:cs="Times New Roman"/>
          <w:color w:val="000000"/>
          <w:spacing w:val="5"/>
          <w:sz w:val="24"/>
          <w:szCs w:val="24"/>
          <w:lang w:eastAsia="it-IT"/>
        </w:rPr>
        <w:t>gia'</w:t>
      </w:r>
      <w:proofErr w:type="spellEnd"/>
      <w:r w:rsidRPr="00D473EB">
        <w:rPr>
          <w:rFonts w:ascii="Lato" w:eastAsia="Times New Roman" w:hAnsi="Lato" w:cs="Times New Roman"/>
          <w:color w:val="000000"/>
          <w:spacing w:val="5"/>
          <w:sz w:val="24"/>
          <w:szCs w:val="24"/>
          <w:lang w:eastAsia="it-IT"/>
        </w:rPr>
        <w:t xml:space="preserve"> della proposizione dell'azione di </w:t>
      </w:r>
      <w:proofErr w:type="spellStart"/>
      <w:r w:rsidRPr="00D473EB">
        <w:rPr>
          <w:rFonts w:ascii="Lato" w:eastAsia="Times New Roman" w:hAnsi="Lato" w:cs="Times New Roman"/>
          <w:color w:val="000000"/>
          <w:spacing w:val="5"/>
          <w:sz w:val="24"/>
          <w:szCs w:val="24"/>
          <w:lang w:eastAsia="it-IT"/>
        </w:rPr>
        <w:t>responsabilita'</w:t>
      </w:r>
      <w:proofErr w:type="spellEnd"/>
      <w:r w:rsidRPr="00D473EB">
        <w:rPr>
          <w:rFonts w:ascii="Lato" w:eastAsia="Times New Roman" w:hAnsi="Lato" w:cs="Times New Roman"/>
          <w:color w:val="000000"/>
          <w:spacing w:val="5"/>
          <w:sz w:val="24"/>
          <w:szCs w:val="24"/>
          <w:lang w:eastAsia="it-IT"/>
        </w:rPr>
        <w:t>.</w:t>
      </w:r>
    </w:p>
    <w:p w14:paraId="73C9CB83"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Va infine ancora precisato (tanto </w:t>
      </w:r>
      <w:proofErr w:type="spellStart"/>
      <w:r w:rsidRPr="00D473EB">
        <w:rPr>
          <w:rFonts w:ascii="Lato" w:eastAsia="Times New Roman" w:hAnsi="Lato" w:cs="Times New Roman"/>
          <w:color w:val="000000"/>
          <w:spacing w:val="5"/>
          <w:sz w:val="24"/>
          <w:szCs w:val="24"/>
          <w:lang w:eastAsia="it-IT"/>
        </w:rPr>
        <w:t>piu'</w:t>
      </w:r>
      <w:proofErr w:type="spellEnd"/>
      <w:r w:rsidRPr="00D473EB">
        <w:rPr>
          <w:rFonts w:ascii="Lato" w:eastAsia="Times New Roman" w:hAnsi="Lato" w:cs="Times New Roman"/>
          <w:color w:val="000000"/>
          <w:spacing w:val="5"/>
          <w:sz w:val="24"/>
          <w:szCs w:val="24"/>
          <w:lang w:eastAsia="it-IT"/>
        </w:rPr>
        <w:t xml:space="preserve"> a fronte del richiamo al </w:t>
      </w:r>
      <w:hyperlink r:id="rId24" w:history="1">
        <w:r w:rsidRPr="00D473EB">
          <w:rPr>
            <w:rFonts w:ascii="Lato" w:eastAsia="Times New Roman" w:hAnsi="Lato" w:cs="Times New Roman"/>
            <w:b/>
            <w:bCs/>
            <w:color w:val="FFA403"/>
            <w:spacing w:val="5"/>
            <w:sz w:val="24"/>
            <w:szCs w:val="24"/>
            <w:u w:val="single"/>
            <w:lang w:eastAsia="it-IT"/>
          </w:rPr>
          <w:t>D.L.vo n. 175 del 2016</w:t>
        </w:r>
      </w:hyperlink>
      <w:r w:rsidRPr="00D473EB">
        <w:rPr>
          <w:rFonts w:ascii="Lato" w:eastAsia="Times New Roman" w:hAnsi="Lato" w:cs="Times New Roman"/>
          <w:color w:val="000000"/>
          <w:spacing w:val="5"/>
          <w:sz w:val="24"/>
          <w:szCs w:val="24"/>
          <w:lang w:eastAsia="it-IT"/>
        </w:rPr>
        <w:t xml:space="preserve"> qui operato sia dalla Corte dei Conti sia dal Procuratore Generale contabile) che le modifiche apportate in materia di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in house dalla Dir. 2014/24/UE sugli appalti pubblici (segnatamente, per quanto concerne il fatto che l'ottanta per cento delle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della persona giuridica controllata debba essere effettuato nello svolgimento di compiti ad essa affidati dall'amministrazione aggiudicatrice controllante, e che nella persona giuridica controllata possa esserci partecipazione diretta di capitali privati a condizione che si tratti di forme di partecipazione che non comportino controllo o potere di veto e che non esercitino un'influenza determinante sulla controllata) ed attuate in Italia dai </w:t>
      </w:r>
      <w:hyperlink r:id="rId25" w:history="1">
        <w:r w:rsidRPr="00D473EB">
          <w:rPr>
            <w:rFonts w:ascii="Lato" w:eastAsia="Times New Roman" w:hAnsi="Lato" w:cs="Times New Roman"/>
            <w:b/>
            <w:bCs/>
            <w:color w:val="FFA403"/>
            <w:spacing w:val="5"/>
            <w:sz w:val="24"/>
            <w:szCs w:val="24"/>
            <w:u w:val="single"/>
            <w:lang w:eastAsia="it-IT"/>
          </w:rPr>
          <w:t>D.L.vo n. 50 del 2016</w:t>
        </w:r>
      </w:hyperlink>
      <w:r w:rsidRPr="00D473EB">
        <w:rPr>
          <w:rFonts w:ascii="Lato" w:eastAsia="Times New Roman" w:hAnsi="Lato" w:cs="Times New Roman"/>
          <w:color w:val="000000"/>
          <w:spacing w:val="5"/>
          <w:sz w:val="24"/>
          <w:szCs w:val="24"/>
          <w:lang w:eastAsia="it-IT"/>
        </w:rPr>
        <w:t> ed appunto n. 175/16 cit., non sono applicabili (quand'anche se ne volessero estendere gli effetti a materie diverse dagli appalti pubblici) al caso di specie, nel quale si controverte di fatti illeciti commessi (2009-2014) prima del suo recepimento, ed anzi della sua stessa emanazione (Cass. SSUU n. 17188/18 cit.).</w:t>
      </w:r>
    </w:p>
    <w:p w14:paraId="1F91569B"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 2.2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posto, la valutazione sul punto resa dalla Corte dei Conti regge alle censure che le sono state mosse dal ricorrente.</w:t>
      </w:r>
    </w:p>
    <w:p w14:paraId="25B42F15"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Per quanto concerne il requisito della partecipazione totalitaria da parte di enti pubblici, la Corte dei Conti </w:t>
      </w:r>
      <w:proofErr w:type="spellStart"/>
      <w:r w:rsidRPr="00D473EB">
        <w:rPr>
          <w:rFonts w:ascii="Lato" w:eastAsia="Times New Roman" w:hAnsi="Lato" w:cs="Times New Roman"/>
          <w:color w:val="000000"/>
          <w:spacing w:val="5"/>
          <w:sz w:val="24"/>
          <w:szCs w:val="24"/>
          <w:lang w:eastAsia="it-IT"/>
        </w:rPr>
        <w:t>da'</w:t>
      </w:r>
      <w:proofErr w:type="spellEnd"/>
      <w:r w:rsidRPr="00D473EB">
        <w:rPr>
          <w:rFonts w:ascii="Lato" w:eastAsia="Times New Roman" w:hAnsi="Lato" w:cs="Times New Roman"/>
          <w:color w:val="000000"/>
          <w:spacing w:val="5"/>
          <w:sz w:val="24"/>
          <w:szCs w:val="24"/>
          <w:lang w:eastAsia="it-IT"/>
        </w:rPr>
        <w:t xml:space="preserve"> atto che Sardegna IT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venne costituita dalla Regione Autonoma Sardegna e da CRS4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(Centro di Ricerca, Sviluppo e Studi Superiori Sardegna), quest'ultima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unipersonale pubblica in mano regionale', ed esclude che vi sia mai stata, in accordo con le previsioni di Statuto, una seppur minima partecipazione al capitale da parte di soggetti privati.</w:t>
      </w:r>
    </w:p>
    <w:p w14:paraId="0C7F0A01"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Questa affermazione - contrastata dal B. solo genericamente e senza indicazione di specifici elementi di smentita - trova puntuale riscontro nell'atto costitutivo e nelle risultanze camerali; atti dai quali </w:t>
      </w:r>
      <w:proofErr w:type="spellStart"/>
      <w:r w:rsidRPr="00D473EB">
        <w:rPr>
          <w:rFonts w:ascii="Lato" w:eastAsia="Times New Roman" w:hAnsi="Lato" w:cs="Times New Roman"/>
          <w:color w:val="000000"/>
          <w:spacing w:val="5"/>
          <w:sz w:val="24"/>
          <w:szCs w:val="24"/>
          <w:lang w:eastAsia="it-IT"/>
        </w:rPr>
        <w:t>puo'</w:t>
      </w:r>
      <w:proofErr w:type="spellEnd"/>
      <w:r w:rsidRPr="00D473EB">
        <w:rPr>
          <w:rFonts w:ascii="Lato" w:eastAsia="Times New Roman" w:hAnsi="Lato" w:cs="Times New Roman"/>
          <w:color w:val="000000"/>
          <w:spacing w:val="5"/>
          <w:sz w:val="24"/>
          <w:szCs w:val="24"/>
          <w:lang w:eastAsia="it-IT"/>
        </w:rPr>
        <w:t xml:space="preserve"> evincersi, per un verso, che CRS4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un centro di ricerca costituito dalla Regione e partecipato totalitariamente dall'Agenzia regionale di ricerca e, per altro, che al momento dei fatti di causa la Sardegna IT </w:t>
      </w:r>
      <w:proofErr w:type="spellStart"/>
      <w:r w:rsidRPr="00D473EB">
        <w:rPr>
          <w:rFonts w:ascii="Lato" w:eastAsia="Times New Roman" w:hAnsi="Lato" w:cs="Times New Roman"/>
          <w:color w:val="000000"/>
          <w:spacing w:val="5"/>
          <w:sz w:val="24"/>
          <w:szCs w:val="24"/>
          <w:lang w:eastAsia="it-IT"/>
        </w:rPr>
        <w:t>srl</w:t>
      </w:r>
      <w:proofErr w:type="spellEnd"/>
      <w:r w:rsidRPr="00D473EB">
        <w:rPr>
          <w:rFonts w:ascii="Lato" w:eastAsia="Times New Roman" w:hAnsi="Lato" w:cs="Times New Roman"/>
          <w:color w:val="000000"/>
          <w:spacing w:val="5"/>
          <w:sz w:val="24"/>
          <w:szCs w:val="24"/>
          <w:lang w:eastAsia="it-IT"/>
        </w:rPr>
        <w:t xml:space="preserve"> era detenuta al 100% dalla Regione, la quale esercitava su di essa il controllo attraverso la Direzione Generale degli Affari Generali. Non risultano cessioni di quote a favore di soggetti privati.</w:t>
      </w:r>
    </w:p>
    <w:p w14:paraId="00AF85E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lastRenderedPageBreak/>
        <w:t xml:space="preserve">Sul piano strettamente statutario, la situazione storica </w:t>
      </w:r>
      <w:proofErr w:type="spellStart"/>
      <w:r w:rsidRPr="00D473EB">
        <w:rPr>
          <w:rFonts w:ascii="Lato" w:eastAsia="Times New Roman" w:hAnsi="Lato" w:cs="Times New Roman"/>
          <w:color w:val="000000"/>
          <w:spacing w:val="5"/>
          <w:sz w:val="24"/>
          <w:szCs w:val="24"/>
          <w:lang w:eastAsia="it-IT"/>
        </w:rPr>
        <w:t>cosi'</w:t>
      </w:r>
      <w:proofErr w:type="spellEnd"/>
      <w:r w:rsidRPr="00D473EB">
        <w:rPr>
          <w:rFonts w:ascii="Lato" w:eastAsia="Times New Roman" w:hAnsi="Lato" w:cs="Times New Roman"/>
          <w:color w:val="000000"/>
          <w:spacing w:val="5"/>
          <w:sz w:val="24"/>
          <w:szCs w:val="24"/>
          <w:lang w:eastAsia="it-IT"/>
        </w:rPr>
        <w:t xml:space="preserve"> rassegnata trova riferimento e sostrato in tutti e tre gli statuti di Sardegna IT (2006/2011/2013) che hanno avuto vigenza nell'intero arco temporale delle condotte addebitate.</w:t>
      </w:r>
    </w:p>
    <w:p w14:paraId="68AFE77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Nello statuto 2006 rileva testualmente il combinato disposto di cui all'art. 9 e art. 5, </w:t>
      </w:r>
      <w:proofErr w:type="spellStart"/>
      <w:proofErr w:type="gramStart"/>
      <w:r w:rsidRPr="00D473EB">
        <w:rPr>
          <w:rFonts w:ascii="Lato" w:eastAsia="Times New Roman" w:hAnsi="Lato" w:cs="Times New Roman"/>
          <w:color w:val="000000"/>
          <w:spacing w:val="5"/>
          <w:sz w:val="24"/>
          <w:szCs w:val="24"/>
          <w:lang w:eastAsia="it-IT"/>
        </w:rPr>
        <w:t>u.c.</w:t>
      </w:r>
      <w:proofErr w:type="spellEnd"/>
      <w:r w:rsidRPr="00D473EB">
        <w:rPr>
          <w:rFonts w:ascii="Lato" w:eastAsia="Times New Roman" w:hAnsi="Lato" w:cs="Times New Roman"/>
          <w:color w:val="000000"/>
          <w:spacing w:val="5"/>
          <w:sz w:val="24"/>
          <w:szCs w:val="24"/>
          <w:lang w:eastAsia="it-IT"/>
        </w:rPr>
        <w:t>.</w:t>
      </w:r>
      <w:proofErr w:type="gramEnd"/>
      <w:r w:rsidRPr="00D473EB">
        <w:rPr>
          <w:rFonts w:ascii="Lato" w:eastAsia="Times New Roman" w:hAnsi="Lato" w:cs="Times New Roman"/>
          <w:color w:val="000000"/>
          <w:spacing w:val="5"/>
          <w:sz w:val="24"/>
          <w:szCs w:val="24"/>
          <w:lang w:eastAsia="it-IT"/>
        </w:rPr>
        <w:t xml:space="preserve"> La prima disposizione prevede che: "il trasferimento delle quote sociali per atto tra vivi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consentito unicamente a favore dei soggetti indicati nell'art. 5, </w:t>
      </w:r>
      <w:proofErr w:type="spellStart"/>
      <w:r w:rsidRPr="00D473EB">
        <w:rPr>
          <w:rFonts w:ascii="Lato" w:eastAsia="Times New Roman" w:hAnsi="Lato" w:cs="Times New Roman"/>
          <w:color w:val="000000"/>
          <w:spacing w:val="5"/>
          <w:sz w:val="24"/>
          <w:szCs w:val="24"/>
          <w:lang w:eastAsia="it-IT"/>
        </w:rPr>
        <w:t>u.c.</w:t>
      </w:r>
      <w:proofErr w:type="spellEnd"/>
      <w:r w:rsidRPr="00D473EB">
        <w:rPr>
          <w:rFonts w:ascii="Lato" w:eastAsia="Times New Roman" w:hAnsi="Lato" w:cs="Times New Roman"/>
          <w:color w:val="000000"/>
          <w:spacing w:val="5"/>
          <w:sz w:val="24"/>
          <w:szCs w:val="24"/>
          <w:lang w:eastAsia="it-IT"/>
        </w:rPr>
        <w:t xml:space="preserve">", e quest'ultima prescrizione stabilisce: "potranno essere ammessi a far parte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esclusivamente la RAS e altri enti pubblici regionali e locali da questa autorizzati".</w:t>
      </w:r>
    </w:p>
    <w:p w14:paraId="3F4EF108"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Nello statuto 2013 si esplicita (art. 5, comma 2) che: "la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a totale capitale pubblico in </w:t>
      </w:r>
      <w:proofErr w:type="spellStart"/>
      <w:r w:rsidRPr="00D473EB">
        <w:rPr>
          <w:rFonts w:ascii="Lato" w:eastAsia="Times New Roman" w:hAnsi="Lato" w:cs="Times New Roman"/>
          <w:color w:val="000000"/>
          <w:spacing w:val="5"/>
          <w:sz w:val="24"/>
          <w:szCs w:val="24"/>
          <w:lang w:eastAsia="it-IT"/>
        </w:rPr>
        <w:t>conformita'</w:t>
      </w:r>
      <w:proofErr w:type="spellEnd"/>
      <w:r w:rsidRPr="00D473EB">
        <w:rPr>
          <w:rFonts w:ascii="Lato" w:eastAsia="Times New Roman" w:hAnsi="Lato" w:cs="Times New Roman"/>
          <w:color w:val="000000"/>
          <w:spacing w:val="5"/>
          <w:sz w:val="24"/>
          <w:szCs w:val="24"/>
          <w:lang w:eastAsia="it-IT"/>
        </w:rPr>
        <w:t xml:space="preserve"> al modello in house </w:t>
      </w:r>
      <w:proofErr w:type="spellStart"/>
      <w:r w:rsidRPr="00D473EB">
        <w:rPr>
          <w:rFonts w:ascii="Lato" w:eastAsia="Times New Roman" w:hAnsi="Lato" w:cs="Times New Roman"/>
          <w:color w:val="000000"/>
          <w:spacing w:val="5"/>
          <w:sz w:val="24"/>
          <w:szCs w:val="24"/>
          <w:lang w:eastAsia="it-IT"/>
        </w:rPr>
        <w:t>providing</w:t>
      </w:r>
      <w:proofErr w:type="spellEnd"/>
      <w:r w:rsidRPr="00D473EB">
        <w:rPr>
          <w:rFonts w:ascii="Lato" w:eastAsia="Times New Roman" w:hAnsi="Lato" w:cs="Times New Roman"/>
          <w:color w:val="000000"/>
          <w:spacing w:val="5"/>
          <w:sz w:val="24"/>
          <w:szCs w:val="24"/>
          <w:lang w:eastAsia="it-IT"/>
        </w:rPr>
        <w:t xml:space="preserve">. La quota di capitale sottoscritta dal socio Regione Autonoma Sardegna non </w:t>
      </w:r>
      <w:proofErr w:type="spellStart"/>
      <w:r w:rsidRPr="00D473EB">
        <w:rPr>
          <w:rFonts w:ascii="Lato" w:eastAsia="Times New Roman" w:hAnsi="Lato" w:cs="Times New Roman"/>
          <w:color w:val="000000"/>
          <w:spacing w:val="5"/>
          <w:sz w:val="24"/>
          <w:szCs w:val="24"/>
          <w:lang w:eastAsia="it-IT"/>
        </w:rPr>
        <w:t>potra'</w:t>
      </w:r>
      <w:proofErr w:type="spellEnd"/>
      <w:r w:rsidRPr="00D473EB">
        <w:rPr>
          <w:rFonts w:ascii="Lato" w:eastAsia="Times New Roman" w:hAnsi="Lato" w:cs="Times New Roman"/>
          <w:color w:val="000000"/>
          <w:spacing w:val="5"/>
          <w:sz w:val="24"/>
          <w:szCs w:val="24"/>
          <w:lang w:eastAsia="it-IT"/>
        </w:rPr>
        <w:t xml:space="preserve"> mai essere inferiore al 100% del capitale sociale per tutta la durata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w:t>
      </w:r>
      <w:proofErr w:type="spellStart"/>
      <w:r w:rsidRPr="00D473EB">
        <w:rPr>
          <w:rFonts w:ascii="Lato" w:eastAsia="Times New Roman" w:hAnsi="Lato" w:cs="Times New Roman"/>
          <w:color w:val="000000"/>
          <w:spacing w:val="5"/>
          <w:sz w:val="24"/>
          <w:szCs w:val="24"/>
          <w:lang w:eastAsia="it-IT"/>
        </w:rPr>
        <w:t>nonche</w:t>
      </w:r>
      <w:proofErr w:type="spellEnd"/>
      <w:r w:rsidRPr="00D473EB">
        <w:rPr>
          <w:rFonts w:ascii="Lato" w:eastAsia="Times New Roman" w:hAnsi="Lato" w:cs="Times New Roman"/>
          <w:color w:val="000000"/>
          <w:spacing w:val="5"/>
          <w:sz w:val="24"/>
          <w:szCs w:val="24"/>
          <w:lang w:eastAsia="it-IT"/>
        </w:rPr>
        <w:t xml:space="preserve">' (art. 5, comma 3): "il socio di Sardegna IT </w:t>
      </w:r>
      <w:proofErr w:type="spellStart"/>
      <w:r w:rsidRPr="00D473EB">
        <w:rPr>
          <w:rFonts w:ascii="Lato" w:eastAsia="Times New Roman" w:hAnsi="Lato" w:cs="Times New Roman"/>
          <w:color w:val="000000"/>
          <w:spacing w:val="5"/>
          <w:sz w:val="24"/>
          <w:szCs w:val="24"/>
          <w:lang w:eastAsia="it-IT"/>
        </w:rPr>
        <w:t>puo'</w:t>
      </w:r>
      <w:proofErr w:type="spellEnd"/>
      <w:r w:rsidRPr="00D473EB">
        <w:rPr>
          <w:rFonts w:ascii="Lato" w:eastAsia="Times New Roman" w:hAnsi="Lato" w:cs="Times New Roman"/>
          <w:color w:val="000000"/>
          <w:spacing w:val="5"/>
          <w:sz w:val="24"/>
          <w:szCs w:val="24"/>
          <w:lang w:eastAsia="it-IT"/>
        </w:rPr>
        <w:t xml:space="preserve"> essere unicamente la Regione Autonoma della Sardegna".</w:t>
      </w:r>
    </w:p>
    <w:p w14:paraId="5281A56F"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Quanto allo Statuto "di transizione" del 2011, rileva la previsione (art. 5 </w:t>
      </w:r>
      <w:proofErr w:type="spellStart"/>
      <w:r w:rsidRPr="00D473EB">
        <w:rPr>
          <w:rFonts w:ascii="Lato" w:eastAsia="Times New Roman" w:hAnsi="Lato" w:cs="Times New Roman"/>
          <w:color w:val="000000"/>
          <w:spacing w:val="5"/>
          <w:sz w:val="24"/>
          <w:szCs w:val="24"/>
          <w:lang w:eastAsia="it-IT"/>
        </w:rPr>
        <w:t>u.c.</w:t>
      </w:r>
      <w:proofErr w:type="spellEnd"/>
      <w:r w:rsidRPr="00D473EB">
        <w:rPr>
          <w:rFonts w:ascii="Lato" w:eastAsia="Times New Roman" w:hAnsi="Lato" w:cs="Times New Roman"/>
          <w:color w:val="000000"/>
          <w:spacing w:val="5"/>
          <w:sz w:val="24"/>
          <w:szCs w:val="24"/>
          <w:lang w:eastAsia="it-IT"/>
        </w:rPr>
        <w:t xml:space="preserve">) secondo cui: "possono essere soci la Regione autonoma Sardegna, enti pubblici operanti sul territorio della Regione 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a partecipazione regionale". Disposizione, quest'ultima, in </w:t>
      </w:r>
      <w:proofErr w:type="spellStart"/>
      <w:r w:rsidRPr="00D473EB">
        <w:rPr>
          <w:rFonts w:ascii="Lato" w:eastAsia="Times New Roman" w:hAnsi="Lato" w:cs="Times New Roman"/>
          <w:color w:val="000000"/>
          <w:spacing w:val="5"/>
          <w:sz w:val="24"/>
          <w:szCs w:val="24"/>
          <w:lang w:eastAsia="it-IT"/>
        </w:rPr>
        <w:t>realta'</w:t>
      </w:r>
      <w:proofErr w:type="spellEnd"/>
      <w:r w:rsidRPr="00D473EB">
        <w:rPr>
          <w:rFonts w:ascii="Lato" w:eastAsia="Times New Roman" w:hAnsi="Lato" w:cs="Times New Roman"/>
          <w:color w:val="000000"/>
          <w:spacing w:val="5"/>
          <w:sz w:val="24"/>
          <w:szCs w:val="24"/>
          <w:lang w:eastAsia="it-IT"/>
        </w:rPr>
        <w:t xml:space="preserve"> anch'essa teleologicamente univoca nel riferire la "partecipazione regionale" ad una soglia totalitaria, non potendo altrimenti la norma statutaria sussistere senza una correlata disciplina (del tutto inesistente) sia della soglia di (ipotetica) partecipazione di soci privati accanto a quella regionale, sia dei diritti, delle prerogative e delle regole stesse di una simile partecipazione ad opera di soggetti privati. Il che fonda, ai fini della qualificazione statutaria delle partecipazioni, la sostanziale equiparazione tra le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a partecipazione regionale" e gli "enti pubblici operanti sul territorio della Regione".</w:t>
      </w:r>
    </w:p>
    <w:p w14:paraId="52B471E2" w14:textId="77777777" w:rsidR="00D473EB" w:rsidRPr="00D473EB" w:rsidRDefault="00D473EB" w:rsidP="00D473EB">
      <w:pPr>
        <w:shd w:val="clear" w:color="auto" w:fill="FFFFFF"/>
        <w:spacing w:after="0" w:line="240" w:lineRule="auto"/>
        <w:jc w:val="both"/>
        <w:rPr>
          <w:rFonts w:ascii="Lato" w:eastAsia="Times New Roman" w:hAnsi="Lato" w:cs="Times New Roman"/>
          <w:b/>
          <w:bCs/>
          <w:color w:val="000000"/>
          <w:spacing w:val="5"/>
          <w:sz w:val="24"/>
          <w:szCs w:val="24"/>
          <w:u w:val="single"/>
          <w:lang w:eastAsia="it-IT"/>
        </w:rPr>
      </w:pPr>
      <w:r w:rsidRPr="00D473EB">
        <w:rPr>
          <w:rFonts w:ascii="Lato" w:eastAsia="Times New Roman" w:hAnsi="Lato" w:cs="Times New Roman"/>
          <w:color w:val="000000"/>
          <w:spacing w:val="5"/>
          <w:sz w:val="24"/>
          <w:szCs w:val="24"/>
          <w:lang w:eastAsia="it-IT"/>
        </w:rPr>
        <w:t xml:space="preserve">In modo tale che - anche in ragione della linea evolutiva ravvisabile proprio nella successione degli statuti in esame, tendente ad una progressiva e </w:t>
      </w:r>
      <w:proofErr w:type="spellStart"/>
      <w:r w:rsidRPr="00D473EB">
        <w:rPr>
          <w:rFonts w:ascii="Lato" w:eastAsia="Times New Roman" w:hAnsi="Lato" w:cs="Times New Roman"/>
          <w:color w:val="000000"/>
          <w:spacing w:val="5"/>
          <w:sz w:val="24"/>
          <w:szCs w:val="24"/>
          <w:lang w:eastAsia="it-IT"/>
        </w:rPr>
        <w:t>piu'</w:t>
      </w:r>
      <w:proofErr w:type="spellEnd"/>
      <w:r w:rsidRPr="00D473EB">
        <w:rPr>
          <w:rFonts w:ascii="Lato" w:eastAsia="Times New Roman" w:hAnsi="Lato" w:cs="Times New Roman"/>
          <w:color w:val="000000"/>
          <w:spacing w:val="5"/>
          <w:sz w:val="24"/>
          <w:szCs w:val="24"/>
          <w:lang w:eastAsia="it-IT"/>
        </w:rPr>
        <w:t xml:space="preserve"> incisiva esplicitazione e chiarificazione di un requisito partecipativo totalmente pubblico che in </w:t>
      </w:r>
      <w:proofErr w:type="spellStart"/>
      <w:r w:rsidRPr="00D473EB">
        <w:rPr>
          <w:rFonts w:ascii="Lato" w:eastAsia="Times New Roman" w:hAnsi="Lato" w:cs="Times New Roman"/>
          <w:color w:val="000000"/>
          <w:spacing w:val="5"/>
          <w:sz w:val="24"/>
          <w:szCs w:val="24"/>
          <w:lang w:eastAsia="it-IT"/>
        </w:rPr>
        <w:t>realta'</w:t>
      </w:r>
      <w:proofErr w:type="spellEnd"/>
      <w:r w:rsidRPr="00D473EB">
        <w:rPr>
          <w:rFonts w:ascii="Lato" w:eastAsia="Times New Roman" w:hAnsi="Lato" w:cs="Times New Roman"/>
          <w:color w:val="000000"/>
          <w:spacing w:val="5"/>
          <w:sz w:val="24"/>
          <w:szCs w:val="24"/>
          <w:lang w:eastAsia="it-IT"/>
        </w:rPr>
        <w:t xml:space="preserve"> ha continuativamente connotato la Sardegna IT fin dalla sua costituzione - </w:t>
      </w:r>
      <w:proofErr w:type="spellStart"/>
      <w:r w:rsidRPr="00D473EB">
        <w:rPr>
          <w:rFonts w:ascii="Lato" w:eastAsia="Times New Roman" w:hAnsi="Lato" w:cs="Times New Roman"/>
          <w:b/>
          <w:bCs/>
          <w:color w:val="000000"/>
          <w:spacing w:val="5"/>
          <w:sz w:val="24"/>
          <w:szCs w:val="24"/>
          <w:u w:val="single"/>
          <w:lang w:eastAsia="it-IT"/>
        </w:rPr>
        <w:t>puo'</w:t>
      </w:r>
      <w:proofErr w:type="spellEnd"/>
      <w:r w:rsidRPr="00D473EB">
        <w:rPr>
          <w:rFonts w:ascii="Lato" w:eastAsia="Times New Roman" w:hAnsi="Lato" w:cs="Times New Roman"/>
          <w:b/>
          <w:bCs/>
          <w:color w:val="000000"/>
          <w:spacing w:val="5"/>
          <w:sz w:val="24"/>
          <w:szCs w:val="24"/>
          <w:u w:val="single"/>
          <w:lang w:eastAsia="it-IT"/>
        </w:rPr>
        <w:t xml:space="preserve"> dirsi anche nella specie presente quel presupposto indefettibile secondo cui "il capitale sociale deve essere integralmente detenuto da uno o </w:t>
      </w:r>
      <w:proofErr w:type="spellStart"/>
      <w:r w:rsidRPr="00D473EB">
        <w:rPr>
          <w:rFonts w:ascii="Lato" w:eastAsia="Times New Roman" w:hAnsi="Lato" w:cs="Times New Roman"/>
          <w:b/>
          <w:bCs/>
          <w:color w:val="000000"/>
          <w:spacing w:val="5"/>
          <w:sz w:val="24"/>
          <w:szCs w:val="24"/>
          <w:u w:val="single"/>
          <w:lang w:eastAsia="it-IT"/>
        </w:rPr>
        <w:t>piu'</w:t>
      </w:r>
      <w:proofErr w:type="spellEnd"/>
      <w:r w:rsidRPr="00D473EB">
        <w:rPr>
          <w:rFonts w:ascii="Lato" w:eastAsia="Times New Roman" w:hAnsi="Lato" w:cs="Times New Roman"/>
          <w:b/>
          <w:bCs/>
          <w:color w:val="000000"/>
          <w:spacing w:val="5"/>
          <w:sz w:val="24"/>
          <w:szCs w:val="24"/>
          <w:u w:val="single"/>
          <w:lang w:eastAsia="it-IT"/>
        </w:rPr>
        <w:t xml:space="preserve"> enti pubblici per l'esercizio di pubblici servizi e lo statuto deve vietare la cessione delle partecipazioni a soci privati" (Cass. SSUU n. 22409/18 cit. ed altre).</w:t>
      </w:r>
    </w:p>
    <w:p w14:paraId="6F81CDC8"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 2.3 Per quanto concerne il requisito dello svolgimento </w:t>
      </w:r>
      <w:proofErr w:type="spellStart"/>
      <w:r w:rsidRPr="00D473EB">
        <w:rPr>
          <w:rFonts w:ascii="Lato" w:eastAsia="Times New Roman" w:hAnsi="Lato" w:cs="Times New Roman"/>
          <w:color w:val="000000"/>
          <w:spacing w:val="5"/>
          <w:sz w:val="24"/>
          <w:szCs w:val="24"/>
          <w:lang w:eastAsia="it-IT"/>
        </w:rPr>
        <w:t>dell'attivita'</w:t>
      </w:r>
      <w:proofErr w:type="spellEnd"/>
      <w:r w:rsidRPr="00D473EB">
        <w:rPr>
          <w:rFonts w:ascii="Lato" w:eastAsia="Times New Roman" w:hAnsi="Lato" w:cs="Times New Roman"/>
          <w:color w:val="000000"/>
          <w:spacing w:val="5"/>
          <w:sz w:val="24"/>
          <w:szCs w:val="24"/>
          <w:lang w:eastAsia="it-IT"/>
        </w:rPr>
        <w:t xml:space="preserve"> prevalente a favore degli enti partecipanti, rileva l'oggetto statutario, per cui </w:t>
      </w:r>
      <w:proofErr w:type="spellStart"/>
      <w:r w:rsidRPr="00D473EB">
        <w:rPr>
          <w:rFonts w:ascii="Lato" w:eastAsia="Times New Roman" w:hAnsi="Lato" w:cs="Times New Roman"/>
          <w:color w:val="000000"/>
          <w:spacing w:val="5"/>
          <w:sz w:val="24"/>
          <w:szCs w:val="24"/>
          <w:lang w:eastAsia="it-IT"/>
        </w:rPr>
        <w:t>l'attivita'</w:t>
      </w:r>
      <w:proofErr w:type="spellEnd"/>
      <w:r w:rsidRPr="00D473EB">
        <w:rPr>
          <w:rFonts w:ascii="Lato" w:eastAsia="Times New Roman" w:hAnsi="Lato" w:cs="Times New Roman"/>
          <w:color w:val="000000"/>
          <w:spacing w:val="5"/>
          <w:sz w:val="24"/>
          <w:szCs w:val="24"/>
          <w:lang w:eastAsia="it-IT"/>
        </w:rPr>
        <w:t xml:space="preserve"> sociale risulta essere - praticamente in via esclusiva - riservata alla Regione e finalizzata al raggiungimento degli scopi da questa determinati per </w:t>
      </w:r>
      <w:proofErr w:type="gramStart"/>
      <w:r w:rsidRPr="00D473EB">
        <w:rPr>
          <w:rFonts w:ascii="Lato" w:eastAsia="Times New Roman" w:hAnsi="Lato" w:cs="Times New Roman"/>
          <w:color w:val="000000"/>
          <w:spacing w:val="5"/>
          <w:sz w:val="24"/>
          <w:szCs w:val="24"/>
          <w:lang w:eastAsia="it-IT"/>
        </w:rPr>
        <w:t>se'</w:t>
      </w:r>
      <w:proofErr w:type="gramEnd"/>
      <w:r w:rsidRPr="00D473EB">
        <w:rPr>
          <w:rFonts w:ascii="Lato" w:eastAsia="Times New Roman" w:hAnsi="Lato" w:cs="Times New Roman"/>
          <w:color w:val="000000"/>
          <w:spacing w:val="5"/>
          <w:sz w:val="24"/>
          <w:szCs w:val="24"/>
          <w:lang w:eastAsia="it-IT"/>
        </w:rPr>
        <w:t>, ovvero per altri organismi sempre di emanazione regionale.</w:t>
      </w:r>
    </w:p>
    <w:p w14:paraId="61C053F6"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Nello statuto 2006 l'oggetto sociale viene descritto (art. 1) </w:t>
      </w:r>
      <w:proofErr w:type="spellStart"/>
      <w:r w:rsidRPr="00D473EB">
        <w:rPr>
          <w:rFonts w:ascii="Lato" w:eastAsia="Times New Roman" w:hAnsi="Lato" w:cs="Times New Roman"/>
          <w:color w:val="000000"/>
          <w:spacing w:val="5"/>
          <w:sz w:val="24"/>
          <w:szCs w:val="24"/>
          <w:lang w:eastAsia="it-IT"/>
        </w:rPr>
        <w:t>nell'attivita'</w:t>
      </w:r>
      <w:proofErr w:type="spellEnd"/>
      <w:r w:rsidRPr="00D473EB">
        <w:rPr>
          <w:rFonts w:ascii="Lato" w:eastAsia="Times New Roman" w:hAnsi="Lato" w:cs="Times New Roman"/>
          <w:color w:val="000000"/>
          <w:spacing w:val="5"/>
          <w:sz w:val="24"/>
          <w:szCs w:val="24"/>
          <w:lang w:eastAsia="it-IT"/>
        </w:rPr>
        <w:t xml:space="preserve"> di: "progettazione, realizzazione, integrazione e gestione di processi innovativi (...) promossi dalla RAS per i propri uffici e per gli enti regionali e per gli enti del SSR ed a supporto delle collaborazioni che la Regione </w:t>
      </w:r>
      <w:proofErr w:type="spellStart"/>
      <w:r w:rsidRPr="00D473EB">
        <w:rPr>
          <w:rFonts w:ascii="Lato" w:eastAsia="Times New Roman" w:hAnsi="Lato" w:cs="Times New Roman"/>
          <w:color w:val="000000"/>
          <w:spacing w:val="5"/>
          <w:sz w:val="24"/>
          <w:szCs w:val="24"/>
          <w:lang w:eastAsia="it-IT"/>
        </w:rPr>
        <w:t>definira'</w:t>
      </w:r>
      <w:proofErr w:type="spellEnd"/>
      <w:r w:rsidRPr="00D473EB">
        <w:rPr>
          <w:rFonts w:ascii="Lato" w:eastAsia="Times New Roman" w:hAnsi="Lato" w:cs="Times New Roman"/>
          <w:color w:val="000000"/>
          <w:spacing w:val="5"/>
          <w:sz w:val="24"/>
          <w:szCs w:val="24"/>
          <w:lang w:eastAsia="it-IT"/>
        </w:rPr>
        <w:t xml:space="preserve"> direttamente con enti locali e con altre amministrazioni pubbliche".</w:t>
      </w:r>
    </w:p>
    <w:p w14:paraId="2A61EA3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Nello statuto 2011, recita l'art. 3: "fornitura di servizi e prestazioni informatiche (...) contemplati dai piani e i progetti approvati dalla RAS (...), tra i quali "progetti per l'introduzione e l'utilizzo di tecnologia (...) nella RAS; tecnologie finalizzate a migliorare i progetti operativi dell'amministrazione regionale; gare pubbliche per incarico della RAS anche in favore di altri organismi di diritto pubblico di interesse regionale; controllo del livello di servizi prestati dai terzi alla RAS".</w:t>
      </w:r>
    </w:p>
    <w:p w14:paraId="0962543D"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lastRenderedPageBreak/>
        <w:t xml:space="preserve">Nello statuto 2013, (art. 3, comma 2) si legge: "la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effettua, nel rispetto della normativa vigente ed in tema di organismi in house </w:t>
      </w:r>
      <w:proofErr w:type="spellStart"/>
      <w:r w:rsidRPr="00D473EB">
        <w:rPr>
          <w:rFonts w:ascii="Lato" w:eastAsia="Times New Roman" w:hAnsi="Lato" w:cs="Times New Roman"/>
          <w:color w:val="000000"/>
          <w:spacing w:val="5"/>
          <w:sz w:val="24"/>
          <w:szCs w:val="24"/>
          <w:lang w:eastAsia="it-IT"/>
        </w:rPr>
        <w:t>providing</w:t>
      </w:r>
      <w:proofErr w:type="spellEnd"/>
      <w:r w:rsidRPr="00D473EB">
        <w:rPr>
          <w:rFonts w:ascii="Lato" w:eastAsia="Times New Roman" w:hAnsi="Lato" w:cs="Times New Roman"/>
          <w:color w:val="000000"/>
          <w:spacing w:val="5"/>
          <w:sz w:val="24"/>
          <w:szCs w:val="24"/>
          <w:lang w:eastAsia="it-IT"/>
        </w:rPr>
        <w:t xml:space="preserve">,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di supporto al socio Regione Sardegna".</w:t>
      </w:r>
    </w:p>
    <w:p w14:paraId="1C4653FF"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Si individua dunque, anche in tal caso, una linea statutaria costante e coerente che pone la Sardegna IT (in maniera addirittura non prevalente, ma praticamente esclusiva) al servizio della Regione Autonoma e del raggiungimento degli obiettivi (di innovazione tecnologica ed automazione del governo e dell'organizzazione regionale) da questa di volta in volta posti.</w:t>
      </w:r>
    </w:p>
    <w:p w14:paraId="51111B14"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b/>
          <w:bCs/>
          <w:color w:val="000000"/>
          <w:spacing w:val="5"/>
          <w:sz w:val="24"/>
          <w:szCs w:val="24"/>
          <w:lang w:eastAsia="it-IT"/>
        </w:rPr>
        <w:t xml:space="preserve">E' pur vero che, come rilevato dal ricorrente, quanto osservato (pag.4) dalla Corte dei Conti - in ordine al fatto che </w:t>
      </w:r>
      <w:proofErr w:type="spellStart"/>
      <w:r w:rsidRPr="00D473EB">
        <w:rPr>
          <w:rFonts w:ascii="Lato" w:eastAsia="Times New Roman" w:hAnsi="Lato" w:cs="Times New Roman"/>
          <w:b/>
          <w:bCs/>
          <w:color w:val="000000"/>
          <w:spacing w:val="5"/>
          <w:sz w:val="24"/>
          <w:szCs w:val="24"/>
          <w:lang w:eastAsia="it-IT"/>
        </w:rPr>
        <w:t>l'attivita'</w:t>
      </w:r>
      <w:proofErr w:type="spellEnd"/>
      <w:r w:rsidRPr="00D473EB">
        <w:rPr>
          <w:rFonts w:ascii="Lato" w:eastAsia="Times New Roman" w:hAnsi="Lato" w:cs="Times New Roman"/>
          <w:b/>
          <w:bCs/>
          <w:color w:val="000000"/>
          <w:spacing w:val="5"/>
          <w:sz w:val="24"/>
          <w:szCs w:val="24"/>
          <w:lang w:eastAsia="it-IT"/>
        </w:rPr>
        <w:t xml:space="preserve"> sociale si rivolgesse, oltre che a vantaggio della Regione, anche a favore di varie </w:t>
      </w:r>
      <w:proofErr w:type="spellStart"/>
      <w:r w:rsidRPr="00D473EB">
        <w:rPr>
          <w:rFonts w:ascii="Lato" w:eastAsia="Times New Roman" w:hAnsi="Lato" w:cs="Times New Roman"/>
          <w:b/>
          <w:bCs/>
          <w:color w:val="000000"/>
          <w:spacing w:val="5"/>
          <w:sz w:val="24"/>
          <w:szCs w:val="24"/>
          <w:lang w:eastAsia="it-IT"/>
        </w:rPr>
        <w:t>autorita'</w:t>
      </w:r>
      <w:proofErr w:type="spellEnd"/>
      <w:r w:rsidRPr="00D473EB">
        <w:rPr>
          <w:rFonts w:ascii="Lato" w:eastAsia="Times New Roman" w:hAnsi="Lato" w:cs="Times New Roman"/>
          <w:b/>
          <w:bCs/>
          <w:color w:val="000000"/>
          <w:spacing w:val="5"/>
          <w:sz w:val="24"/>
          <w:szCs w:val="24"/>
          <w:lang w:eastAsia="it-IT"/>
        </w:rPr>
        <w:t xml:space="preserve"> pubbliche locali e del Servizio Sanitario Regionale - </w:t>
      </w:r>
      <w:proofErr w:type="spellStart"/>
      <w:r w:rsidRPr="00D473EB">
        <w:rPr>
          <w:rFonts w:ascii="Lato" w:eastAsia="Times New Roman" w:hAnsi="Lato" w:cs="Times New Roman"/>
          <w:b/>
          <w:bCs/>
          <w:color w:val="000000"/>
          <w:spacing w:val="5"/>
          <w:sz w:val="24"/>
          <w:szCs w:val="24"/>
          <w:lang w:eastAsia="it-IT"/>
        </w:rPr>
        <w:t>puo'</w:t>
      </w:r>
      <w:proofErr w:type="spellEnd"/>
      <w:r w:rsidRPr="00D473EB">
        <w:rPr>
          <w:rFonts w:ascii="Lato" w:eastAsia="Times New Roman" w:hAnsi="Lato" w:cs="Times New Roman"/>
          <w:b/>
          <w:bCs/>
          <w:color w:val="000000"/>
          <w:spacing w:val="5"/>
          <w:sz w:val="24"/>
          <w:szCs w:val="24"/>
          <w:lang w:eastAsia="it-IT"/>
        </w:rPr>
        <w:t xml:space="preserve"> non essere del tutto appropriato, dal momento che gli enti in sentenza menzionati non sono in </w:t>
      </w:r>
      <w:proofErr w:type="spellStart"/>
      <w:r w:rsidRPr="00D473EB">
        <w:rPr>
          <w:rFonts w:ascii="Lato" w:eastAsia="Times New Roman" w:hAnsi="Lato" w:cs="Times New Roman"/>
          <w:b/>
          <w:bCs/>
          <w:color w:val="000000"/>
          <w:spacing w:val="5"/>
          <w:sz w:val="24"/>
          <w:szCs w:val="24"/>
          <w:lang w:eastAsia="it-IT"/>
        </w:rPr>
        <w:t>realta'</w:t>
      </w:r>
      <w:proofErr w:type="spellEnd"/>
      <w:r w:rsidRPr="00D473EB">
        <w:rPr>
          <w:rFonts w:ascii="Lato" w:eastAsia="Times New Roman" w:hAnsi="Lato" w:cs="Times New Roman"/>
          <w:b/>
          <w:bCs/>
          <w:color w:val="000000"/>
          <w:spacing w:val="5"/>
          <w:sz w:val="24"/>
          <w:szCs w:val="24"/>
          <w:lang w:eastAsia="it-IT"/>
        </w:rPr>
        <w:t xml:space="preserve"> soci di Sardegna IT; tuttavia, sono inequivoche e dirimenti le richiamate previsioni statutarie, le quali non lasciano spazio allo svolgimento di </w:t>
      </w:r>
      <w:proofErr w:type="spellStart"/>
      <w:r w:rsidRPr="00D473EB">
        <w:rPr>
          <w:rFonts w:ascii="Lato" w:eastAsia="Times New Roman" w:hAnsi="Lato" w:cs="Times New Roman"/>
          <w:b/>
          <w:bCs/>
          <w:color w:val="000000"/>
          <w:spacing w:val="5"/>
          <w:sz w:val="24"/>
          <w:szCs w:val="24"/>
          <w:lang w:eastAsia="it-IT"/>
        </w:rPr>
        <w:t>attivita'</w:t>
      </w:r>
      <w:proofErr w:type="spellEnd"/>
      <w:r w:rsidRPr="00D473EB">
        <w:rPr>
          <w:rFonts w:ascii="Lato" w:eastAsia="Times New Roman" w:hAnsi="Lato" w:cs="Times New Roman"/>
          <w:b/>
          <w:bCs/>
          <w:color w:val="000000"/>
          <w:spacing w:val="5"/>
          <w:sz w:val="24"/>
          <w:szCs w:val="24"/>
          <w:lang w:eastAsia="it-IT"/>
        </w:rPr>
        <w:t xml:space="preserve"> sociali che non siano indirizzate al perseguimento di </w:t>
      </w:r>
      <w:proofErr w:type="spellStart"/>
      <w:r w:rsidRPr="00D473EB">
        <w:rPr>
          <w:rFonts w:ascii="Lato" w:eastAsia="Times New Roman" w:hAnsi="Lato" w:cs="Times New Roman"/>
          <w:b/>
          <w:bCs/>
          <w:color w:val="000000"/>
          <w:spacing w:val="5"/>
          <w:sz w:val="24"/>
          <w:szCs w:val="24"/>
          <w:lang w:eastAsia="it-IT"/>
        </w:rPr>
        <w:t>finalita'</w:t>
      </w:r>
      <w:proofErr w:type="spellEnd"/>
      <w:r w:rsidRPr="00D473EB">
        <w:rPr>
          <w:rFonts w:ascii="Lato" w:eastAsia="Times New Roman" w:hAnsi="Lato" w:cs="Times New Roman"/>
          <w:b/>
          <w:bCs/>
          <w:color w:val="000000"/>
          <w:spacing w:val="5"/>
          <w:sz w:val="24"/>
          <w:szCs w:val="24"/>
          <w:lang w:eastAsia="it-IT"/>
        </w:rPr>
        <w:t xml:space="preserve"> pubblicistiche a favore della Regione Sardegna</w:t>
      </w:r>
      <w:r w:rsidRPr="00D473EB">
        <w:rPr>
          <w:rFonts w:ascii="Lato" w:eastAsia="Times New Roman" w:hAnsi="Lato" w:cs="Times New Roman"/>
          <w:color w:val="000000"/>
          <w:spacing w:val="5"/>
          <w:sz w:val="24"/>
          <w:szCs w:val="24"/>
          <w:lang w:eastAsia="it-IT"/>
        </w:rPr>
        <w:t>.</w:t>
      </w:r>
    </w:p>
    <w:p w14:paraId="1848A60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E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tanto che si tratti di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"direttamente" ed "internamente" destinate ad incidere sulle </w:t>
      </w:r>
      <w:proofErr w:type="spellStart"/>
      <w:r w:rsidRPr="00D473EB">
        <w:rPr>
          <w:rFonts w:ascii="Lato" w:eastAsia="Times New Roman" w:hAnsi="Lato" w:cs="Times New Roman"/>
          <w:color w:val="000000"/>
          <w:spacing w:val="5"/>
          <w:sz w:val="24"/>
          <w:szCs w:val="24"/>
          <w:lang w:eastAsia="it-IT"/>
        </w:rPr>
        <w:t>modalita'</w:t>
      </w:r>
      <w:proofErr w:type="spellEnd"/>
      <w:r w:rsidRPr="00D473EB">
        <w:rPr>
          <w:rFonts w:ascii="Lato" w:eastAsia="Times New Roman" w:hAnsi="Lato" w:cs="Times New Roman"/>
          <w:color w:val="000000"/>
          <w:spacing w:val="5"/>
          <w:sz w:val="24"/>
          <w:szCs w:val="24"/>
          <w:lang w:eastAsia="it-IT"/>
        </w:rPr>
        <w:t xml:space="preserve"> organizzative e tecnologiche dell'organizzazione e della gestione dell'ente-Regione Autonoma, quanto che si tratti di </w:t>
      </w:r>
      <w:proofErr w:type="spellStart"/>
      <w:r w:rsidRPr="00D473EB">
        <w:rPr>
          <w:rFonts w:ascii="Lato" w:eastAsia="Times New Roman" w:hAnsi="Lato" w:cs="Times New Roman"/>
          <w:b/>
          <w:bCs/>
          <w:color w:val="000000"/>
          <w:spacing w:val="5"/>
          <w:sz w:val="24"/>
          <w:szCs w:val="24"/>
          <w:lang w:eastAsia="it-IT"/>
        </w:rPr>
        <w:t>attivita'</w:t>
      </w:r>
      <w:proofErr w:type="spellEnd"/>
      <w:r w:rsidRPr="00D473EB">
        <w:rPr>
          <w:rFonts w:ascii="Lato" w:eastAsia="Times New Roman" w:hAnsi="Lato" w:cs="Times New Roman"/>
          <w:b/>
          <w:bCs/>
          <w:color w:val="000000"/>
          <w:spacing w:val="5"/>
          <w:sz w:val="24"/>
          <w:szCs w:val="24"/>
          <w:lang w:eastAsia="it-IT"/>
        </w:rPr>
        <w:t xml:space="preserve"> solo indirettamente incidenti </w:t>
      </w:r>
      <w:proofErr w:type="spellStart"/>
      <w:r w:rsidRPr="00D473EB">
        <w:rPr>
          <w:rFonts w:ascii="Lato" w:eastAsia="Times New Roman" w:hAnsi="Lato" w:cs="Times New Roman"/>
          <w:b/>
          <w:bCs/>
          <w:color w:val="000000"/>
          <w:spacing w:val="5"/>
          <w:sz w:val="24"/>
          <w:szCs w:val="24"/>
          <w:lang w:eastAsia="it-IT"/>
        </w:rPr>
        <w:t>sull'operativita'</w:t>
      </w:r>
      <w:proofErr w:type="spellEnd"/>
      <w:r w:rsidRPr="00D473EB">
        <w:rPr>
          <w:rFonts w:ascii="Lato" w:eastAsia="Times New Roman" w:hAnsi="Lato" w:cs="Times New Roman"/>
          <w:b/>
          <w:bCs/>
          <w:color w:val="000000"/>
          <w:spacing w:val="5"/>
          <w:sz w:val="24"/>
          <w:szCs w:val="24"/>
          <w:lang w:eastAsia="it-IT"/>
        </w:rPr>
        <w:t xml:space="preserve"> interna di questa, dal momento che anche in quest'ultimo caso </w:t>
      </w:r>
      <w:proofErr w:type="spellStart"/>
      <w:r w:rsidRPr="00D473EB">
        <w:rPr>
          <w:rFonts w:ascii="Lato" w:eastAsia="Times New Roman" w:hAnsi="Lato" w:cs="Times New Roman"/>
          <w:b/>
          <w:bCs/>
          <w:color w:val="000000"/>
          <w:spacing w:val="5"/>
          <w:sz w:val="24"/>
          <w:szCs w:val="24"/>
          <w:lang w:eastAsia="it-IT"/>
        </w:rPr>
        <w:t>l'attivita'</w:t>
      </w:r>
      <w:proofErr w:type="spellEnd"/>
      <w:r w:rsidRPr="00D473EB">
        <w:rPr>
          <w:rFonts w:ascii="Lato" w:eastAsia="Times New Roman" w:hAnsi="Lato" w:cs="Times New Roman"/>
          <w:b/>
          <w:bCs/>
          <w:color w:val="000000"/>
          <w:spacing w:val="5"/>
          <w:sz w:val="24"/>
          <w:szCs w:val="24"/>
          <w:lang w:eastAsia="it-IT"/>
        </w:rPr>
        <w:t xml:space="preserve"> sociale era comunque statutariamente orientata all'assolvimento di compiti e direttive di ricerca sollecitate esclusivamente dalla stessa Regione nell'ambito delle proprie </w:t>
      </w:r>
      <w:proofErr w:type="spellStart"/>
      <w:r w:rsidRPr="00D473EB">
        <w:rPr>
          <w:rFonts w:ascii="Lato" w:eastAsia="Times New Roman" w:hAnsi="Lato" w:cs="Times New Roman"/>
          <w:b/>
          <w:bCs/>
          <w:color w:val="000000"/>
          <w:spacing w:val="5"/>
          <w:sz w:val="24"/>
          <w:szCs w:val="24"/>
          <w:lang w:eastAsia="it-IT"/>
        </w:rPr>
        <w:t>finalita'</w:t>
      </w:r>
      <w:proofErr w:type="spellEnd"/>
      <w:r w:rsidRPr="00D473EB">
        <w:rPr>
          <w:rFonts w:ascii="Lato" w:eastAsia="Times New Roman" w:hAnsi="Lato" w:cs="Times New Roman"/>
          <w:b/>
          <w:bCs/>
          <w:color w:val="000000"/>
          <w:spacing w:val="5"/>
          <w:sz w:val="24"/>
          <w:szCs w:val="24"/>
          <w:lang w:eastAsia="it-IT"/>
        </w:rPr>
        <w:t xml:space="preserve"> istituzionali, seppure coinvolgenti anche il funzionamento e l'organizzazione di enti regionali diversi da se'</w:t>
      </w:r>
      <w:r w:rsidRPr="00D473EB">
        <w:rPr>
          <w:rFonts w:ascii="Lato" w:eastAsia="Times New Roman" w:hAnsi="Lato" w:cs="Times New Roman"/>
          <w:color w:val="000000"/>
          <w:spacing w:val="5"/>
          <w:sz w:val="24"/>
          <w:szCs w:val="24"/>
          <w:lang w:eastAsia="it-IT"/>
        </w:rPr>
        <w:t>.</w:t>
      </w:r>
    </w:p>
    <w:p w14:paraId="3615691A"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Ragion per cui la censurata affermazione della Corte dei Conti non appare in buona sostanza neppure </w:t>
      </w:r>
      <w:proofErr w:type="spellStart"/>
      <w:r w:rsidRPr="00D473EB">
        <w:rPr>
          <w:rFonts w:ascii="Lato" w:eastAsia="Times New Roman" w:hAnsi="Lato" w:cs="Times New Roman"/>
          <w:color w:val="000000"/>
          <w:spacing w:val="5"/>
          <w:sz w:val="24"/>
          <w:szCs w:val="24"/>
          <w:lang w:eastAsia="it-IT"/>
        </w:rPr>
        <w:t>cosi'</w:t>
      </w:r>
      <w:proofErr w:type="spellEnd"/>
      <w:r w:rsidRPr="00D473EB">
        <w:rPr>
          <w:rFonts w:ascii="Lato" w:eastAsia="Times New Roman" w:hAnsi="Lato" w:cs="Times New Roman"/>
          <w:color w:val="000000"/>
          <w:spacing w:val="5"/>
          <w:sz w:val="24"/>
          <w:szCs w:val="24"/>
          <w:lang w:eastAsia="it-IT"/>
        </w:rPr>
        <w:t xml:space="preserve"> erronea, quantomeno nei limiti in cui la si ritenga riferita allo svolgimento di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sociale pur sempre ed immancabilmente indirizzata - quand'anche preposta a sortire effetti pratici a vantaggio di enti pubblici regionali non soci - alla Regione ed alla realizzazione dei suoi fini istituzionali di competenza.</w:t>
      </w:r>
    </w:p>
    <w:p w14:paraId="6E6DE42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In tal senso devono leggersi quelle previsioni statutarie - su riportate - che pongono l'oggetto sociale in diretto rapporto con l'"interesse regionale" e la funzione di "supporto" non solo degli interventi di innovazione interni all'amministrazione regionale in senso stretto, ma anche "delle collaborazioni" definite dalla Regione stessa "direttamente con enti locali e con altre amministrazioni pubbliche".</w:t>
      </w:r>
    </w:p>
    <w:p w14:paraId="08D5D674"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Si integra pertanto appieno, nel caso della Sardegna IT, il requisito per cui: "la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deve esplicare statutariamente la propria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prevalente in favore degli enti partecipanti, in modo che l'eventuale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accessoria non implichi una significativa presenza sul mercato e rivesta una valenza meramente strumentale" (Cass. SSUU n. 22409/18 cit.); </w:t>
      </w:r>
      <w:proofErr w:type="spellStart"/>
      <w:r w:rsidRPr="00D473EB">
        <w:rPr>
          <w:rFonts w:ascii="Lato" w:eastAsia="Times New Roman" w:hAnsi="Lato" w:cs="Times New Roman"/>
          <w:color w:val="000000"/>
          <w:spacing w:val="5"/>
          <w:sz w:val="24"/>
          <w:szCs w:val="24"/>
          <w:lang w:eastAsia="it-IT"/>
        </w:rPr>
        <w:t>la'</w:t>
      </w:r>
      <w:proofErr w:type="spellEnd"/>
      <w:r w:rsidRPr="00D473EB">
        <w:rPr>
          <w:rFonts w:ascii="Lato" w:eastAsia="Times New Roman" w:hAnsi="Lato" w:cs="Times New Roman"/>
          <w:color w:val="000000"/>
          <w:spacing w:val="5"/>
          <w:sz w:val="24"/>
          <w:szCs w:val="24"/>
          <w:lang w:eastAsia="it-IT"/>
        </w:rPr>
        <w:t xml:space="preserve"> dove, sulla base delle risultanze di causa, di "</w:t>
      </w:r>
      <w:proofErr w:type="spellStart"/>
      <w:r w:rsidRPr="00D473EB">
        <w:rPr>
          <w:rFonts w:ascii="Lato" w:eastAsia="Times New Roman" w:hAnsi="Lato" w:cs="Times New Roman"/>
          <w:color w:val="000000"/>
          <w:spacing w:val="5"/>
          <w:sz w:val="24"/>
          <w:szCs w:val="24"/>
          <w:lang w:eastAsia="it-IT"/>
        </w:rPr>
        <w:t>attivita'</w:t>
      </w:r>
      <w:proofErr w:type="spellEnd"/>
      <w:r w:rsidRPr="00D473EB">
        <w:rPr>
          <w:rFonts w:ascii="Lato" w:eastAsia="Times New Roman" w:hAnsi="Lato" w:cs="Times New Roman"/>
          <w:color w:val="000000"/>
          <w:spacing w:val="5"/>
          <w:sz w:val="24"/>
          <w:szCs w:val="24"/>
          <w:lang w:eastAsia="it-IT"/>
        </w:rPr>
        <w:t xml:space="preserve"> accessoria" o di "presenza sul mercato" neppure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dato qui di parlare.</w:t>
      </w:r>
    </w:p>
    <w:p w14:paraId="0E90DB6A"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 2.4.1 </w:t>
      </w:r>
      <w:r w:rsidRPr="00D473EB">
        <w:rPr>
          <w:rFonts w:ascii="Lato" w:eastAsia="Times New Roman" w:hAnsi="Lato" w:cs="Times New Roman"/>
          <w:b/>
          <w:bCs/>
          <w:color w:val="000000"/>
          <w:spacing w:val="5"/>
          <w:sz w:val="24"/>
          <w:szCs w:val="24"/>
          <w:lang w:eastAsia="it-IT"/>
        </w:rPr>
        <w:t xml:space="preserve">Venendo al requisito del "controllo analogo", va premesso in via generale che l'evoluzione della giurisprudenza CGUE (v. sentenza 11 gennaio 2005, C-26/2003, </w:t>
      </w:r>
      <w:proofErr w:type="spellStart"/>
      <w:r w:rsidRPr="00D473EB">
        <w:rPr>
          <w:rFonts w:ascii="Lato" w:eastAsia="Times New Roman" w:hAnsi="Lato" w:cs="Times New Roman"/>
          <w:b/>
          <w:bCs/>
          <w:color w:val="000000"/>
          <w:spacing w:val="5"/>
          <w:sz w:val="24"/>
          <w:szCs w:val="24"/>
          <w:lang w:eastAsia="it-IT"/>
        </w:rPr>
        <w:t>Stadt</w:t>
      </w:r>
      <w:proofErr w:type="spellEnd"/>
      <w:r w:rsidRPr="00D473EB">
        <w:rPr>
          <w:rFonts w:ascii="Lato" w:eastAsia="Times New Roman" w:hAnsi="Lato" w:cs="Times New Roman"/>
          <w:b/>
          <w:bCs/>
          <w:color w:val="000000"/>
          <w:spacing w:val="5"/>
          <w:sz w:val="24"/>
          <w:szCs w:val="24"/>
          <w:lang w:eastAsia="it-IT"/>
        </w:rPr>
        <w:t xml:space="preserve"> Halle; sentenza 13 ottobre 2005, C-458/2003 Parking Brixen</w:t>
      </w:r>
      <w:r w:rsidRPr="00D473EB">
        <w:rPr>
          <w:rFonts w:ascii="Lato" w:eastAsia="Times New Roman" w:hAnsi="Lato" w:cs="Times New Roman"/>
          <w:color w:val="000000"/>
          <w:spacing w:val="5"/>
          <w:sz w:val="24"/>
          <w:szCs w:val="24"/>
          <w:lang w:eastAsia="it-IT"/>
        </w:rPr>
        <w:t xml:space="preserve">) e di </w:t>
      </w:r>
      <w:proofErr w:type="spellStart"/>
      <w:r w:rsidRPr="00D473EB">
        <w:rPr>
          <w:rFonts w:ascii="Lato" w:eastAsia="Times New Roman" w:hAnsi="Lato" w:cs="Times New Roman"/>
          <w:color w:val="000000"/>
          <w:spacing w:val="5"/>
          <w:sz w:val="24"/>
          <w:szCs w:val="24"/>
          <w:lang w:eastAsia="it-IT"/>
        </w:rPr>
        <w:t>legittimita'</w:t>
      </w:r>
      <w:proofErr w:type="spellEnd"/>
      <w:r w:rsidRPr="00D473EB">
        <w:rPr>
          <w:rFonts w:ascii="Lato" w:eastAsia="Times New Roman" w:hAnsi="Lato" w:cs="Times New Roman"/>
          <w:color w:val="000000"/>
          <w:spacing w:val="5"/>
          <w:sz w:val="24"/>
          <w:szCs w:val="24"/>
          <w:lang w:eastAsia="it-IT"/>
        </w:rPr>
        <w:t xml:space="preserve"> registra, anche su fattispecie antecedenti ai D.L.vo n. 50 e n. 175 del 2016, una progressiva specificazione della nozione, </w:t>
      </w:r>
      <w:r w:rsidRPr="00D473EB">
        <w:rPr>
          <w:rFonts w:ascii="Lato" w:eastAsia="Times New Roman" w:hAnsi="Lato" w:cs="Times New Roman"/>
          <w:b/>
          <w:bCs/>
          <w:color w:val="000000"/>
          <w:spacing w:val="5"/>
          <w:sz w:val="24"/>
          <w:szCs w:val="24"/>
          <w:lang w:eastAsia="it-IT"/>
        </w:rPr>
        <w:t xml:space="preserve">nel senso di una sua non assoluta e perfetta coincidenza o sovrapposizione (a partire da un dato anche lessicale, posto che "analogo" non </w:t>
      </w:r>
      <w:proofErr w:type="spellStart"/>
      <w:r w:rsidRPr="00D473EB">
        <w:rPr>
          <w:rFonts w:ascii="Lato" w:eastAsia="Times New Roman" w:hAnsi="Lato" w:cs="Times New Roman"/>
          <w:b/>
          <w:bCs/>
          <w:color w:val="000000"/>
          <w:spacing w:val="5"/>
          <w:sz w:val="24"/>
          <w:szCs w:val="24"/>
          <w:lang w:eastAsia="it-IT"/>
        </w:rPr>
        <w:t>e'</w:t>
      </w:r>
      <w:proofErr w:type="spellEnd"/>
      <w:r w:rsidRPr="00D473EB">
        <w:rPr>
          <w:rFonts w:ascii="Lato" w:eastAsia="Times New Roman" w:hAnsi="Lato" w:cs="Times New Roman"/>
          <w:b/>
          <w:bCs/>
          <w:color w:val="000000"/>
          <w:spacing w:val="5"/>
          <w:sz w:val="24"/>
          <w:szCs w:val="24"/>
          <w:lang w:eastAsia="it-IT"/>
        </w:rPr>
        <w:t xml:space="preserve"> sinonimo di "identico") con il controllo esercitato dall'ente pubblico sui propri organi ed uffici interni, a favore di una </w:t>
      </w:r>
      <w:proofErr w:type="spellStart"/>
      <w:r w:rsidRPr="00D473EB">
        <w:rPr>
          <w:rFonts w:ascii="Lato" w:eastAsia="Times New Roman" w:hAnsi="Lato" w:cs="Times New Roman"/>
          <w:b/>
          <w:bCs/>
          <w:color w:val="000000"/>
          <w:spacing w:val="5"/>
          <w:sz w:val="24"/>
          <w:szCs w:val="24"/>
          <w:lang w:eastAsia="it-IT"/>
        </w:rPr>
        <w:t>piu'</w:t>
      </w:r>
      <w:proofErr w:type="spellEnd"/>
      <w:r w:rsidRPr="00D473EB">
        <w:rPr>
          <w:rFonts w:ascii="Lato" w:eastAsia="Times New Roman" w:hAnsi="Lato" w:cs="Times New Roman"/>
          <w:b/>
          <w:bCs/>
          <w:color w:val="000000"/>
          <w:spacing w:val="5"/>
          <w:sz w:val="24"/>
          <w:szCs w:val="24"/>
          <w:lang w:eastAsia="it-IT"/>
        </w:rPr>
        <w:t xml:space="preserve"> marcata sua identificazione nella fattispecie di influenza determinante sulle linee strategiche e sulle decisioni fondamentali della </w:t>
      </w:r>
      <w:proofErr w:type="spellStart"/>
      <w:r w:rsidRPr="00D473EB">
        <w:rPr>
          <w:rFonts w:ascii="Lato" w:eastAsia="Times New Roman" w:hAnsi="Lato" w:cs="Times New Roman"/>
          <w:b/>
          <w:bCs/>
          <w:color w:val="000000"/>
          <w:spacing w:val="5"/>
          <w:sz w:val="24"/>
          <w:szCs w:val="24"/>
          <w:lang w:eastAsia="it-IT"/>
        </w:rPr>
        <w:lastRenderedPageBreak/>
        <w:t>societa'</w:t>
      </w:r>
      <w:proofErr w:type="spellEnd"/>
      <w:r w:rsidRPr="00D473EB">
        <w:rPr>
          <w:rFonts w:ascii="Lato" w:eastAsia="Times New Roman" w:hAnsi="Lato" w:cs="Times New Roman"/>
          <w:color w:val="000000"/>
          <w:spacing w:val="5"/>
          <w:sz w:val="24"/>
          <w:szCs w:val="24"/>
          <w:lang w:eastAsia="it-IT"/>
        </w:rPr>
        <w:t xml:space="preserve">, a condizione che questa influenza determinante risponda a </w:t>
      </w:r>
      <w:proofErr w:type="spellStart"/>
      <w:r w:rsidRPr="00D473EB">
        <w:rPr>
          <w:rFonts w:ascii="Lato" w:eastAsia="Times New Roman" w:hAnsi="Lato" w:cs="Times New Roman"/>
          <w:color w:val="000000"/>
          <w:spacing w:val="5"/>
          <w:sz w:val="24"/>
          <w:szCs w:val="24"/>
          <w:lang w:eastAsia="it-IT"/>
        </w:rPr>
        <w:t>modalita'</w:t>
      </w:r>
      <w:proofErr w:type="spellEnd"/>
      <w:r w:rsidRPr="00D473EB">
        <w:rPr>
          <w:rFonts w:ascii="Lato" w:eastAsia="Times New Roman" w:hAnsi="Lato" w:cs="Times New Roman"/>
          <w:color w:val="000000"/>
          <w:spacing w:val="5"/>
          <w:sz w:val="24"/>
          <w:szCs w:val="24"/>
          <w:lang w:eastAsia="it-IT"/>
        </w:rPr>
        <w:t xml:space="preserve"> ed effetti diversi, e </w:t>
      </w:r>
      <w:proofErr w:type="spellStart"/>
      <w:r w:rsidRPr="00D473EB">
        <w:rPr>
          <w:rFonts w:ascii="Lato" w:eastAsia="Times New Roman" w:hAnsi="Lato" w:cs="Times New Roman"/>
          <w:color w:val="000000"/>
          <w:spacing w:val="5"/>
          <w:sz w:val="24"/>
          <w:szCs w:val="24"/>
          <w:lang w:eastAsia="it-IT"/>
        </w:rPr>
        <w:t>piu'</w:t>
      </w:r>
      <w:proofErr w:type="spellEnd"/>
      <w:r w:rsidRPr="00D473EB">
        <w:rPr>
          <w:rFonts w:ascii="Lato" w:eastAsia="Times New Roman" w:hAnsi="Lato" w:cs="Times New Roman"/>
          <w:color w:val="000000"/>
          <w:spacing w:val="5"/>
          <w:sz w:val="24"/>
          <w:szCs w:val="24"/>
          <w:lang w:eastAsia="it-IT"/>
        </w:rPr>
        <w:t xml:space="preserve"> intensi, di quelli che potrebbero spettare ai soci di comando (anche totalitari) secondo i modelli codicistici di governance (v. Cass. SSUU n. 4316/20).</w:t>
      </w:r>
    </w:p>
    <w:p w14:paraId="663E189E"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b/>
          <w:bCs/>
          <w:color w:val="000000"/>
          <w:spacing w:val="5"/>
          <w:sz w:val="24"/>
          <w:szCs w:val="24"/>
          <w:lang w:eastAsia="it-IT"/>
        </w:rPr>
        <w:t xml:space="preserve">Ha osservato Cass. SSUU n. 14236/20 che: "Osta a tale interpretazione il dato letterale della norma che, qualificando il controllo esercitato come "analogo", intende propriamente affermare che esso non </w:t>
      </w:r>
      <w:proofErr w:type="spellStart"/>
      <w:proofErr w:type="gramStart"/>
      <w:r w:rsidRPr="00D473EB">
        <w:rPr>
          <w:rFonts w:ascii="Lato" w:eastAsia="Times New Roman" w:hAnsi="Lato" w:cs="Times New Roman"/>
          <w:b/>
          <w:bCs/>
          <w:color w:val="000000"/>
          <w:spacing w:val="5"/>
          <w:sz w:val="24"/>
          <w:szCs w:val="24"/>
          <w:lang w:eastAsia="it-IT"/>
        </w:rPr>
        <w:t>e'</w:t>
      </w:r>
      <w:proofErr w:type="spellEnd"/>
      <w:proofErr w:type="gramEnd"/>
      <w:r w:rsidRPr="00D473EB">
        <w:rPr>
          <w:rFonts w:ascii="Lato" w:eastAsia="Times New Roman" w:hAnsi="Lato" w:cs="Times New Roman"/>
          <w:b/>
          <w:bCs/>
          <w:color w:val="000000"/>
          <w:spacing w:val="5"/>
          <w:sz w:val="24"/>
          <w:szCs w:val="24"/>
          <w:lang w:eastAsia="it-IT"/>
        </w:rPr>
        <w:t xml:space="preserve"> uguale ma semplicemente simile a quello esercitato dall'ente pubblico sui propri servizi gestiti direttamente. Inoltre una interpretazione del "controllo analogo" tale per cui la </w:t>
      </w:r>
      <w:proofErr w:type="spellStart"/>
      <w:r w:rsidRPr="00D473EB">
        <w:rPr>
          <w:rFonts w:ascii="Lato" w:eastAsia="Times New Roman" w:hAnsi="Lato" w:cs="Times New Roman"/>
          <w:b/>
          <w:bCs/>
          <w:color w:val="000000"/>
          <w:spacing w:val="5"/>
          <w:sz w:val="24"/>
          <w:szCs w:val="24"/>
          <w:lang w:eastAsia="it-IT"/>
        </w:rPr>
        <w:t>societa'</w:t>
      </w:r>
      <w:proofErr w:type="spellEnd"/>
      <w:r w:rsidRPr="00D473EB">
        <w:rPr>
          <w:rFonts w:ascii="Lato" w:eastAsia="Times New Roman" w:hAnsi="Lato" w:cs="Times New Roman"/>
          <w:b/>
          <w:bCs/>
          <w:color w:val="000000"/>
          <w:spacing w:val="5"/>
          <w:sz w:val="24"/>
          <w:szCs w:val="24"/>
          <w:lang w:eastAsia="it-IT"/>
        </w:rPr>
        <w:t xml:space="preserve"> in house risulti assoggettata ad un potere di direzione gerarchica indistinguibile da quello esercitato dall'ente pubblico sulle proprie articolazioni interne appare incompatibile con i principi di autonomia patrimoniale e attribuzione della </w:t>
      </w:r>
      <w:proofErr w:type="spellStart"/>
      <w:r w:rsidRPr="00D473EB">
        <w:rPr>
          <w:rFonts w:ascii="Lato" w:eastAsia="Times New Roman" w:hAnsi="Lato" w:cs="Times New Roman"/>
          <w:b/>
          <w:bCs/>
          <w:color w:val="000000"/>
          <w:spacing w:val="5"/>
          <w:sz w:val="24"/>
          <w:szCs w:val="24"/>
          <w:lang w:eastAsia="it-IT"/>
        </w:rPr>
        <w:t>personalita'</w:t>
      </w:r>
      <w:proofErr w:type="spellEnd"/>
      <w:r w:rsidRPr="00D473EB">
        <w:rPr>
          <w:rFonts w:ascii="Lato" w:eastAsia="Times New Roman" w:hAnsi="Lato" w:cs="Times New Roman"/>
          <w:b/>
          <w:bCs/>
          <w:color w:val="000000"/>
          <w:spacing w:val="5"/>
          <w:sz w:val="24"/>
          <w:szCs w:val="24"/>
          <w:lang w:eastAsia="it-IT"/>
        </w:rPr>
        <w:t xml:space="preserve"> giuridica che il c.c. riconosce alla </w:t>
      </w:r>
      <w:proofErr w:type="spellStart"/>
      <w:r w:rsidRPr="00D473EB">
        <w:rPr>
          <w:rFonts w:ascii="Lato" w:eastAsia="Times New Roman" w:hAnsi="Lato" w:cs="Times New Roman"/>
          <w:b/>
          <w:bCs/>
          <w:color w:val="000000"/>
          <w:spacing w:val="5"/>
          <w:sz w:val="24"/>
          <w:szCs w:val="24"/>
          <w:lang w:eastAsia="it-IT"/>
        </w:rPr>
        <w:t>societa'</w:t>
      </w:r>
      <w:proofErr w:type="spellEnd"/>
      <w:r w:rsidRPr="00D473EB">
        <w:rPr>
          <w:rFonts w:ascii="Lato" w:eastAsia="Times New Roman" w:hAnsi="Lato" w:cs="Times New Roman"/>
          <w:b/>
          <w:bCs/>
          <w:color w:val="000000"/>
          <w:spacing w:val="5"/>
          <w:sz w:val="24"/>
          <w:szCs w:val="24"/>
          <w:lang w:eastAsia="it-IT"/>
        </w:rPr>
        <w:t xml:space="preserve"> di capitali</w:t>
      </w:r>
      <w:r w:rsidRPr="00D473EB">
        <w:rPr>
          <w:rFonts w:ascii="Lato" w:eastAsia="Times New Roman" w:hAnsi="Lato" w:cs="Times New Roman"/>
          <w:color w:val="000000"/>
          <w:spacing w:val="5"/>
          <w:sz w:val="24"/>
          <w:szCs w:val="24"/>
          <w:lang w:eastAsia="it-IT"/>
        </w:rPr>
        <w:t>".</w:t>
      </w:r>
    </w:p>
    <w:p w14:paraId="77435E8E"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Cass. SSUU n. 20632/22 cit. ha ribadito questa impostazione, escludendo che il controllo analogo si identifichi tout court in quello esercitato o esercitabile su un pubblico ufficio, ed indirizzandone la rilevanza e l'obiettivo "</w:t>
      </w:r>
      <w:r w:rsidRPr="00D473EB">
        <w:rPr>
          <w:rFonts w:ascii="Lato" w:eastAsia="Times New Roman" w:hAnsi="Lato" w:cs="Times New Roman"/>
          <w:b/>
          <w:bCs/>
          <w:color w:val="000000"/>
          <w:spacing w:val="5"/>
          <w:sz w:val="24"/>
          <w:szCs w:val="24"/>
          <w:u w:val="single"/>
          <w:lang w:eastAsia="it-IT"/>
        </w:rPr>
        <w:t xml:space="preserve">alle decisioni fondamentali del soggetto </w:t>
      </w:r>
      <w:proofErr w:type="spellStart"/>
      <w:r w:rsidRPr="00D473EB">
        <w:rPr>
          <w:rFonts w:ascii="Lato" w:eastAsia="Times New Roman" w:hAnsi="Lato" w:cs="Times New Roman"/>
          <w:b/>
          <w:bCs/>
          <w:color w:val="000000"/>
          <w:spacing w:val="5"/>
          <w:sz w:val="24"/>
          <w:szCs w:val="24"/>
          <w:u w:val="single"/>
          <w:lang w:eastAsia="it-IT"/>
        </w:rPr>
        <w:t>cosi'</w:t>
      </w:r>
      <w:proofErr w:type="spellEnd"/>
      <w:r w:rsidRPr="00D473EB">
        <w:rPr>
          <w:rFonts w:ascii="Lato" w:eastAsia="Times New Roman" w:hAnsi="Lato" w:cs="Times New Roman"/>
          <w:b/>
          <w:bCs/>
          <w:color w:val="000000"/>
          <w:spacing w:val="5"/>
          <w:sz w:val="24"/>
          <w:szCs w:val="24"/>
          <w:u w:val="single"/>
          <w:lang w:eastAsia="it-IT"/>
        </w:rPr>
        <w:t xml:space="preserve"> controllato, ovvero quelle riconducibili alle linee strategiche e alle </w:t>
      </w:r>
      <w:proofErr w:type="spellStart"/>
      <w:r w:rsidRPr="00D473EB">
        <w:rPr>
          <w:rFonts w:ascii="Lato" w:eastAsia="Times New Roman" w:hAnsi="Lato" w:cs="Times New Roman"/>
          <w:b/>
          <w:bCs/>
          <w:color w:val="000000"/>
          <w:spacing w:val="5"/>
          <w:sz w:val="24"/>
          <w:szCs w:val="24"/>
          <w:u w:val="single"/>
          <w:lang w:eastAsia="it-IT"/>
        </w:rPr>
        <w:t>piu'</w:t>
      </w:r>
      <w:proofErr w:type="spellEnd"/>
      <w:r w:rsidRPr="00D473EB">
        <w:rPr>
          <w:rFonts w:ascii="Lato" w:eastAsia="Times New Roman" w:hAnsi="Lato" w:cs="Times New Roman"/>
          <w:b/>
          <w:bCs/>
          <w:color w:val="000000"/>
          <w:spacing w:val="5"/>
          <w:sz w:val="24"/>
          <w:szCs w:val="24"/>
          <w:u w:val="single"/>
          <w:lang w:eastAsia="it-IT"/>
        </w:rPr>
        <w:t xml:space="preserve"> importanti scelte operative, con il presidio a monte di un adeguato flusso di informazioni, in modo tale quindi da incidere sulla complessiva governance </w:t>
      </w:r>
      <w:proofErr w:type="spellStart"/>
      <w:r w:rsidRPr="00D473EB">
        <w:rPr>
          <w:rFonts w:ascii="Lato" w:eastAsia="Times New Roman" w:hAnsi="Lato" w:cs="Times New Roman"/>
          <w:b/>
          <w:bCs/>
          <w:color w:val="000000"/>
          <w:spacing w:val="5"/>
          <w:sz w:val="24"/>
          <w:szCs w:val="24"/>
          <w:u w:val="single"/>
          <w:lang w:eastAsia="it-IT"/>
        </w:rPr>
        <w:t>dell'attivita'</w:t>
      </w:r>
      <w:proofErr w:type="spellEnd"/>
      <w:r w:rsidRPr="00D473EB">
        <w:rPr>
          <w:rFonts w:ascii="Lato" w:eastAsia="Times New Roman" w:hAnsi="Lato" w:cs="Times New Roman"/>
          <w:b/>
          <w:bCs/>
          <w:color w:val="000000"/>
          <w:spacing w:val="5"/>
          <w:sz w:val="24"/>
          <w:szCs w:val="24"/>
          <w:u w:val="single"/>
          <w:lang w:eastAsia="it-IT"/>
        </w:rPr>
        <w:t xml:space="preserve"> della </w:t>
      </w:r>
      <w:proofErr w:type="spellStart"/>
      <w:r w:rsidRPr="00D473EB">
        <w:rPr>
          <w:rFonts w:ascii="Lato" w:eastAsia="Times New Roman" w:hAnsi="Lato" w:cs="Times New Roman"/>
          <w:b/>
          <w:bCs/>
          <w:color w:val="000000"/>
          <w:spacing w:val="5"/>
          <w:sz w:val="24"/>
          <w:szCs w:val="24"/>
          <w:u w:val="single"/>
          <w:lang w:eastAsia="it-IT"/>
        </w:rPr>
        <w:t>societa'</w:t>
      </w:r>
      <w:proofErr w:type="spellEnd"/>
      <w:r w:rsidRPr="00D473EB">
        <w:rPr>
          <w:rFonts w:ascii="Lato" w:eastAsia="Times New Roman" w:hAnsi="Lato" w:cs="Times New Roman"/>
          <w:b/>
          <w:bCs/>
          <w:color w:val="000000"/>
          <w:spacing w:val="5"/>
          <w:sz w:val="24"/>
          <w:szCs w:val="24"/>
          <w:u w:val="single"/>
          <w:lang w:eastAsia="it-IT"/>
        </w:rPr>
        <w:t xml:space="preserve"> in house, per tenere in conto e preservare le </w:t>
      </w:r>
      <w:proofErr w:type="spellStart"/>
      <w:r w:rsidRPr="00D473EB">
        <w:rPr>
          <w:rFonts w:ascii="Lato" w:eastAsia="Times New Roman" w:hAnsi="Lato" w:cs="Times New Roman"/>
          <w:b/>
          <w:bCs/>
          <w:color w:val="000000"/>
          <w:spacing w:val="5"/>
          <w:sz w:val="24"/>
          <w:szCs w:val="24"/>
          <w:u w:val="single"/>
          <w:lang w:eastAsia="it-IT"/>
        </w:rPr>
        <w:t>finalita'</w:t>
      </w:r>
      <w:proofErr w:type="spellEnd"/>
      <w:r w:rsidRPr="00D473EB">
        <w:rPr>
          <w:rFonts w:ascii="Lato" w:eastAsia="Times New Roman" w:hAnsi="Lato" w:cs="Times New Roman"/>
          <w:b/>
          <w:bCs/>
          <w:color w:val="000000"/>
          <w:spacing w:val="5"/>
          <w:sz w:val="24"/>
          <w:szCs w:val="24"/>
          <w:u w:val="single"/>
          <w:lang w:eastAsia="it-IT"/>
        </w:rPr>
        <w:t xml:space="preserve"> pubbliche che comunque la permeano</w:t>
      </w:r>
      <w:r w:rsidRPr="00D473EB">
        <w:rPr>
          <w:rFonts w:ascii="Lato" w:eastAsia="Times New Roman" w:hAnsi="Lato" w:cs="Times New Roman"/>
          <w:color w:val="000000"/>
          <w:spacing w:val="5"/>
          <w:sz w:val="24"/>
          <w:szCs w:val="24"/>
          <w:lang w:eastAsia="it-IT"/>
        </w:rPr>
        <w:t xml:space="preserve"> (...)".</w:t>
      </w:r>
    </w:p>
    <w:p w14:paraId="6E8F62C5"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Resta dunque fermo il carattere istituzionalmente servente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in house quale articolazione della P.A. da cui promana, in contrapposizione alla natura di soggetto giuridico esterno ed autonomo da questa.</w:t>
      </w:r>
    </w:p>
    <w:p w14:paraId="0DCD231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E tuttavia il punto di equilibrio - rilevabile come detto nel tipo di condizionamento indotto sulle linee strategiche e le scelte operative fondamentali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 </w:t>
      </w:r>
      <w:r w:rsidRPr="00D473EB">
        <w:rPr>
          <w:rFonts w:ascii="Lato" w:eastAsia="Times New Roman" w:hAnsi="Lato" w:cs="Times New Roman"/>
          <w:b/>
          <w:bCs/>
          <w:color w:val="000000"/>
          <w:spacing w:val="5"/>
          <w:sz w:val="24"/>
          <w:szCs w:val="24"/>
          <w:lang w:eastAsia="it-IT"/>
        </w:rPr>
        <w:t>va posto tra un controllo che, da un lato, non si esaurisca in quello "ordinario", nel senso di normalmente esercitabile dal socio di maggioranza o totalitario</w:t>
      </w:r>
      <w:r w:rsidRPr="00D473EB">
        <w:rPr>
          <w:rFonts w:ascii="Lato" w:eastAsia="Times New Roman" w:hAnsi="Lato" w:cs="Times New Roman"/>
          <w:color w:val="000000"/>
          <w:spacing w:val="5"/>
          <w:sz w:val="24"/>
          <w:szCs w:val="24"/>
          <w:lang w:eastAsia="it-IT"/>
        </w:rPr>
        <w:t xml:space="preserve"> (il che, in sostanza, annullerebbe la rilevanza stessa del fenomeno "in house</w:t>
      </w:r>
      <w:r w:rsidRPr="00D473EB">
        <w:rPr>
          <w:rFonts w:ascii="Lato" w:eastAsia="Times New Roman" w:hAnsi="Lato" w:cs="Times New Roman"/>
          <w:b/>
          <w:bCs/>
          <w:color w:val="000000"/>
          <w:spacing w:val="5"/>
          <w:sz w:val="24"/>
          <w:szCs w:val="24"/>
          <w:lang w:eastAsia="it-IT"/>
        </w:rPr>
        <w:t xml:space="preserve">") </w:t>
      </w:r>
      <w:r w:rsidRPr="00D473EB">
        <w:rPr>
          <w:rFonts w:ascii="Lato" w:eastAsia="Times New Roman" w:hAnsi="Lato" w:cs="Times New Roman"/>
          <w:b/>
          <w:bCs/>
          <w:color w:val="000000"/>
          <w:spacing w:val="5"/>
          <w:sz w:val="24"/>
          <w:szCs w:val="24"/>
          <w:u w:val="single"/>
          <w:lang w:eastAsia="it-IT"/>
        </w:rPr>
        <w:t xml:space="preserve">e che, dall'altro, neppure si identifichi necessariamente in una soggezione assoluta e totalmente riproduttiva dei modelli di comando interni alla PA (il che priverebbe di rilievo, in pratica, la stessa autonomia e </w:t>
      </w:r>
      <w:proofErr w:type="spellStart"/>
      <w:r w:rsidRPr="00D473EB">
        <w:rPr>
          <w:rFonts w:ascii="Lato" w:eastAsia="Times New Roman" w:hAnsi="Lato" w:cs="Times New Roman"/>
          <w:b/>
          <w:bCs/>
          <w:color w:val="000000"/>
          <w:spacing w:val="5"/>
          <w:sz w:val="24"/>
          <w:szCs w:val="24"/>
          <w:u w:val="single"/>
          <w:lang w:eastAsia="it-IT"/>
        </w:rPr>
        <w:t>personalita'</w:t>
      </w:r>
      <w:proofErr w:type="spellEnd"/>
      <w:r w:rsidRPr="00D473EB">
        <w:rPr>
          <w:rFonts w:ascii="Lato" w:eastAsia="Times New Roman" w:hAnsi="Lato" w:cs="Times New Roman"/>
          <w:b/>
          <w:bCs/>
          <w:color w:val="000000"/>
          <w:spacing w:val="5"/>
          <w:sz w:val="24"/>
          <w:szCs w:val="24"/>
          <w:u w:val="single"/>
          <w:lang w:eastAsia="it-IT"/>
        </w:rPr>
        <w:t xml:space="preserve"> giuridica di diritto privato della </w:t>
      </w:r>
      <w:proofErr w:type="spellStart"/>
      <w:r w:rsidRPr="00D473EB">
        <w:rPr>
          <w:rFonts w:ascii="Lato" w:eastAsia="Times New Roman" w:hAnsi="Lato" w:cs="Times New Roman"/>
          <w:b/>
          <w:bCs/>
          <w:color w:val="000000"/>
          <w:spacing w:val="5"/>
          <w:sz w:val="24"/>
          <w:szCs w:val="24"/>
          <w:u w:val="single"/>
          <w:lang w:eastAsia="it-IT"/>
        </w:rPr>
        <w:t>societa'</w:t>
      </w:r>
      <w:proofErr w:type="spellEnd"/>
      <w:r w:rsidRPr="00D473EB">
        <w:rPr>
          <w:rFonts w:ascii="Lato" w:eastAsia="Times New Roman" w:hAnsi="Lato" w:cs="Times New Roman"/>
          <w:color w:val="000000"/>
          <w:spacing w:val="5"/>
          <w:sz w:val="24"/>
          <w:szCs w:val="24"/>
          <w:u w:val="single"/>
          <w:lang w:eastAsia="it-IT"/>
        </w:rPr>
        <w:t>).</w:t>
      </w:r>
    </w:p>
    <w:p w14:paraId="11C714A0"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p. 2.4.2 Orbene,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premesso non si ritiene dubitabile che anche il requisito del "controllo analogo" concorra a qualificare "in house" la Sardegna IT, secondo il quadro statutario che </w:t>
      </w:r>
      <w:proofErr w:type="spellStart"/>
      <w:r w:rsidRPr="00D473EB">
        <w:rPr>
          <w:rFonts w:ascii="Lato" w:eastAsia="Times New Roman" w:hAnsi="Lato" w:cs="Times New Roman"/>
          <w:color w:val="000000"/>
          <w:spacing w:val="5"/>
          <w:sz w:val="24"/>
          <w:szCs w:val="24"/>
          <w:lang w:eastAsia="it-IT"/>
        </w:rPr>
        <w:t>puo'</w:t>
      </w:r>
      <w:proofErr w:type="spellEnd"/>
      <w:r w:rsidRPr="00D473EB">
        <w:rPr>
          <w:rFonts w:ascii="Lato" w:eastAsia="Times New Roman" w:hAnsi="Lato" w:cs="Times New Roman"/>
          <w:color w:val="000000"/>
          <w:spacing w:val="5"/>
          <w:sz w:val="24"/>
          <w:szCs w:val="24"/>
          <w:lang w:eastAsia="it-IT"/>
        </w:rPr>
        <w:t xml:space="preserve"> </w:t>
      </w:r>
      <w:proofErr w:type="spellStart"/>
      <w:r w:rsidRPr="00D473EB">
        <w:rPr>
          <w:rFonts w:ascii="Lato" w:eastAsia="Times New Roman" w:hAnsi="Lato" w:cs="Times New Roman"/>
          <w:color w:val="000000"/>
          <w:spacing w:val="5"/>
          <w:sz w:val="24"/>
          <w:szCs w:val="24"/>
          <w:lang w:eastAsia="it-IT"/>
        </w:rPr>
        <w:t>cosi'</w:t>
      </w:r>
      <w:proofErr w:type="spellEnd"/>
      <w:r w:rsidRPr="00D473EB">
        <w:rPr>
          <w:rFonts w:ascii="Lato" w:eastAsia="Times New Roman" w:hAnsi="Lato" w:cs="Times New Roman"/>
          <w:color w:val="000000"/>
          <w:spacing w:val="5"/>
          <w:sz w:val="24"/>
          <w:szCs w:val="24"/>
          <w:lang w:eastAsia="it-IT"/>
        </w:rPr>
        <w:t xml:space="preserve"> individuarsi nelle disposizioni di maggiore rilevanza ai fini di causa.</w:t>
      </w:r>
    </w:p>
    <w:p w14:paraId="1D6F029D"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Nello statuto 2006 si prevede (art. 13, comma 1) che: "l'amministrazione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affidata ad un amministratore unico la cui nomina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riservata al presidente della RAS previa conforme delibera di Giunta". Stabilisce poi l'art. 14 che: "non sono attribuiti particolari diritti amministrativi ad alcun socio, fatta eccezione per i seguenti diritti attribuiti in via esclusiva alla RAS </w:t>
      </w:r>
      <w:r w:rsidRPr="00D473EB">
        <w:rPr>
          <w:rFonts w:ascii="Lato" w:eastAsia="Times New Roman" w:hAnsi="Lato" w:cs="Times New Roman"/>
          <w:b/>
          <w:bCs/>
          <w:color w:val="000000"/>
          <w:spacing w:val="5"/>
          <w:sz w:val="24"/>
          <w:szCs w:val="24"/>
          <w:lang w:eastAsia="it-IT"/>
        </w:rPr>
        <w:t>(...): approvazione del piano strategico, del programma annuale previsto nel successivo art. 16 e del budget finanziario ed economico</w:t>
      </w:r>
      <w:r w:rsidRPr="00D473EB">
        <w:rPr>
          <w:rFonts w:ascii="Lato" w:eastAsia="Times New Roman" w:hAnsi="Lato" w:cs="Times New Roman"/>
          <w:color w:val="000000"/>
          <w:spacing w:val="5"/>
          <w:sz w:val="24"/>
          <w:szCs w:val="24"/>
          <w:lang w:eastAsia="it-IT"/>
        </w:rPr>
        <w:t xml:space="preserve">; tali documenti devono, a tal fine, essere comunicati alla Giunta entro la data del 31 ottobre di ciascun anno; approvazione del bilancio preventivo; nomina e revoca dell'AU e determinazione dell'eventuale compenso; nomina e revoca dei componenti effettivi e supplenti del collegio sindacale del suo presidente". </w:t>
      </w:r>
      <w:r w:rsidRPr="00D473EB">
        <w:rPr>
          <w:rFonts w:ascii="Lato" w:eastAsia="Times New Roman" w:hAnsi="Lato" w:cs="Times New Roman"/>
          <w:b/>
          <w:bCs/>
          <w:color w:val="000000"/>
          <w:spacing w:val="5"/>
          <w:sz w:val="24"/>
          <w:szCs w:val="24"/>
          <w:lang w:eastAsia="it-IT"/>
        </w:rPr>
        <w:t xml:space="preserve">L'art. 16 comma 5 recita poi che: "il programma annuale di </w:t>
      </w:r>
      <w:proofErr w:type="spellStart"/>
      <w:r w:rsidRPr="00D473EB">
        <w:rPr>
          <w:rFonts w:ascii="Lato" w:eastAsia="Times New Roman" w:hAnsi="Lato" w:cs="Times New Roman"/>
          <w:b/>
          <w:bCs/>
          <w:color w:val="000000"/>
          <w:spacing w:val="5"/>
          <w:sz w:val="24"/>
          <w:szCs w:val="24"/>
          <w:lang w:eastAsia="it-IT"/>
        </w:rPr>
        <w:t>attivita'</w:t>
      </w:r>
      <w:proofErr w:type="spellEnd"/>
      <w:r w:rsidRPr="00D473EB">
        <w:rPr>
          <w:rFonts w:ascii="Lato" w:eastAsia="Times New Roman" w:hAnsi="Lato" w:cs="Times New Roman"/>
          <w:b/>
          <w:bCs/>
          <w:color w:val="000000"/>
          <w:spacing w:val="5"/>
          <w:sz w:val="24"/>
          <w:szCs w:val="24"/>
          <w:lang w:eastAsia="it-IT"/>
        </w:rPr>
        <w:t xml:space="preserve"> deve recare indicazione delle </w:t>
      </w:r>
      <w:proofErr w:type="spellStart"/>
      <w:r w:rsidRPr="00D473EB">
        <w:rPr>
          <w:rFonts w:ascii="Lato" w:eastAsia="Times New Roman" w:hAnsi="Lato" w:cs="Times New Roman"/>
          <w:b/>
          <w:bCs/>
          <w:color w:val="000000"/>
          <w:spacing w:val="5"/>
          <w:sz w:val="24"/>
          <w:szCs w:val="24"/>
          <w:lang w:eastAsia="it-IT"/>
        </w:rPr>
        <w:t>attivita'</w:t>
      </w:r>
      <w:proofErr w:type="spellEnd"/>
      <w:r w:rsidRPr="00D473EB">
        <w:rPr>
          <w:rFonts w:ascii="Lato" w:eastAsia="Times New Roman" w:hAnsi="Lato" w:cs="Times New Roman"/>
          <w:b/>
          <w:bCs/>
          <w:color w:val="000000"/>
          <w:spacing w:val="5"/>
          <w:sz w:val="24"/>
          <w:szCs w:val="24"/>
          <w:lang w:eastAsia="it-IT"/>
        </w:rPr>
        <w:t xml:space="preserve"> svolte interamente a favore della Regione, in considerazione del ruolo di servizio per la Regione medesima</w:t>
      </w:r>
      <w:r w:rsidRPr="00D473EB">
        <w:rPr>
          <w:rFonts w:ascii="Lato" w:eastAsia="Times New Roman" w:hAnsi="Lato" w:cs="Times New Roman"/>
          <w:color w:val="000000"/>
          <w:spacing w:val="5"/>
          <w:sz w:val="24"/>
          <w:szCs w:val="24"/>
          <w:lang w:eastAsia="it-IT"/>
        </w:rPr>
        <w:t>".</w:t>
      </w:r>
    </w:p>
    <w:p w14:paraId="46C3F543"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Nello statuto 2011, prescrive l'art. 19: "la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amministrata da un consiglio di amministrazione composto da tre membri anche non soci la cui nomina (...)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riservata al presidente della RAS previa conforme delibera della Giunta"; l'art. 20 riproduce il su </w:t>
      </w:r>
      <w:r w:rsidRPr="00D473EB">
        <w:rPr>
          <w:rFonts w:ascii="Lato" w:eastAsia="Times New Roman" w:hAnsi="Lato" w:cs="Times New Roman"/>
          <w:color w:val="000000"/>
          <w:spacing w:val="5"/>
          <w:sz w:val="24"/>
          <w:szCs w:val="24"/>
          <w:lang w:eastAsia="it-IT"/>
        </w:rPr>
        <w:lastRenderedPageBreak/>
        <w:t>riportato art. 14 sui "diritti amministrativi" spettanti alla RAS. Secondo l'art. 31.1 "indirizzi dell'assemblea", l'organo amministrativo ha l'obbligo "di attenersi, nell'attuazione dei suoi compiti, agli indirizzi generali necessari al raggiungimento degli obiettivi di interesse collettivo determinati dall'assemblea", mentre l'art. 31.2: "Vigilanza", disciplina il potere di controllo attribuito alla RAS "tramite i propri rappresentanti in seno all'assemblea" sull'esecuzione degli indirizzi e delle direttive regionali.</w:t>
      </w:r>
    </w:p>
    <w:p w14:paraId="66A4D5F7"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Nello statuto 2013, infine, l'art. 8 stabilisce: "</w:t>
      </w:r>
      <w:proofErr w:type="spellStart"/>
      <w:r w:rsidRPr="00D473EB">
        <w:rPr>
          <w:rFonts w:ascii="Lato" w:eastAsia="Times New Roman" w:hAnsi="Lato" w:cs="Times New Roman"/>
          <w:color w:val="000000"/>
          <w:spacing w:val="5"/>
          <w:sz w:val="24"/>
          <w:szCs w:val="24"/>
          <w:lang w:eastAsia="it-IT"/>
        </w:rPr>
        <w:t>modalita'</w:t>
      </w:r>
      <w:proofErr w:type="spellEnd"/>
      <w:r w:rsidRPr="00D473EB">
        <w:rPr>
          <w:rFonts w:ascii="Lato" w:eastAsia="Times New Roman" w:hAnsi="Lato" w:cs="Times New Roman"/>
          <w:color w:val="000000"/>
          <w:spacing w:val="5"/>
          <w:sz w:val="24"/>
          <w:szCs w:val="24"/>
          <w:lang w:eastAsia="it-IT"/>
        </w:rPr>
        <w:t xml:space="preserve"> del controllo analogo. 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 xml:space="preserve"> </w:t>
      </w:r>
      <w:proofErr w:type="spellStart"/>
      <w:proofErr w:type="gramStart"/>
      <w:r w:rsidRPr="00D473EB">
        <w:rPr>
          <w:rFonts w:ascii="Lato" w:eastAsia="Times New Roman" w:hAnsi="Lato" w:cs="Times New Roman"/>
          <w:color w:val="000000"/>
          <w:spacing w:val="5"/>
          <w:sz w:val="24"/>
          <w:szCs w:val="24"/>
          <w:lang w:eastAsia="it-IT"/>
        </w:rPr>
        <w:t>e'</w:t>
      </w:r>
      <w:proofErr w:type="spellEnd"/>
      <w:proofErr w:type="gramEnd"/>
      <w:r w:rsidRPr="00D473EB">
        <w:rPr>
          <w:rFonts w:ascii="Lato" w:eastAsia="Times New Roman" w:hAnsi="Lato" w:cs="Times New Roman"/>
          <w:color w:val="000000"/>
          <w:spacing w:val="5"/>
          <w:sz w:val="24"/>
          <w:szCs w:val="24"/>
          <w:lang w:eastAsia="it-IT"/>
        </w:rPr>
        <w:t xml:space="preserve"> soggetta a poteri di direzione e controllo da parte della RAS di tipo analogo a quelli esercitati sui propri servizi, secondo contenuti e </w:t>
      </w:r>
      <w:proofErr w:type="spellStart"/>
      <w:r w:rsidRPr="00D473EB">
        <w:rPr>
          <w:rFonts w:ascii="Lato" w:eastAsia="Times New Roman" w:hAnsi="Lato" w:cs="Times New Roman"/>
          <w:color w:val="000000"/>
          <w:spacing w:val="5"/>
          <w:sz w:val="24"/>
          <w:szCs w:val="24"/>
          <w:lang w:eastAsia="it-IT"/>
        </w:rPr>
        <w:t>modalita'</w:t>
      </w:r>
      <w:proofErr w:type="spellEnd"/>
      <w:r w:rsidRPr="00D473EB">
        <w:rPr>
          <w:rFonts w:ascii="Lato" w:eastAsia="Times New Roman" w:hAnsi="Lato" w:cs="Times New Roman"/>
          <w:color w:val="000000"/>
          <w:spacing w:val="5"/>
          <w:sz w:val="24"/>
          <w:szCs w:val="24"/>
          <w:lang w:eastAsia="it-IT"/>
        </w:rPr>
        <w:t xml:space="preserve"> stabiliti dalla giunta regionale".</w:t>
      </w:r>
    </w:p>
    <w:p w14:paraId="5CB161A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Il ricorrente - anche in memoria - enfatizza quelle clausole statutarie che, nella loro versione diacronica, confermano in effetti l'attribuzione di ampi poteri gestori all'organo amministrativo - unico, collegiale o delegato - secondo i parametri codicistici. E tuttavia, sulla base dei principi poc'anzi ripercorsi, non sembra che </w:t>
      </w:r>
      <w:proofErr w:type="spellStart"/>
      <w:r w:rsidRPr="00D473EB">
        <w:rPr>
          <w:rFonts w:ascii="Lato" w:eastAsia="Times New Roman" w:hAnsi="Lato" w:cs="Times New Roman"/>
          <w:color w:val="000000"/>
          <w:spacing w:val="5"/>
          <w:sz w:val="24"/>
          <w:szCs w:val="24"/>
          <w:lang w:eastAsia="it-IT"/>
        </w:rPr>
        <w:t>cio'</w:t>
      </w:r>
      <w:proofErr w:type="spellEnd"/>
      <w:r w:rsidRPr="00D473EB">
        <w:rPr>
          <w:rFonts w:ascii="Lato" w:eastAsia="Times New Roman" w:hAnsi="Lato" w:cs="Times New Roman"/>
          <w:color w:val="000000"/>
          <w:spacing w:val="5"/>
          <w:sz w:val="24"/>
          <w:szCs w:val="24"/>
          <w:lang w:eastAsia="it-IT"/>
        </w:rPr>
        <w:t xml:space="preserve"> sia in grado di </w:t>
      </w:r>
      <w:proofErr w:type="spellStart"/>
      <w:r w:rsidRPr="00D473EB">
        <w:rPr>
          <w:rFonts w:ascii="Lato" w:eastAsia="Times New Roman" w:hAnsi="Lato" w:cs="Times New Roman"/>
          <w:color w:val="000000"/>
          <w:spacing w:val="5"/>
          <w:sz w:val="24"/>
          <w:szCs w:val="24"/>
          <w:lang w:eastAsia="it-IT"/>
        </w:rPr>
        <w:t>di</w:t>
      </w:r>
      <w:proofErr w:type="spellEnd"/>
      <w:r w:rsidRPr="00D473EB">
        <w:rPr>
          <w:rFonts w:ascii="Lato" w:eastAsia="Times New Roman" w:hAnsi="Lato" w:cs="Times New Roman"/>
          <w:color w:val="000000"/>
          <w:spacing w:val="5"/>
          <w:sz w:val="24"/>
          <w:szCs w:val="24"/>
          <w:lang w:eastAsia="it-IT"/>
        </w:rPr>
        <w:t xml:space="preserve"> per se' contraddire ed escludere l'esercizio di un "controllo analogo" tale da individuare la Sardegna IT quale longa manus della quale la Regione autonoma si avvale per il conseguimento dell'oggetto sociale, caratterizzato quest'ultimo da un'evidente funzione di servizio nei confronti della Regione stessa e degli altri enti regionali con i quali la stessa Regione istituzionalmente si rapporta indicandoli come destinatari </w:t>
      </w:r>
      <w:proofErr w:type="spellStart"/>
      <w:r w:rsidRPr="00D473EB">
        <w:rPr>
          <w:rFonts w:ascii="Lato" w:eastAsia="Times New Roman" w:hAnsi="Lato" w:cs="Times New Roman"/>
          <w:color w:val="000000"/>
          <w:spacing w:val="5"/>
          <w:sz w:val="24"/>
          <w:szCs w:val="24"/>
          <w:lang w:eastAsia="it-IT"/>
        </w:rPr>
        <w:t>dell'attivita'</w:t>
      </w:r>
      <w:proofErr w:type="spellEnd"/>
      <w:r w:rsidRPr="00D473EB">
        <w:rPr>
          <w:rFonts w:ascii="Lato" w:eastAsia="Times New Roman" w:hAnsi="Lato" w:cs="Times New Roman"/>
          <w:color w:val="000000"/>
          <w:spacing w:val="5"/>
          <w:sz w:val="24"/>
          <w:szCs w:val="24"/>
          <w:lang w:eastAsia="it-IT"/>
        </w:rPr>
        <w:t xml:space="preserve"> sociale (v. sopra, p. 2.3).</w:t>
      </w:r>
    </w:p>
    <w:p w14:paraId="1BFB7C30"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In tal senso depongono: - il potere di nomina e revoca di amministratori e sindaci da parte del Presidente della Regione previa delibera di Giunta; - la previsione di diritti amministrativi eccezionali (nel senso di non rientranti nei parametri strettamente privatistici di governo societario) </w:t>
      </w:r>
      <w:r w:rsidRPr="00D473EB">
        <w:rPr>
          <w:rFonts w:ascii="Lato" w:eastAsia="Times New Roman" w:hAnsi="Lato" w:cs="Times New Roman"/>
          <w:b/>
          <w:bCs/>
          <w:color w:val="000000"/>
          <w:spacing w:val="5"/>
          <w:sz w:val="24"/>
          <w:szCs w:val="24"/>
          <w:lang w:eastAsia="it-IT"/>
        </w:rPr>
        <w:t xml:space="preserve">in capo al socio-Regione, quanto ad approvazione (oltre al bilancio preventivo) del piano strategico, del programma annuale (che deve recare indicazione delle </w:t>
      </w:r>
      <w:proofErr w:type="spellStart"/>
      <w:r w:rsidRPr="00D473EB">
        <w:rPr>
          <w:rFonts w:ascii="Lato" w:eastAsia="Times New Roman" w:hAnsi="Lato" w:cs="Times New Roman"/>
          <w:b/>
          <w:bCs/>
          <w:color w:val="000000"/>
          <w:spacing w:val="5"/>
          <w:sz w:val="24"/>
          <w:szCs w:val="24"/>
          <w:lang w:eastAsia="it-IT"/>
        </w:rPr>
        <w:t>attivita'</w:t>
      </w:r>
      <w:proofErr w:type="spellEnd"/>
      <w:r w:rsidRPr="00D473EB">
        <w:rPr>
          <w:rFonts w:ascii="Lato" w:eastAsia="Times New Roman" w:hAnsi="Lato" w:cs="Times New Roman"/>
          <w:b/>
          <w:bCs/>
          <w:color w:val="000000"/>
          <w:spacing w:val="5"/>
          <w:sz w:val="24"/>
          <w:szCs w:val="24"/>
          <w:lang w:eastAsia="it-IT"/>
        </w:rPr>
        <w:t xml:space="preserve"> svolte interamente a favore della Regione, in considerazione del ruolo di servizio per la Regione medesima) e del budget finanziario ed economico; - l'obbligo statutario di far pervenire "alla Giunta" i relativi documenti ogni anno entro una data prestabilita</w:t>
      </w:r>
      <w:r w:rsidRPr="00D473EB">
        <w:rPr>
          <w:rFonts w:ascii="Lato" w:eastAsia="Times New Roman" w:hAnsi="Lato" w:cs="Times New Roman"/>
          <w:color w:val="000000"/>
          <w:spacing w:val="5"/>
          <w:sz w:val="24"/>
          <w:szCs w:val="24"/>
          <w:lang w:eastAsia="it-IT"/>
        </w:rPr>
        <w:t xml:space="preserve"> (il "flusso informativo" funzionale all'emanazione consapevole delle direttive di periodo di cui in Cass. SSUU n. 20632/22 cit.) proprio al fine di rendere possibile il controllo similmente a quanto potrebbe accadere nel rapporto con uffici o dipartimenti </w:t>
      </w:r>
      <w:proofErr w:type="spellStart"/>
      <w:r w:rsidRPr="00D473EB">
        <w:rPr>
          <w:rFonts w:ascii="Lato" w:eastAsia="Times New Roman" w:hAnsi="Lato" w:cs="Times New Roman"/>
          <w:color w:val="000000"/>
          <w:spacing w:val="5"/>
          <w:sz w:val="24"/>
          <w:szCs w:val="24"/>
          <w:lang w:eastAsia="it-IT"/>
        </w:rPr>
        <w:t>sottordinati</w:t>
      </w:r>
      <w:proofErr w:type="spellEnd"/>
      <w:r w:rsidRPr="00D473EB">
        <w:rPr>
          <w:rFonts w:ascii="Lato" w:eastAsia="Times New Roman" w:hAnsi="Lato" w:cs="Times New Roman"/>
          <w:color w:val="000000"/>
          <w:spacing w:val="5"/>
          <w:sz w:val="24"/>
          <w:szCs w:val="24"/>
          <w:lang w:eastAsia="it-IT"/>
        </w:rPr>
        <w:t xml:space="preserve"> all'ente pubblico.</w:t>
      </w:r>
    </w:p>
    <w:p w14:paraId="19D80C57"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In definitiva, seppure il requisito in parola venga esplicitato a chiare lettere soltanto nello statuto 2013, esso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in </w:t>
      </w:r>
      <w:proofErr w:type="spellStart"/>
      <w:r w:rsidRPr="00D473EB">
        <w:rPr>
          <w:rFonts w:ascii="Lato" w:eastAsia="Times New Roman" w:hAnsi="Lato" w:cs="Times New Roman"/>
          <w:color w:val="000000"/>
          <w:spacing w:val="5"/>
          <w:sz w:val="24"/>
          <w:szCs w:val="24"/>
          <w:lang w:eastAsia="it-IT"/>
        </w:rPr>
        <w:t>realta'</w:t>
      </w:r>
      <w:proofErr w:type="spellEnd"/>
      <w:r w:rsidRPr="00D473EB">
        <w:rPr>
          <w:rFonts w:ascii="Lato" w:eastAsia="Times New Roman" w:hAnsi="Lato" w:cs="Times New Roman"/>
          <w:color w:val="000000"/>
          <w:spacing w:val="5"/>
          <w:sz w:val="24"/>
          <w:szCs w:val="24"/>
          <w:lang w:eastAsia="it-IT"/>
        </w:rPr>
        <w:t xml:space="preserve"> rinvenibile </w:t>
      </w:r>
      <w:proofErr w:type="spellStart"/>
      <w:r w:rsidRPr="00D473EB">
        <w:rPr>
          <w:rFonts w:ascii="Lato" w:eastAsia="Times New Roman" w:hAnsi="Lato" w:cs="Times New Roman"/>
          <w:color w:val="000000"/>
          <w:spacing w:val="5"/>
          <w:sz w:val="24"/>
          <w:szCs w:val="24"/>
          <w:lang w:eastAsia="it-IT"/>
        </w:rPr>
        <w:t>gia'</w:t>
      </w:r>
      <w:proofErr w:type="spellEnd"/>
      <w:r w:rsidRPr="00D473EB">
        <w:rPr>
          <w:rFonts w:ascii="Lato" w:eastAsia="Times New Roman" w:hAnsi="Lato" w:cs="Times New Roman"/>
          <w:color w:val="000000"/>
          <w:spacing w:val="5"/>
          <w:sz w:val="24"/>
          <w:szCs w:val="24"/>
          <w:lang w:eastAsia="it-IT"/>
        </w:rPr>
        <w:t xml:space="preserve"> negli statuti 2006 e 2011, in quanto anch'essi caratterizzati dalla subordinazione dell'autonomia gestoria dell'organo amministrativo di emanazione regionale alla funzione di servizio nei confronti della Regione ed al controllo analogo da quest'ultima esercitato, con </w:t>
      </w:r>
      <w:proofErr w:type="spellStart"/>
      <w:r w:rsidRPr="00D473EB">
        <w:rPr>
          <w:rFonts w:ascii="Lato" w:eastAsia="Times New Roman" w:hAnsi="Lato" w:cs="Times New Roman"/>
          <w:color w:val="000000"/>
          <w:spacing w:val="5"/>
          <w:sz w:val="24"/>
          <w:szCs w:val="24"/>
          <w:lang w:eastAsia="it-IT"/>
        </w:rPr>
        <w:t>intensita'</w:t>
      </w:r>
      <w:proofErr w:type="spellEnd"/>
      <w:r w:rsidRPr="00D473EB">
        <w:rPr>
          <w:rFonts w:ascii="Lato" w:eastAsia="Times New Roman" w:hAnsi="Lato" w:cs="Times New Roman"/>
          <w:color w:val="000000"/>
          <w:spacing w:val="5"/>
          <w:sz w:val="24"/>
          <w:szCs w:val="24"/>
          <w:lang w:eastAsia="it-IT"/>
        </w:rPr>
        <w:t xml:space="preserve"> certo non equivalente a quella propria del controllo societario "privatistico", sulle scelte fondamentali e le linee strategiche della </w:t>
      </w:r>
      <w:proofErr w:type="spellStart"/>
      <w:r w:rsidRPr="00D473EB">
        <w:rPr>
          <w:rFonts w:ascii="Lato" w:eastAsia="Times New Roman" w:hAnsi="Lato" w:cs="Times New Roman"/>
          <w:color w:val="000000"/>
          <w:spacing w:val="5"/>
          <w:sz w:val="24"/>
          <w:szCs w:val="24"/>
          <w:lang w:eastAsia="it-IT"/>
        </w:rPr>
        <w:t>societa'</w:t>
      </w:r>
      <w:proofErr w:type="spellEnd"/>
      <w:r w:rsidRPr="00D473EB">
        <w:rPr>
          <w:rFonts w:ascii="Lato" w:eastAsia="Times New Roman" w:hAnsi="Lato" w:cs="Times New Roman"/>
          <w:color w:val="000000"/>
          <w:spacing w:val="5"/>
          <w:sz w:val="24"/>
          <w:szCs w:val="24"/>
          <w:lang w:eastAsia="it-IT"/>
        </w:rPr>
        <w:t>.</w:t>
      </w:r>
    </w:p>
    <w:p w14:paraId="105E235A"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E non </w:t>
      </w:r>
      <w:proofErr w:type="spellStart"/>
      <w:r w:rsidRPr="00D473EB">
        <w:rPr>
          <w:rFonts w:ascii="Lato" w:eastAsia="Times New Roman" w:hAnsi="Lato" w:cs="Times New Roman"/>
          <w:color w:val="000000"/>
          <w:spacing w:val="5"/>
          <w:sz w:val="24"/>
          <w:szCs w:val="24"/>
          <w:lang w:eastAsia="it-IT"/>
        </w:rPr>
        <w:t>puo'</w:t>
      </w:r>
      <w:proofErr w:type="spellEnd"/>
      <w:r w:rsidRPr="00D473EB">
        <w:rPr>
          <w:rFonts w:ascii="Lato" w:eastAsia="Times New Roman" w:hAnsi="Lato" w:cs="Times New Roman"/>
          <w:color w:val="000000"/>
          <w:spacing w:val="5"/>
          <w:sz w:val="24"/>
          <w:szCs w:val="24"/>
          <w:lang w:eastAsia="it-IT"/>
        </w:rPr>
        <w:t xml:space="preserve"> essere del tutto privo di significato che, in questo contesto, lo stesso addebito mosso al B. di percezione di compensi e vantaggi eccedenti </w:t>
      </w:r>
      <w:proofErr w:type="spellStart"/>
      <w:r w:rsidRPr="00D473EB">
        <w:rPr>
          <w:rFonts w:ascii="Lato" w:eastAsia="Times New Roman" w:hAnsi="Lato" w:cs="Times New Roman"/>
          <w:color w:val="000000"/>
          <w:spacing w:val="5"/>
          <w:sz w:val="24"/>
          <w:szCs w:val="24"/>
          <w:lang w:eastAsia="it-IT"/>
        </w:rPr>
        <w:t>l'indennita'</w:t>
      </w:r>
      <w:proofErr w:type="spellEnd"/>
      <w:r w:rsidRPr="00D473EB">
        <w:rPr>
          <w:rFonts w:ascii="Lato" w:eastAsia="Times New Roman" w:hAnsi="Lato" w:cs="Times New Roman"/>
          <w:color w:val="000000"/>
          <w:spacing w:val="5"/>
          <w:sz w:val="24"/>
          <w:szCs w:val="24"/>
          <w:lang w:eastAsia="it-IT"/>
        </w:rPr>
        <w:t xml:space="preserve"> annuale spettante all'organo gestorio, muova da una previsione di </w:t>
      </w:r>
      <w:proofErr w:type="spellStart"/>
      <w:r w:rsidRPr="00D473EB">
        <w:rPr>
          <w:rFonts w:ascii="Lato" w:eastAsia="Times New Roman" w:hAnsi="Lato" w:cs="Times New Roman"/>
          <w:color w:val="000000"/>
          <w:spacing w:val="5"/>
          <w:sz w:val="24"/>
          <w:szCs w:val="24"/>
          <w:lang w:eastAsia="it-IT"/>
        </w:rPr>
        <w:t>onnicomprensivita'</w:t>
      </w:r>
      <w:proofErr w:type="spellEnd"/>
      <w:r w:rsidRPr="00D473EB">
        <w:rPr>
          <w:rFonts w:ascii="Lato" w:eastAsia="Times New Roman" w:hAnsi="Lato" w:cs="Times New Roman"/>
          <w:color w:val="000000"/>
          <w:spacing w:val="5"/>
          <w:sz w:val="24"/>
          <w:szCs w:val="24"/>
          <w:lang w:eastAsia="it-IT"/>
        </w:rPr>
        <w:t xml:space="preserve"> di quest'ultima </w:t>
      </w:r>
      <w:proofErr w:type="spellStart"/>
      <w:r w:rsidRPr="00D473EB">
        <w:rPr>
          <w:rFonts w:ascii="Lato" w:eastAsia="Times New Roman" w:hAnsi="Lato" w:cs="Times New Roman"/>
          <w:color w:val="000000"/>
          <w:spacing w:val="5"/>
          <w:sz w:val="24"/>
          <w:szCs w:val="24"/>
          <w:lang w:eastAsia="it-IT"/>
        </w:rPr>
        <w:t>indennita'</w:t>
      </w:r>
      <w:proofErr w:type="spellEnd"/>
      <w:r w:rsidRPr="00D473EB">
        <w:rPr>
          <w:rFonts w:ascii="Lato" w:eastAsia="Times New Roman" w:hAnsi="Lato" w:cs="Times New Roman"/>
          <w:color w:val="000000"/>
          <w:spacing w:val="5"/>
          <w:sz w:val="24"/>
          <w:szCs w:val="24"/>
          <w:lang w:eastAsia="it-IT"/>
        </w:rPr>
        <w:t xml:space="preserve"> stabilita con delibera non assembleare, ma di Giunta (sent.pag.2 e delibera in atti).</w:t>
      </w:r>
    </w:p>
    <w:p w14:paraId="067EDA96"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La doglianza non </w:t>
      </w:r>
      <w:proofErr w:type="spellStart"/>
      <w:r w:rsidRPr="00D473EB">
        <w:rPr>
          <w:rFonts w:ascii="Lato" w:eastAsia="Times New Roman" w:hAnsi="Lato" w:cs="Times New Roman"/>
          <w:color w:val="000000"/>
          <w:spacing w:val="5"/>
          <w:sz w:val="24"/>
          <w:szCs w:val="24"/>
          <w:lang w:eastAsia="it-IT"/>
        </w:rPr>
        <w:t>puo'</w:t>
      </w:r>
      <w:proofErr w:type="spellEnd"/>
      <w:r w:rsidRPr="00D473EB">
        <w:rPr>
          <w:rFonts w:ascii="Lato" w:eastAsia="Times New Roman" w:hAnsi="Lato" w:cs="Times New Roman"/>
          <w:color w:val="000000"/>
          <w:spacing w:val="5"/>
          <w:sz w:val="24"/>
          <w:szCs w:val="24"/>
          <w:lang w:eastAsia="it-IT"/>
        </w:rPr>
        <w:t xml:space="preserve"> dunque trovare accoglimento neppure sotto questo profilo, osservandosi che se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vero che, come pure lamentato dal B., l'analisi della Corte dei Conti si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concentrata essenzialmente sullo statuto del 2006, pur a fronte della contestazione di condotte illecite protrattesi anche sotto la vigenza di ben due statuti successivi, altrettanto indubbio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che, ravvisata la </w:t>
      </w:r>
      <w:proofErr w:type="spellStart"/>
      <w:r w:rsidRPr="00D473EB">
        <w:rPr>
          <w:rFonts w:ascii="Lato" w:eastAsia="Times New Roman" w:hAnsi="Lato" w:cs="Times New Roman"/>
          <w:color w:val="000000"/>
          <w:spacing w:val="5"/>
          <w:sz w:val="24"/>
          <w:szCs w:val="24"/>
          <w:lang w:eastAsia="it-IT"/>
        </w:rPr>
        <w:t>qualita'</w:t>
      </w:r>
      <w:proofErr w:type="spellEnd"/>
      <w:r w:rsidRPr="00D473EB">
        <w:rPr>
          <w:rFonts w:ascii="Lato" w:eastAsia="Times New Roman" w:hAnsi="Lato" w:cs="Times New Roman"/>
          <w:color w:val="000000"/>
          <w:spacing w:val="5"/>
          <w:sz w:val="24"/>
          <w:szCs w:val="24"/>
          <w:lang w:eastAsia="it-IT"/>
        </w:rPr>
        <w:t xml:space="preserve"> "in house </w:t>
      </w:r>
      <w:proofErr w:type="spellStart"/>
      <w:r w:rsidRPr="00D473EB">
        <w:rPr>
          <w:rFonts w:ascii="Lato" w:eastAsia="Times New Roman" w:hAnsi="Lato" w:cs="Times New Roman"/>
          <w:color w:val="000000"/>
          <w:spacing w:val="5"/>
          <w:sz w:val="24"/>
          <w:szCs w:val="24"/>
          <w:lang w:eastAsia="it-IT"/>
        </w:rPr>
        <w:t>providing</w:t>
      </w:r>
      <w:proofErr w:type="spellEnd"/>
      <w:r w:rsidRPr="00D473EB">
        <w:rPr>
          <w:rFonts w:ascii="Lato" w:eastAsia="Times New Roman" w:hAnsi="Lato" w:cs="Times New Roman"/>
          <w:color w:val="000000"/>
          <w:spacing w:val="5"/>
          <w:sz w:val="24"/>
          <w:szCs w:val="24"/>
          <w:lang w:eastAsia="it-IT"/>
        </w:rPr>
        <w:t xml:space="preserve">" in forza del primo statuto, a maggior ragione questa </w:t>
      </w:r>
      <w:proofErr w:type="spellStart"/>
      <w:r w:rsidRPr="00D473EB">
        <w:rPr>
          <w:rFonts w:ascii="Lato" w:eastAsia="Times New Roman" w:hAnsi="Lato" w:cs="Times New Roman"/>
          <w:color w:val="000000"/>
          <w:spacing w:val="5"/>
          <w:sz w:val="24"/>
          <w:szCs w:val="24"/>
          <w:lang w:eastAsia="it-IT"/>
        </w:rPr>
        <w:t>qualita'</w:t>
      </w:r>
      <w:proofErr w:type="spellEnd"/>
      <w:r w:rsidRPr="00D473EB">
        <w:rPr>
          <w:rFonts w:ascii="Lato" w:eastAsia="Times New Roman" w:hAnsi="Lato" w:cs="Times New Roman"/>
          <w:color w:val="000000"/>
          <w:spacing w:val="5"/>
          <w:sz w:val="24"/>
          <w:szCs w:val="24"/>
          <w:lang w:eastAsia="it-IT"/>
        </w:rPr>
        <w:t xml:space="preserve"> va affermata - secondo la ricostruzione che se </w:t>
      </w:r>
      <w:r w:rsidRPr="00D473EB">
        <w:rPr>
          <w:rFonts w:ascii="Lato" w:eastAsia="Times New Roman" w:hAnsi="Lato" w:cs="Times New Roman"/>
          <w:color w:val="000000"/>
          <w:spacing w:val="5"/>
          <w:sz w:val="24"/>
          <w:szCs w:val="24"/>
          <w:lang w:eastAsia="it-IT"/>
        </w:rPr>
        <w:lastRenderedPageBreak/>
        <w:t xml:space="preserve">ne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fatta nell'ambito di una cognizione che, quale quella del giudice della giurisdizione, </w:t>
      </w:r>
      <w:proofErr w:type="spellStart"/>
      <w:r w:rsidRPr="00D473EB">
        <w:rPr>
          <w:rFonts w:ascii="Lato" w:eastAsia="Times New Roman" w:hAnsi="Lato" w:cs="Times New Roman"/>
          <w:color w:val="000000"/>
          <w:spacing w:val="5"/>
          <w:sz w:val="24"/>
          <w:szCs w:val="24"/>
          <w:lang w:eastAsia="it-IT"/>
        </w:rPr>
        <w:t>e'</w:t>
      </w:r>
      <w:proofErr w:type="spellEnd"/>
      <w:r w:rsidRPr="00D473EB">
        <w:rPr>
          <w:rFonts w:ascii="Lato" w:eastAsia="Times New Roman" w:hAnsi="Lato" w:cs="Times New Roman"/>
          <w:color w:val="000000"/>
          <w:spacing w:val="5"/>
          <w:sz w:val="24"/>
          <w:szCs w:val="24"/>
          <w:lang w:eastAsia="it-IT"/>
        </w:rPr>
        <w:t xml:space="preserve"> sia in diritto sia in fatto - anche in ragione degli statuti posteriori.</w:t>
      </w:r>
    </w:p>
    <w:p w14:paraId="4B946A62"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E questa conclusione avvalora la giurisdizione del giudice contabile proprio sotto il profilo del cardine </w:t>
      </w:r>
      <w:proofErr w:type="spellStart"/>
      <w:r w:rsidRPr="00D473EB">
        <w:rPr>
          <w:rFonts w:ascii="Lato" w:eastAsia="Times New Roman" w:hAnsi="Lato" w:cs="Times New Roman"/>
          <w:color w:val="000000"/>
          <w:spacing w:val="5"/>
          <w:sz w:val="24"/>
          <w:szCs w:val="24"/>
          <w:lang w:eastAsia="it-IT"/>
        </w:rPr>
        <w:t>ripartitorio</w:t>
      </w:r>
      <w:proofErr w:type="spellEnd"/>
      <w:r w:rsidRPr="00D473EB">
        <w:rPr>
          <w:rFonts w:ascii="Lato" w:eastAsia="Times New Roman" w:hAnsi="Lato" w:cs="Times New Roman"/>
          <w:color w:val="000000"/>
          <w:spacing w:val="5"/>
          <w:sz w:val="24"/>
          <w:szCs w:val="24"/>
          <w:lang w:eastAsia="it-IT"/>
        </w:rPr>
        <w:t xml:space="preserve"> insito nel </w:t>
      </w:r>
      <w:proofErr w:type="spellStart"/>
      <w:r w:rsidRPr="00D473EB">
        <w:rPr>
          <w:rFonts w:ascii="Lato" w:eastAsia="Times New Roman" w:hAnsi="Lato" w:cs="Times New Roman"/>
          <w:color w:val="000000"/>
          <w:spacing w:val="5"/>
          <w:sz w:val="24"/>
          <w:szCs w:val="24"/>
          <w:lang w:eastAsia="it-IT"/>
        </w:rPr>
        <w:t>petitum</w:t>
      </w:r>
      <w:proofErr w:type="spellEnd"/>
      <w:r w:rsidRPr="00D473EB">
        <w:rPr>
          <w:rFonts w:ascii="Lato" w:eastAsia="Times New Roman" w:hAnsi="Lato" w:cs="Times New Roman"/>
          <w:color w:val="000000"/>
          <w:spacing w:val="5"/>
          <w:sz w:val="24"/>
          <w:szCs w:val="24"/>
          <w:lang w:eastAsia="it-IT"/>
        </w:rPr>
        <w:t xml:space="preserve"> sostanziale, posto che l'accertata natura in house di Sardegna IT finisce con elidere a questi fini la distinzione, quanto all'oggetto del giudizio di </w:t>
      </w:r>
      <w:proofErr w:type="spellStart"/>
      <w:r w:rsidRPr="00D473EB">
        <w:rPr>
          <w:rFonts w:ascii="Lato" w:eastAsia="Times New Roman" w:hAnsi="Lato" w:cs="Times New Roman"/>
          <w:color w:val="000000"/>
          <w:spacing w:val="5"/>
          <w:sz w:val="24"/>
          <w:szCs w:val="24"/>
          <w:lang w:eastAsia="it-IT"/>
        </w:rPr>
        <w:t>responsabilita'</w:t>
      </w:r>
      <w:proofErr w:type="spellEnd"/>
      <w:r w:rsidRPr="00D473EB">
        <w:rPr>
          <w:rFonts w:ascii="Lato" w:eastAsia="Times New Roman" w:hAnsi="Lato" w:cs="Times New Roman"/>
          <w:color w:val="000000"/>
          <w:spacing w:val="5"/>
          <w:sz w:val="24"/>
          <w:szCs w:val="24"/>
          <w:lang w:eastAsia="it-IT"/>
        </w:rPr>
        <w:t>, tra danno arrecato al patrimonio sociale e danno invece inferto al patrimonio dell'ente pubblico di comando.</w:t>
      </w:r>
    </w:p>
    <w:p w14:paraId="17C20CCB" w14:textId="77777777" w:rsidR="00D473EB" w:rsidRPr="00D473EB" w:rsidRDefault="00D473EB" w:rsidP="00D473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D473EB">
        <w:rPr>
          <w:rFonts w:ascii="Lato" w:eastAsia="Times New Roman" w:hAnsi="Lato" w:cs="Times New Roman"/>
          <w:b/>
          <w:bCs/>
          <w:color w:val="000000"/>
          <w:spacing w:val="5"/>
          <w:sz w:val="24"/>
          <w:szCs w:val="24"/>
          <w:lang w:eastAsia="it-IT"/>
        </w:rPr>
        <w:t xml:space="preserve">Infatti, se il danno causato per "mala </w:t>
      </w:r>
      <w:proofErr w:type="spellStart"/>
      <w:r w:rsidRPr="00D473EB">
        <w:rPr>
          <w:rFonts w:ascii="Lato" w:eastAsia="Times New Roman" w:hAnsi="Lato" w:cs="Times New Roman"/>
          <w:b/>
          <w:bCs/>
          <w:color w:val="000000"/>
          <w:spacing w:val="5"/>
          <w:sz w:val="24"/>
          <w:szCs w:val="24"/>
          <w:lang w:eastAsia="it-IT"/>
        </w:rPr>
        <w:t>gestio</w:t>
      </w:r>
      <w:proofErr w:type="spellEnd"/>
      <w:r w:rsidRPr="00D473EB">
        <w:rPr>
          <w:rFonts w:ascii="Lato" w:eastAsia="Times New Roman" w:hAnsi="Lato" w:cs="Times New Roman"/>
          <w:b/>
          <w:bCs/>
          <w:color w:val="000000"/>
          <w:spacing w:val="5"/>
          <w:sz w:val="24"/>
          <w:szCs w:val="24"/>
          <w:lang w:eastAsia="it-IT"/>
        </w:rPr>
        <w:t xml:space="preserve">" degli amministratori al patrimonio di una </w:t>
      </w:r>
      <w:proofErr w:type="spellStart"/>
      <w:r w:rsidRPr="00D473EB">
        <w:rPr>
          <w:rFonts w:ascii="Lato" w:eastAsia="Times New Roman" w:hAnsi="Lato" w:cs="Times New Roman"/>
          <w:b/>
          <w:bCs/>
          <w:color w:val="000000"/>
          <w:spacing w:val="5"/>
          <w:sz w:val="24"/>
          <w:szCs w:val="24"/>
          <w:lang w:eastAsia="it-IT"/>
        </w:rPr>
        <w:t>societa'</w:t>
      </w:r>
      <w:proofErr w:type="spellEnd"/>
      <w:r w:rsidRPr="00D473EB">
        <w:rPr>
          <w:rFonts w:ascii="Lato" w:eastAsia="Times New Roman" w:hAnsi="Lato" w:cs="Times New Roman"/>
          <w:b/>
          <w:bCs/>
          <w:color w:val="000000"/>
          <w:spacing w:val="5"/>
          <w:sz w:val="24"/>
          <w:szCs w:val="24"/>
          <w:lang w:eastAsia="it-IT"/>
        </w:rPr>
        <w:t xml:space="preserve"> a partecipazione pubblica, non legata da un rapporto di servizio con il socio-ente pubblico, non integra un'ipotesi di danno erariale inteso quale pregiudizio direttamente arrecato al patrimonio dell'ente pubblico medesimo (stante la distinzione tra </w:t>
      </w:r>
      <w:proofErr w:type="spellStart"/>
      <w:r w:rsidRPr="00D473EB">
        <w:rPr>
          <w:rFonts w:ascii="Lato" w:eastAsia="Times New Roman" w:hAnsi="Lato" w:cs="Times New Roman"/>
          <w:b/>
          <w:bCs/>
          <w:color w:val="000000"/>
          <w:spacing w:val="5"/>
          <w:sz w:val="24"/>
          <w:szCs w:val="24"/>
          <w:lang w:eastAsia="it-IT"/>
        </w:rPr>
        <w:t>societa'</w:t>
      </w:r>
      <w:proofErr w:type="spellEnd"/>
      <w:r w:rsidRPr="00D473EB">
        <w:rPr>
          <w:rFonts w:ascii="Lato" w:eastAsia="Times New Roman" w:hAnsi="Lato" w:cs="Times New Roman"/>
          <w:b/>
          <w:bCs/>
          <w:color w:val="000000"/>
          <w:spacing w:val="5"/>
          <w:sz w:val="24"/>
          <w:szCs w:val="24"/>
          <w:lang w:eastAsia="it-IT"/>
        </w:rPr>
        <w:t xml:space="preserve"> e soci, </w:t>
      </w:r>
      <w:proofErr w:type="spellStart"/>
      <w:r w:rsidRPr="00D473EB">
        <w:rPr>
          <w:rFonts w:ascii="Lato" w:eastAsia="Times New Roman" w:hAnsi="Lato" w:cs="Times New Roman"/>
          <w:b/>
          <w:bCs/>
          <w:color w:val="000000"/>
          <w:spacing w:val="5"/>
          <w:sz w:val="24"/>
          <w:szCs w:val="24"/>
          <w:lang w:eastAsia="it-IT"/>
        </w:rPr>
        <w:t>nonche</w:t>
      </w:r>
      <w:proofErr w:type="spellEnd"/>
      <w:r w:rsidRPr="00D473EB">
        <w:rPr>
          <w:rFonts w:ascii="Lato" w:eastAsia="Times New Roman" w:hAnsi="Lato" w:cs="Times New Roman"/>
          <w:b/>
          <w:bCs/>
          <w:color w:val="000000"/>
          <w:spacing w:val="5"/>
          <w:sz w:val="24"/>
          <w:szCs w:val="24"/>
          <w:lang w:eastAsia="it-IT"/>
        </w:rPr>
        <w:t xml:space="preserve">' la piena autonomia patrimoniale della prima rispetto ai secondi), </w:t>
      </w:r>
      <w:r w:rsidRPr="00D473EB">
        <w:rPr>
          <w:rFonts w:ascii="Lato" w:eastAsia="Times New Roman" w:hAnsi="Lato" w:cs="Times New Roman"/>
          <w:b/>
          <w:bCs/>
          <w:color w:val="000000"/>
          <w:spacing w:val="5"/>
          <w:sz w:val="24"/>
          <w:szCs w:val="24"/>
          <w:u w:val="single"/>
          <w:lang w:eastAsia="it-IT"/>
        </w:rPr>
        <w:t xml:space="preserve">con conseguente devoluzione della lite al giudice ordinario, non altrettanto </w:t>
      </w:r>
      <w:proofErr w:type="spellStart"/>
      <w:r w:rsidRPr="00D473EB">
        <w:rPr>
          <w:rFonts w:ascii="Lato" w:eastAsia="Times New Roman" w:hAnsi="Lato" w:cs="Times New Roman"/>
          <w:b/>
          <w:bCs/>
          <w:color w:val="000000"/>
          <w:spacing w:val="5"/>
          <w:sz w:val="24"/>
          <w:szCs w:val="24"/>
          <w:u w:val="single"/>
          <w:lang w:eastAsia="it-IT"/>
        </w:rPr>
        <w:t>e'</w:t>
      </w:r>
      <w:proofErr w:type="spellEnd"/>
      <w:r w:rsidRPr="00D473EB">
        <w:rPr>
          <w:rFonts w:ascii="Lato" w:eastAsia="Times New Roman" w:hAnsi="Lato" w:cs="Times New Roman"/>
          <w:b/>
          <w:bCs/>
          <w:color w:val="000000"/>
          <w:spacing w:val="5"/>
          <w:sz w:val="24"/>
          <w:szCs w:val="24"/>
          <w:u w:val="single"/>
          <w:lang w:eastAsia="it-IT"/>
        </w:rPr>
        <w:t xml:space="preserve"> a dirsi allorquando questo danno venga fatto valere nella gestione di una </w:t>
      </w:r>
      <w:proofErr w:type="spellStart"/>
      <w:r w:rsidRPr="00D473EB">
        <w:rPr>
          <w:rFonts w:ascii="Lato" w:eastAsia="Times New Roman" w:hAnsi="Lato" w:cs="Times New Roman"/>
          <w:b/>
          <w:bCs/>
          <w:color w:val="000000"/>
          <w:spacing w:val="5"/>
          <w:sz w:val="24"/>
          <w:szCs w:val="24"/>
          <w:u w:val="single"/>
          <w:lang w:eastAsia="it-IT"/>
        </w:rPr>
        <w:t>societa'</w:t>
      </w:r>
      <w:proofErr w:type="spellEnd"/>
      <w:r w:rsidRPr="00D473EB">
        <w:rPr>
          <w:rFonts w:ascii="Lato" w:eastAsia="Times New Roman" w:hAnsi="Lato" w:cs="Times New Roman"/>
          <w:b/>
          <w:bCs/>
          <w:color w:val="000000"/>
          <w:spacing w:val="5"/>
          <w:sz w:val="24"/>
          <w:szCs w:val="24"/>
          <w:u w:val="single"/>
          <w:lang w:eastAsia="it-IT"/>
        </w:rPr>
        <w:t xml:space="preserve"> che, in quanto "in house </w:t>
      </w:r>
      <w:proofErr w:type="spellStart"/>
      <w:r w:rsidRPr="00D473EB">
        <w:rPr>
          <w:rFonts w:ascii="Lato" w:eastAsia="Times New Roman" w:hAnsi="Lato" w:cs="Times New Roman"/>
          <w:b/>
          <w:bCs/>
          <w:color w:val="000000"/>
          <w:spacing w:val="5"/>
          <w:sz w:val="24"/>
          <w:szCs w:val="24"/>
          <w:u w:val="single"/>
          <w:lang w:eastAsia="it-IT"/>
        </w:rPr>
        <w:t>providing</w:t>
      </w:r>
      <w:proofErr w:type="spellEnd"/>
      <w:r w:rsidRPr="00D473EB">
        <w:rPr>
          <w:rFonts w:ascii="Lato" w:eastAsia="Times New Roman" w:hAnsi="Lato" w:cs="Times New Roman"/>
          <w:b/>
          <w:bCs/>
          <w:color w:val="000000"/>
          <w:spacing w:val="5"/>
          <w:sz w:val="24"/>
          <w:szCs w:val="24"/>
          <w:u w:val="single"/>
          <w:lang w:eastAsia="it-IT"/>
        </w:rPr>
        <w:t>", sia caratterizzata da un rapporto di servizio qualificato con l'ente pubblico (Cass. SSUU n. 22712/19 ed altre)</w:t>
      </w:r>
      <w:r w:rsidRPr="00D473EB">
        <w:rPr>
          <w:rFonts w:ascii="Lato" w:eastAsia="Times New Roman" w:hAnsi="Lato" w:cs="Times New Roman"/>
          <w:b/>
          <w:bCs/>
          <w:color w:val="000000"/>
          <w:spacing w:val="5"/>
          <w:sz w:val="24"/>
          <w:szCs w:val="24"/>
          <w:lang w:eastAsia="it-IT"/>
        </w:rPr>
        <w:t>.</w:t>
      </w:r>
    </w:p>
    <w:p w14:paraId="0A717D66"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p. 3. Ne segue il rigetto del ricorso.</w:t>
      </w:r>
    </w:p>
    <w:p w14:paraId="3EE467A1"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proofErr w:type="spellStart"/>
      <w:r w:rsidRPr="00D473EB">
        <w:rPr>
          <w:rFonts w:ascii="Lato" w:eastAsia="Times New Roman" w:hAnsi="Lato" w:cs="Times New Roman"/>
          <w:color w:val="000000"/>
          <w:spacing w:val="5"/>
          <w:sz w:val="24"/>
          <w:szCs w:val="24"/>
          <w:lang w:eastAsia="it-IT"/>
        </w:rPr>
        <w:t>Poiche</w:t>
      </w:r>
      <w:proofErr w:type="spellEnd"/>
      <w:r w:rsidRPr="00D473EB">
        <w:rPr>
          <w:rFonts w:ascii="Lato" w:eastAsia="Times New Roman" w:hAnsi="Lato" w:cs="Times New Roman"/>
          <w:color w:val="000000"/>
          <w:spacing w:val="5"/>
          <w:sz w:val="24"/>
          <w:szCs w:val="24"/>
          <w:lang w:eastAsia="it-IT"/>
        </w:rPr>
        <w:t>' il Procuratore Generale rappresentante il Pubblico Ministero presso la Corte dei Conti ha natura di parte solo in senso formale (Cass. SSUU n. 22083/18 ed altre), non si fa luogo a statuizione sulle spese di lite.</w:t>
      </w:r>
    </w:p>
    <w:p w14:paraId="5B686075"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P.Q.M.</w:t>
      </w:r>
    </w:p>
    <w:p w14:paraId="4E494198"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La Corte:</w:t>
      </w:r>
    </w:p>
    <w:p w14:paraId="6B663CEE"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rigetta il ricorso;</w:t>
      </w:r>
    </w:p>
    <w:p w14:paraId="4C3C790F"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v.to </w:t>
      </w:r>
      <w:hyperlink r:id="rId26" w:history="1">
        <w:r w:rsidRPr="00D473EB">
          <w:rPr>
            <w:rFonts w:ascii="Lato" w:eastAsia="Times New Roman" w:hAnsi="Lato" w:cs="Times New Roman"/>
            <w:b/>
            <w:bCs/>
            <w:color w:val="FFA403"/>
            <w:spacing w:val="5"/>
            <w:sz w:val="24"/>
            <w:szCs w:val="24"/>
            <w:u w:val="single"/>
            <w:lang w:eastAsia="it-IT"/>
          </w:rPr>
          <w:t>D.P.R. n. 115 del 2002</w:t>
        </w:r>
      </w:hyperlink>
      <w:r w:rsidRPr="00D473EB">
        <w:rPr>
          <w:rFonts w:ascii="Lato" w:eastAsia="Times New Roman" w:hAnsi="Lato" w:cs="Times New Roman"/>
          <w:color w:val="000000"/>
          <w:spacing w:val="5"/>
          <w:sz w:val="24"/>
          <w:szCs w:val="24"/>
          <w:lang w:eastAsia="it-IT"/>
        </w:rPr>
        <w:t>, art. 13, comma 1 quater, come modificato dalla </w:t>
      </w:r>
      <w:hyperlink r:id="rId27" w:history="1">
        <w:r w:rsidRPr="00D473EB">
          <w:rPr>
            <w:rFonts w:ascii="Lato" w:eastAsia="Times New Roman" w:hAnsi="Lato" w:cs="Times New Roman"/>
            <w:b/>
            <w:bCs/>
            <w:color w:val="FFA403"/>
            <w:spacing w:val="5"/>
            <w:sz w:val="24"/>
            <w:szCs w:val="24"/>
            <w:u w:val="single"/>
            <w:lang w:eastAsia="it-IT"/>
          </w:rPr>
          <w:t>L. n. 228 del 2012</w:t>
        </w:r>
      </w:hyperlink>
      <w:r w:rsidRPr="00D473EB">
        <w:rPr>
          <w:rFonts w:ascii="Lato" w:eastAsia="Times New Roman" w:hAnsi="Lato" w:cs="Times New Roman"/>
          <w:color w:val="000000"/>
          <w:spacing w:val="5"/>
          <w:sz w:val="24"/>
          <w:szCs w:val="24"/>
          <w:lang w:eastAsia="it-IT"/>
        </w:rPr>
        <w:t>;</w:t>
      </w:r>
    </w:p>
    <w:p w14:paraId="46FD255E" w14:textId="77777777" w:rsidR="00D473EB" w:rsidRPr="00D473EB" w:rsidRDefault="00D473EB" w:rsidP="00D473EB">
      <w:pPr>
        <w:shd w:val="clear" w:color="auto" w:fill="FFFFFF"/>
        <w:spacing w:after="0" w:line="240" w:lineRule="auto"/>
        <w:jc w:val="both"/>
        <w:rPr>
          <w:rFonts w:ascii="Lato" w:eastAsia="Times New Roman" w:hAnsi="Lato" w:cs="Times New Roman"/>
          <w:color w:val="000000"/>
          <w:spacing w:val="5"/>
          <w:sz w:val="24"/>
          <w:szCs w:val="24"/>
          <w:lang w:eastAsia="it-IT"/>
        </w:rPr>
      </w:pPr>
      <w:r w:rsidRPr="00D473EB">
        <w:rPr>
          <w:rFonts w:ascii="Lato" w:eastAsia="Times New Roman" w:hAnsi="Lato" w:cs="Times New Roman"/>
          <w:color w:val="000000"/>
          <w:spacing w:val="5"/>
          <w:sz w:val="24"/>
          <w:szCs w:val="24"/>
          <w:lang w:eastAsia="it-IT"/>
        </w:rPr>
        <w:t xml:space="preserve">- </w:t>
      </w:r>
      <w:proofErr w:type="spellStart"/>
      <w:r w:rsidRPr="00D473EB">
        <w:rPr>
          <w:rFonts w:ascii="Lato" w:eastAsia="Times New Roman" w:hAnsi="Lato" w:cs="Times New Roman"/>
          <w:color w:val="000000"/>
          <w:spacing w:val="5"/>
          <w:sz w:val="24"/>
          <w:szCs w:val="24"/>
          <w:lang w:eastAsia="it-IT"/>
        </w:rPr>
        <w:t>da'</w:t>
      </w:r>
      <w:proofErr w:type="spellEnd"/>
      <w:r w:rsidRPr="00D473EB">
        <w:rPr>
          <w:rFonts w:ascii="Lato" w:eastAsia="Times New Roman" w:hAnsi="Lato" w:cs="Times New Roman"/>
          <w:color w:val="000000"/>
          <w:spacing w:val="5"/>
          <w:sz w:val="24"/>
          <w:szCs w:val="24"/>
          <w:lang w:eastAsia="it-IT"/>
        </w:rPr>
        <w:t xml:space="preserve"> atto della sussistenza dei presupposti processuali per il versamento, a carico della parte ricorrente, di un ulteriore importo a titolo di contributo unificato, pari a quello previsto per il ricorso principale, a norma del comma 1 bis dello stesso art. 13, se dovuto.</w:t>
      </w:r>
    </w:p>
    <w:p w14:paraId="4C7AB67E" w14:textId="77777777" w:rsidR="00D473EB" w:rsidRDefault="00D473EB"/>
    <w:p w14:paraId="44B19146" w14:textId="77777777" w:rsidR="004A45EE" w:rsidRDefault="004A45EE"/>
    <w:p w14:paraId="20669791" w14:textId="77777777" w:rsidR="004A45EE" w:rsidRDefault="004A45EE"/>
    <w:p w14:paraId="3B270F04" w14:textId="77777777" w:rsidR="004A45EE" w:rsidRPr="004A45EE" w:rsidRDefault="004A45EE" w:rsidP="004A45EE">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4A45EE">
        <w:rPr>
          <w:rFonts w:ascii="Lato" w:eastAsia="Times New Roman" w:hAnsi="Lato" w:cs="Times New Roman"/>
          <w:color w:val="3E4249"/>
          <w:spacing w:val="5"/>
          <w:kern w:val="36"/>
          <w:sz w:val="45"/>
          <w:szCs w:val="45"/>
          <w:lang w:eastAsia="it-IT"/>
        </w:rPr>
        <w:t xml:space="preserve">Cass. civ., sez. un., </w:t>
      </w:r>
      <w:proofErr w:type="spellStart"/>
      <w:r w:rsidRPr="004A45EE">
        <w:rPr>
          <w:rFonts w:ascii="Lato" w:eastAsia="Times New Roman" w:hAnsi="Lato" w:cs="Times New Roman"/>
          <w:color w:val="3E4249"/>
          <w:spacing w:val="5"/>
          <w:kern w:val="36"/>
          <w:sz w:val="45"/>
          <w:szCs w:val="45"/>
          <w:lang w:eastAsia="it-IT"/>
        </w:rPr>
        <w:t>ord</w:t>
      </w:r>
      <w:proofErr w:type="spellEnd"/>
      <w:r w:rsidRPr="004A45EE">
        <w:rPr>
          <w:rFonts w:ascii="Lato" w:eastAsia="Times New Roman" w:hAnsi="Lato" w:cs="Times New Roman"/>
          <w:color w:val="3E4249"/>
          <w:spacing w:val="5"/>
          <w:kern w:val="36"/>
          <w:sz w:val="45"/>
          <w:szCs w:val="45"/>
          <w:lang w:eastAsia="it-IT"/>
        </w:rPr>
        <w:t>., 11 settembre 2019 n. 22712</w:t>
      </w:r>
    </w:p>
    <w:p w14:paraId="78814D93" w14:textId="77777777" w:rsidR="004A45EE" w:rsidRPr="004A45EE" w:rsidRDefault="004A45EE" w:rsidP="004A45EE">
      <w:pPr>
        <w:shd w:val="clear" w:color="auto" w:fill="FFFFFF"/>
        <w:spacing w:after="0" w:line="240" w:lineRule="auto"/>
        <w:rPr>
          <w:rFonts w:ascii="Lato" w:eastAsia="Times New Roman" w:hAnsi="Lato" w:cs="Times New Roman"/>
          <w:color w:val="000000"/>
          <w:spacing w:val="5"/>
          <w:sz w:val="24"/>
          <w:szCs w:val="24"/>
          <w:lang w:eastAsia="it-IT"/>
        </w:rPr>
      </w:pPr>
      <w:r w:rsidRPr="004A45EE">
        <w:rPr>
          <w:rFonts w:ascii="Lato" w:eastAsia="Times New Roman" w:hAnsi="Lato" w:cs="Times New Roman"/>
          <w:color w:val="000000"/>
          <w:spacing w:val="5"/>
          <w:sz w:val="24"/>
          <w:szCs w:val="24"/>
          <w:lang w:eastAsia="it-IT"/>
        </w:rPr>
        <w:t>Giurisdizione civile, Giurisdizione ordinaria o amministrativa, Giurisdizione del giudice ordinario, Società di capitali a partecipazione pubblica.,</w:t>
      </w:r>
    </w:p>
    <w:p w14:paraId="138A087A" w14:textId="77777777" w:rsidR="004A45EE" w:rsidRPr="004A45EE" w:rsidRDefault="004A45EE" w:rsidP="004A45EE">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4A45EE">
        <w:rPr>
          <w:rFonts w:ascii="Lato" w:eastAsia="Times New Roman" w:hAnsi="Lato" w:cs="Times New Roman"/>
          <w:i/>
          <w:iCs/>
          <w:color w:val="000000"/>
          <w:spacing w:val="5"/>
          <w:sz w:val="20"/>
          <w:szCs w:val="20"/>
          <w:lang w:eastAsia="it-IT"/>
        </w:rPr>
        <w:t xml:space="preserve">Cass. civ., </w:t>
      </w:r>
      <w:proofErr w:type="spellStart"/>
      <w:r w:rsidRPr="004A45EE">
        <w:rPr>
          <w:rFonts w:ascii="Lato" w:eastAsia="Times New Roman" w:hAnsi="Lato" w:cs="Times New Roman"/>
          <w:i/>
          <w:iCs/>
          <w:color w:val="000000"/>
          <w:spacing w:val="5"/>
          <w:sz w:val="20"/>
          <w:szCs w:val="20"/>
          <w:lang w:eastAsia="it-IT"/>
        </w:rPr>
        <w:t>ord</w:t>
      </w:r>
      <w:proofErr w:type="spellEnd"/>
      <w:r w:rsidRPr="004A45EE">
        <w:rPr>
          <w:rFonts w:ascii="Lato" w:eastAsia="Times New Roman" w:hAnsi="Lato" w:cs="Times New Roman"/>
          <w:i/>
          <w:iCs/>
          <w:color w:val="000000"/>
          <w:spacing w:val="5"/>
          <w:sz w:val="20"/>
          <w:szCs w:val="20"/>
          <w:lang w:eastAsia="it-IT"/>
        </w:rPr>
        <w:t xml:space="preserve">. un., 11 settembre 2019, </w:t>
      </w:r>
      <w:proofErr w:type="gramStart"/>
      <w:r w:rsidRPr="004A45EE">
        <w:rPr>
          <w:rFonts w:ascii="Lato" w:eastAsia="Times New Roman" w:hAnsi="Lato" w:cs="Times New Roman"/>
          <w:i/>
          <w:iCs/>
          <w:color w:val="000000"/>
          <w:spacing w:val="5"/>
          <w:sz w:val="20"/>
          <w:szCs w:val="20"/>
          <w:lang w:eastAsia="it-IT"/>
        </w:rPr>
        <w:t>22712 ,</w:t>
      </w:r>
      <w:proofErr w:type="gramEnd"/>
      <w:r w:rsidRPr="004A45EE">
        <w:rPr>
          <w:rFonts w:ascii="Lato" w:eastAsia="Times New Roman" w:hAnsi="Lato" w:cs="Times New Roman"/>
          <w:i/>
          <w:iCs/>
          <w:color w:val="000000"/>
          <w:spacing w:val="5"/>
          <w:sz w:val="20"/>
          <w:szCs w:val="20"/>
          <w:lang w:eastAsia="it-IT"/>
        </w:rPr>
        <w:t xml:space="preserve"> F. c. P.</w:t>
      </w:r>
    </w:p>
    <w:p w14:paraId="3173DE67" w14:textId="77777777" w:rsidR="004A45EE" w:rsidRPr="004A45EE" w:rsidRDefault="004A45EE" w:rsidP="004A45EE">
      <w:pPr>
        <w:shd w:val="clear" w:color="auto" w:fill="FFFFFF"/>
        <w:spacing w:after="0" w:line="240" w:lineRule="auto"/>
        <w:jc w:val="both"/>
        <w:rPr>
          <w:rFonts w:ascii="Lato" w:eastAsia="Times New Roman" w:hAnsi="Lato" w:cs="Times New Roman"/>
          <w:color w:val="000000"/>
          <w:spacing w:val="5"/>
          <w:sz w:val="24"/>
          <w:szCs w:val="24"/>
          <w:lang w:eastAsia="it-IT"/>
        </w:rPr>
      </w:pPr>
      <w:r w:rsidRPr="004A45EE">
        <w:rPr>
          <w:rFonts w:ascii="Lato" w:eastAsia="Times New Roman" w:hAnsi="Lato" w:cs="Times New Roman"/>
          <w:color w:val="000000"/>
          <w:spacing w:val="5"/>
          <w:sz w:val="24"/>
          <w:szCs w:val="24"/>
          <w:lang w:eastAsia="it-IT"/>
        </w:rPr>
        <w:t xml:space="preserve">Il danno al patrimonio di una società a partecipazione pubblica conseguente a "mala </w:t>
      </w:r>
      <w:proofErr w:type="spellStart"/>
      <w:r w:rsidRPr="004A45EE">
        <w:rPr>
          <w:rFonts w:ascii="Lato" w:eastAsia="Times New Roman" w:hAnsi="Lato" w:cs="Times New Roman"/>
          <w:color w:val="000000"/>
          <w:spacing w:val="5"/>
          <w:sz w:val="24"/>
          <w:szCs w:val="24"/>
          <w:lang w:eastAsia="it-IT"/>
        </w:rPr>
        <w:t>gestio</w:t>
      </w:r>
      <w:proofErr w:type="spellEnd"/>
      <w:r w:rsidRPr="004A45EE">
        <w:rPr>
          <w:rFonts w:ascii="Lato" w:eastAsia="Times New Roman" w:hAnsi="Lato" w:cs="Times New Roman"/>
          <w:color w:val="000000"/>
          <w:spacing w:val="5"/>
          <w:sz w:val="24"/>
          <w:szCs w:val="24"/>
          <w:lang w:eastAsia="it-IT"/>
        </w:rPr>
        <w:t xml:space="preserve">" da parte degli amministratori (o componenti dell'organo di controllo) e dei dipendenti, non è qualificabile in termini di danno erariale, inteso come pregiudizio direttamente arrecato al patrimonio dello Stato o di altro ente pubblico che della detta società sia socio, atteso che la distinzione tra la società di capitali e i singoli soci e la piena autonomia patrimoniale della prima rispetto ai secondi non consentono di riferire al patrimonio del socio pubblico il danno che l'illecito comportamento degli organi sociali abbia eventualmente arrecato al patrimonio dell'ente, né di configurare un rapporto di servizio tra l'ente medesimo e l'agente; pertanto, la domanda con la quale si fa valere la </w:t>
      </w:r>
      <w:r w:rsidRPr="004A45EE">
        <w:rPr>
          <w:rFonts w:ascii="Lato" w:eastAsia="Times New Roman" w:hAnsi="Lato" w:cs="Times New Roman"/>
          <w:color w:val="000000"/>
          <w:spacing w:val="5"/>
          <w:sz w:val="24"/>
          <w:szCs w:val="24"/>
          <w:lang w:eastAsia="it-IT"/>
        </w:rPr>
        <w:lastRenderedPageBreak/>
        <w:t>responsabilità degli organi sociali resta generalmente devoluta alla giurisdizione del giudice ordinario, mentre quella della Corte dei conti è ravvisabile eccezionalmente nelle due specifiche fattispecie delle società "in house" e delle società "legali", caratterizzate, rispettivamente, da una struttura corrispondente ad un'articolazione interna alla stessa P.A. (cui è immanente il rapporto di servizio tra quest'ultima e gli amministratori e dipendenti della società) e da uno statuto speciale che consente di qualificarle come sostanziali enti pubblici.</w:t>
      </w:r>
    </w:p>
    <w:p w14:paraId="6DEF80CC" w14:textId="77777777" w:rsidR="004A45EE" w:rsidRDefault="004A45EE"/>
    <w:p w14:paraId="2EBBBB15" w14:textId="68936CB3" w:rsidR="00545BEB" w:rsidRPr="00545BEB" w:rsidRDefault="00440DFC" w:rsidP="00545BEB">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Pr>
          <w:rFonts w:ascii="Lato" w:eastAsia="Times New Roman" w:hAnsi="Lato" w:cs="Times New Roman"/>
          <w:color w:val="3E4249"/>
          <w:spacing w:val="5"/>
          <w:kern w:val="36"/>
          <w:sz w:val="45"/>
          <w:szCs w:val="45"/>
          <w:lang w:eastAsia="it-IT"/>
        </w:rPr>
        <w:t>C</w:t>
      </w:r>
      <w:r w:rsidR="00545BEB" w:rsidRPr="00545BEB">
        <w:rPr>
          <w:rFonts w:ascii="Lato" w:eastAsia="Times New Roman" w:hAnsi="Lato" w:cs="Times New Roman"/>
          <w:color w:val="3E4249"/>
          <w:spacing w:val="5"/>
          <w:kern w:val="36"/>
          <w:sz w:val="45"/>
          <w:szCs w:val="45"/>
          <w:lang w:eastAsia="it-IT"/>
        </w:rPr>
        <w:t xml:space="preserve">orte di cassazione civile, sez. un., </w:t>
      </w:r>
      <w:proofErr w:type="spellStart"/>
      <w:r w:rsidR="00545BEB" w:rsidRPr="00545BEB">
        <w:rPr>
          <w:rFonts w:ascii="Lato" w:eastAsia="Times New Roman" w:hAnsi="Lato" w:cs="Times New Roman"/>
          <w:color w:val="3E4249"/>
          <w:spacing w:val="5"/>
          <w:kern w:val="36"/>
          <w:sz w:val="45"/>
          <w:szCs w:val="45"/>
          <w:lang w:eastAsia="it-IT"/>
        </w:rPr>
        <w:t>ord</w:t>
      </w:r>
      <w:proofErr w:type="spellEnd"/>
      <w:r w:rsidR="00545BEB" w:rsidRPr="00545BEB">
        <w:rPr>
          <w:rFonts w:ascii="Lato" w:eastAsia="Times New Roman" w:hAnsi="Lato" w:cs="Times New Roman"/>
          <w:color w:val="3E4249"/>
          <w:spacing w:val="5"/>
          <w:kern w:val="36"/>
          <w:sz w:val="45"/>
          <w:szCs w:val="45"/>
          <w:lang w:eastAsia="it-IT"/>
        </w:rPr>
        <w:t>., 11 settembre 2019 n. 22712</w:t>
      </w:r>
    </w:p>
    <w:p w14:paraId="11548777" w14:textId="5915881B" w:rsidR="00545BEB" w:rsidRPr="00545BEB" w:rsidRDefault="00545BEB" w:rsidP="00545BEB">
      <w:pPr>
        <w:shd w:val="clear" w:color="auto" w:fill="FFFFFF"/>
        <w:spacing w:after="0" w:line="240" w:lineRule="auto"/>
        <w:rPr>
          <w:rFonts w:ascii="Lato" w:eastAsia="Times New Roman" w:hAnsi="Lato" w:cs="Times New Roman"/>
          <w:color w:val="000000"/>
          <w:spacing w:val="5"/>
          <w:sz w:val="24"/>
          <w:szCs w:val="24"/>
          <w:lang w:eastAsia="it-IT"/>
        </w:rPr>
      </w:pPr>
    </w:p>
    <w:p w14:paraId="72DDAAB5"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545BEB">
        <w:rPr>
          <w:rFonts w:ascii="Lato" w:eastAsia="Times New Roman" w:hAnsi="Lato" w:cs="Times New Roman"/>
          <w:b/>
          <w:bCs/>
          <w:color w:val="000000"/>
          <w:spacing w:val="5"/>
          <w:sz w:val="26"/>
          <w:szCs w:val="26"/>
          <w:lang w:eastAsia="it-IT"/>
        </w:rPr>
        <w:t>Svolgimento del processo</w:t>
      </w:r>
    </w:p>
    <w:p w14:paraId="3CEAD0B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Con atto notificato in data 10 novembre 2017 la Procura Regionale presso la Sezione giurisdizionale della Corte dei Conti per il Lazio ha citato i </w:t>
      </w:r>
      <w:proofErr w:type="spellStart"/>
      <w:r w:rsidRPr="00545BEB">
        <w:rPr>
          <w:rFonts w:ascii="Lato" w:eastAsia="Times New Roman" w:hAnsi="Lato" w:cs="Times New Roman"/>
          <w:color w:val="000000"/>
          <w:spacing w:val="5"/>
          <w:sz w:val="24"/>
          <w:szCs w:val="24"/>
          <w:lang w:eastAsia="it-IT"/>
        </w:rPr>
        <w:t>sigg.ri</w:t>
      </w:r>
      <w:proofErr w:type="spellEnd"/>
      <w:r w:rsidRPr="00545BEB">
        <w:rPr>
          <w:rFonts w:ascii="Lato" w:eastAsia="Times New Roman" w:hAnsi="Lato" w:cs="Times New Roman"/>
          <w:color w:val="000000"/>
          <w:spacing w:val="5"/>
          <w:sz w:val="24"/>
          <w:szCs w:val="24"/>
          <w:lang w:eastAsia="it-IT"/>
        </w:rPr>
        <w:t xml:space="preserve"> F.M., S.R., B.P., M.R., L.L., D.S.S.M. e C.F. - nella rispettiva qualità di architetto libero professionista (il primo) e ex Presidente o amministratore delegato o consigliere della società Eur s.p.a. (gli altri) - avanti alla Sezione giurisdizionale della Corte dei Conti per il Lazio per ivi sentirli condannare, a titolo di colpa grave, al pagamento di somme a titolo di risarcimento del </w:t>
      </w:r>
      <w:r w:rsidRPr="00545BEB">
        <w:rPr>
          <w:rFonts w:ascii="Lato" w:eastAsia="Times New Roman" w:hAnsi="Lato" w:cs="Times New Roman"/>
          <w:b/>
          <w:bCs/>
          <w:color w:val="000000"/>
          <w:spacing w:val="5"/>
          <w:sz w:val="24"/>
          <w:szCs w:val="24"/>
          <w:lang w:eastAsia="it-IT"/>
        </w:rPr>
        <w:t>danno in favore della "società pubblica Eur s.p.a.", o "in subordine allo Stato - Ministero dell'economia" per la "condotta illecita consistente nell'affidamento illecito di prestazioni di "direzione artistica" già ricomprese in precedenti e concomitanti incarichi affidati al F." e "disciplinate da quattro convenzioni</w:t>
      </w:r>
      <w:r w:rsidRPr="00545BEB">
        <w:rPr>
          <w:rFonts w:ascii="Lato" w:eastAsia="Times New Roman" w:hAnsi="Lato" w:cs="Times New Roman"/>
          <w:color w:val="000000"/>
          <w:spacing w:val="5"/>
          <w:sz w:val="24"/>
          <w:szCs w:val="24"/>
          <w:lang w:eastAsia="it-IT"/>
        </w:rPr>
        <w:t>" ("la prima in data 4 agosto 2006, avente ad oggetto "Convenzione per la Progettazione esecutiva, il coordinamento per la sicurezza in fase di esecuzione e per la Direzione Artistica"; la seconda sottoscritta in data 8 maggio 2008 e concernente esclusivamente l'attività di Direzione Artistica, a cui fanno seguito una prima integrazione del 20 settembre 2010 e la seconda ed ultima integrazione dell'11 dicembre 2012"), invero "del tutto ingiustificata" in relazione alla realizzazione "del Nuovo Centro Congressi (NCC) nel quartiere (omissis) (... noto come c.d. "Nuvola di F."), e comportante "danno alle pubbliche finanze".</w:t>
      </w:r>
    </w:p>
    <w:p w14:paraId="1756238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Il F., il M. e il D.S. propongono ora separati ricorsi per regolamento preventivo di giurisdizione, chiedendo dichiararsi la giurisdizione del giudice ordinario.</w:t>
      </w:r>
    </w:p>
    <w:p w14:paraId="5E9C9441"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Il S. ha presentato controricorso adesivo.</w:t>
      </w:r>
    </w:p>
    <w:p w14:paraId="37F068A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Resiste con separati controricorsi la Procura Regionale presso la Sezione giurisdizionale della Corte dei Conti per il Lazio.</w:t>
      </w:r>
    </w:p>
    <w:p w14:paraId="1CEB2C0E"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Il P.G. presso la Corte Suprema di Cassazione ha, con requisitoria scritta del 9 ottobre 2018, chiesto che venga dichiarata la giurisdizione del giudice contabile; e, con requisitoria scritta del 29 ottobre 2018, chiesto che in accoglimento dei ricorsi venga dichiarata la giurisdizione del giudice ordinario.</w:t>
      </w:r>
    </w:p>
    <w:p w14:paraId="0505CBB6" w14:textId="77777777" w:rsidR="00545BEB" w:rsidRPr="00545BEB" w:rsidRDefault="00545BEB" w:rsidP="00545BEB">
      <w:pPr>
        <w:shd w:val="clear" w:color="auto" w:fill="FFFFFF"/>
        <w:spacing w:after="0" w:line="240" w:lineRule="auto"/>
        <w:rPr>
          <w:rFonts w:ascii="Lato" w:eastAsia="Times New Roman" w:hAnsi="Lato" w:cs="Times New Roman"/>
          <w:color w:val="000000"/>
          <w:spacing w:val="5"/>
          <w:sz w:val="24"/>
          <w:szCs w:val="24"/>
          <w:lang w:eastAsia="it-IT"/>
        </w:rPr>
      </w:pPr>
    </w:p>
    <w:p w14:paraId="4A64C88D"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545BEB">
        <w:rPr>
          <w:rFonts w:ascii="Lato" w:eastAsia="Times New Roman" w:hAnsi="Lato" w:cs="Times New Roman"/>
          <w:b/>
          <w:bCs/>
          <w:color w:val="000000"/>
          <w:spacing w:val="5"/>
          <w:sz w:val="26"/>
          <w:szCs w:val="26"/>
          <w:lang w:eastAsia="it-IT"/>
        </w:rPr>
        <w:t>Motivi della decisione</w:t>
      </w:r>
    </w:p>
    <w:p w14:paraId="176EB55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Con il 1, il 2, il 3 e il 4 motivo il ricorrente F. denunzia "difetto di giurisdizione della Corte dei Conti" per violazione degli artt. </w:t>
      </w:r>
      <w:hyperlink r:id="rId28" w:history="1">
        <w:r w:rsidRPr="00545BEB">
          <w:rPr>
            <w:rFonts w:ascii="Lato" w:eastAsia="Times New Roman" w:hAnsi="Lato" w:cs="Times New Roman"/>
            <w:b/>
            <w:bCs/>
            <w:color w:val="FFA403"/>
            <w:spacing w:val="5"/>
            <w:sz w:val="24"/>
            <w:szCs w:val="24"/>
            <w:lang w:eastAsia="it-IT"/>
          </w:rPr>
          <w:t>102</w:t>
        </w:r>
      </w:hyperlink>
      <w:r w:rsidRPr="00545BEB">
        <w:rPr>
          <w:rFonts w:ascii="Lato" w:eastAsia="Times New Roman" w:hAnsi="Lato" w:cs="Times New Roman"/>
          <w:color w:val="000000"/>
          <w:spacing w:val="5"/>
          <w:sz w:val="24"/>
          <w:szCs w:val="24"/>
          <w:lang w:eastAsia="it-IT"/>
        </w:rPr>
        <w:t>, </w:t>
      </w:r>
      <w:hyperlink r:id="rId29" w:history="1">
        <w:r w:rsidRPr="00545BEB">
          <w:rPr>
            <w:rFonts w:ascii="Lato" w:eastAsia="Times New Roman" w:hAnsi="Lato" w:cs="Times New Roman"/>
            <w:b/>
            <w:bCs/>
            <w:color w:val="FFA403"/>
            <w:spacing w:val="5"/>
            <w:sz w:val="24"/>
            <w:szCs w:val="24"/>
            <w:lang w:eastAsia="it-IT"/>
          </w:rPr>
          <w:t>103</w:t>
        </w:r>
      </w:hyperlink>
      <w:r w:rsidRPr="00545BEB">
        <w:rPr>
          <w:rFonts w:ascii="Lato" w:eastAsia="Times New Roman" w:hAnsi="Lato" w:cs="Times New Roman"/>
          <w:color w:val="000000"/>
          <w:spacing w:val="5"/>
          <w:sz w:val="24"/>
          <w:szCs w:val="24"/>
          <w:lang w:eastAsia="it-IT"/>
        </w:rPr>
        <w:t> Cost., </w:t>
      </w:r>
      <w:hyperlink r:id="rId30" w:history="1">
        <w:r w:rsidRPr="00545BEB">
          <w:rPr>
            <w:rFonts w:ascii="Lato" w:eastAsia="Times New Roman" w:hAnsi="Lato" w:cs="Times New Roman"/>
            <w:b/>
            <w:bCs/>
            <w:color w:val="FFA403"/>
            <w:spacing w:val="5"/>
            <w:sz w:val="24"/>
            <w:szCs w:val="24"/>
            <w:lang w:eastAsia="it-IT"/>
          </w:rPr>
          <w:t>art. 13,R.D. n. 1214 del 1934</w:t>
        </w:r>
      </w:hyperlink>
      <w:r w:rsidRPr="00545BEB">
        <w:rPr>
          <w:rFonts w:ascii="Lato" w:eastAsia="Times New Roman" w:hAnsi="Lato" w:cs="Times New Roman"/>
          <w:color w:val="000000"/>
          <w:spacing w:val="5"/>
          <w:sz w:val="24"/>
          <w:szCs w:val="24"/>
          <w:lang w:eastAsia="it-IT"/>
        </w:rPr>
        <w:t>, </w:t>
      </w:r>
      <w:hyperlink r:id="rId31" w:history="1">
        <w:r w:rsidRPr="00545BEB">
          <w:rPr>
            <w:rFonts w:ascii="Lato" w:eastAsia="Times New Roman" w:hAnsi="Lato" w:cs="Times New Roman"/>
            <w:b/>
            <w:bCs/>
            <w:color w:val="FFA403"/>
            <w:spacing w:val="5"/>
            <w:sz w:val="24"/>
            <w:szCs w:val="24"/>
            <w:lang w:eastAsia="it-IT"/>
          </w:rPr>
          <w:t>L. n. 20 del 1994</w:t>
        </w:r>
      </w:hyperlink>
      <w:r w:rsidRPr="00545BEB">
        <w:rPr>
          <w:rFonts w:ascii="Lato" w:eastAsia="Times New Roman" w:hAnsi="Lato" w:cs="Times New Roman"/>
          <w:color w:val="000000"/>
          <w:spacing w:val="5"/>
          <w:sz w:val="24"/>
          <w:szCs w:val="24"/>
          <w:lang w:eastAsia="it-IT"/>
        </w:rPr>
        <w:t>, art. 1, in riferimento all'</w:t>
      </w:r>
      <w:hyperlink r:id="rId32" w:history="1">
        <w:r w:rsidRPr="00545BEB">
          <w:rPr>
            <w:rFonts w:ascii="Lato" w:eastAsia="Times New Roman" w:hAnsi="Lato" w:cs="Times New Roman"/>
            <w:b/>
            <w:bCs/>
            <w:color w:val="FFA403"/>
            <w:spacing w:val="5"/>
            <w:sz w:val="24"/>
            <w:szCs w:val="24"/>
            <w:lang w:eastAsia="it-IT"/>
          </w:rPr>
          <w:t>art. 360 comma 1, n. 2, c.p.c.</w:t>
        </w:r>
      </w:hyperlink>
      <w:r w:rsidRPr="00545BEB">
        <w:rPr>
          <w:rFonts w:ascii="Lato" w:eastAsia="Times New Roman" w:hAnsi="Lato" w:cs="Times New Roman"/>
          <w:color w:val="000000"/>
          <w:spacing w:val="5"/>
          <w:sz w:val="24"/>
          <w:szCs w:val="24"/>
          <w:lang w:eastAsia="it-IT"/>
        </w:rPr>
        <w:t>.</w:t>
      </w:r>
    </w:p>
    <w:p w14:paraId="0D2FCEE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Si duole che nella specie gli si contesti dalla Procura Regionale presso la Sezione giurisdizionale della Corte dei Conti per il Lazio: a) "di avere concorso a cagionare un danno erariale, per avere accettato la Direzione artistica, sebbene asseritamente inutile </w:t>
      </w:r>
      <w:r w:rsidRPr="00545BEB">
        <w:rPr>
          <w:rFonts w:ascii="Lato" w:eastAsia="Times New Roman" w:hAnsi="Lato" w:cs="Times New Roman"/>
          <w:color w:val="000000"/>
          <w:spacing w:val="5"/>
          <w:sz w:val="24"/>
          <w:szCs w:val="24"/>
          <w:lang w:eastAsia="it-IT"/>
        </w:rPr>
        <w:lastRenderedPageBreak/>
        <w:t>e superflua, e per avere omesso di definire in sede di progettazione esecutiva alcuni aspetti architettonici, rimessi alla successiva decisione del Direttore artistico e, dunque, a sé medesimo, facendo apparire così doverosa una attività inutile se la progettazione esecutiva fosse stata elaborata per come avrebbe dovuto esserlo"; b) di "avere concorso a cagionare il danno erariale per avere accettato un compenso incongruo e per avere concluso accordi negoziali con sovrapposizione di tempi e di attività".</w:t>
      </w:r>
    </w:p>
    <w:p w14:paraId="7E2251C1"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Lamenta che, a tale stregua, gli viene invero contestato non già "un pregiudizio derivante dallo svolgimento" dell'incarico affidatogli bensì "un danno scaturente dalla mera assunzione dell'incarico"; "non un danno per comportamento illegittimo tenuto nell'esercizio della "funzione", ma un danno derivante dalla assunzione in sé e per sé, per accordo contrattuale, della medesima "funzione"".</w:t>
      </w:r>
    </w:p>
    <w:p w14:paraId="05A75C6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Lamenta, ancora, che l'"addebito erariale... si risolve nell'esercizio dinanzi alla magistratura contabile dell'azione di nullità" dei contratti in argomento "per difetto generico di causa ai fini della conseguente ripetizione del corrispettivo asseritamente percepito sine </w:t>
      </w:r>
      <w:proofErr w:type="spellStart"/>
      <w:r w:rsidRPr="00545BEB">
        <w:rPr>
          <w:rFonts w:ascii="Lato" w:eastAsia="Times New Roman" w:hAnsi="Lato" w:cs="Times New Roman"/>
          <w:color w:val="000000"/>
          <w:spacing w:val="5"/>
          <w:sz w:val="24"/>
          <w:szCs w:val="24"/>
          <w:lang w:eastAsia="it-IT"/>
        </w:rPr>
        <w:t>titulo</w:t>
      </w:r>
      <w:proofErr w:type="spellEnd"/>
      <w:r w:rsidRPr="00545BEB">
        <w:rPr>
          <w:rFonts w:ascii="Lato" w:eastAsia="Times New Roman" w:hAnsi="Lato" w:cs="Times New Roman"/>
          <w:color w:val="000000"/>
          <w:spacing w:val="5"/>
          <w:sz w:val="24"/>
          <w:szCs w:val="24"/>
          <w:lang w:eastAsia="it-IT"/>
        </w:rPr>
        <w:t>", laddove l'"azione di nullità contrattuale" non rientra tra le azioni che l'art. 73 Codice di giustizia contabile (</w:t>
      </w:r>
      <w:hyperlink r:id="rId33" w:history="1">
        <w:r w:rsidRPr="00545BEB">
          <w:rPr>
            <w:rFonts w:ascii="Lato" w:eastAsia="Times New Roman" w:hAnsi="Lato" w:cs="Times New Roman"/>
            <w:b/>
            <w:bCs/>
            <w:color w:val="FFA403"/>
            <w:spacing w:val="5"/>
            <w:sz w:val="24"/>
            <w:szCs w:val="24"/>
            <w:lang w:eastAsia="it-IT"/>
          </w:rPr>
          <w:t>D.L.vo n. 174 del 2016</w:t>
        </w:r>
      </w:hyperlink>
      <w:r w:rsidRPr="00545BEB">
        <w:rPr>
          <w:rFonts w:ascii="Lato" w:eastAsia="Times New Roman" w:hAnsi="Lato" w:cs="Times New Roman"/>
          <w:color w:val="000000"/>
          <w:spacing w:val="5"/>
          <w:sz w:val="24"/>
          <w:szCs w:val="24"/>
          <w:lang w:eastAsia="it-IT"/>
        </w:rPr>
        <w:t>) "abilita il pubblico ministero" ad esercitare "al fine di realizzare la tutela dei crediti erariali".</w:t>
      </w:r>
    </w:p>
    <w:p w14:paraId="009024CD"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Si duole che venga "contestato al Progettista di avere omesso in fase di elaborazione della progettazione esecutiva di definire tutti i dettagli architettonici aventi rilevanza estetica e/o artistica, rimettendone la scelta definitiva alla direzione artistica e realizzando, pertanto, una progettazione viziata perché incompleta e lacunosa", sicché "il preteso danno erariale non viene prospettato come derivante dall'insieme delle due prestazioni di Progettista e di Direttore artistico, ma scaturente esclusivamente dall'attività di progettazione esecutiva svolta dal ricorrente", laddove la giurisprudenza di legittimità, con specifico riferimento alla Direzione lavori, ha ravvisato sussistere la giurisdizione della Corte dei Conti esclusivamente "allorché si cumulino nel medesimo soggetto i ruoli".</w:t>
      </w:r>
    </w:p>
    <w:p w14:paraId="34E06FFD"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Lamenta l'erroneità "dell'assunto della Procura Regionale secondo il quale Eur </w:t>
      </w:r>
      <w:proofErr w:type="spellStart"/>
      <w:r w:rsidRPr="00545BEB">
        <w:rPr>
          <w:rFonts w:ascii="Lato" w:eastAsia="Times New Roman" w:hAnsi="Lato" w:cs="Times New Roman"/>
          <w:color w:val="000000"/>
          <w:spacing w:val="5"/>
          <w:sz w:val="24"/>
          <w:szCs w:val="24"/>
          <w:lang w:eastAsia="it-IT"/>
        </w:rPr>
        <w:t>s.p.a</w:t>
      </w:r>
      <w:proofErr w:type="spellEnd"/>
      <w:r w:rsidRPr="00545BEB">
        <w:rPr>
          <w:rFonts w:ascii="Lato" w:eastAsia="Times New Roman" w:hAnsi="Lato" w:cs="Times New Roman"/>
          <w:color w:val="000000"/>
          <w:spacing w:val="5"/>
          <w:sz w:val="24"/>
          <w:szCs w:val="24"/>
          <w:lang w:eastAsia="it-IT"/>
        </w:rPr>
        <w:t xml:space="preserve"> dovrebbe essere ascritta alla categoria delle società in house, possedendone i tre elementi costitutivi: a) la partecipazione totalitaria di enti pubblici, b) l'attività -prevalente oltre l'80% del fatturato - a favore o nell'interesse degli enti pubblici soci e, infine, c) il controllo analogo", in quanto "tali elementi costitutivi non sono contemplati dallo Statuto", sicché "la controparte pubblica sembra fare riferimento, al più, a circostanze di fatto, ma non a situazioni di diritto".</w:t>
      </w:r>
    </w:p>
    <w:p w14:paraId="21351A8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Si duole che la Procura Regionale erroneamente ravvisi la sussistenza della giurisdizione della Corte dei Conti "a prescindere dalla qualificazione in termini di società in house di Eur </w:t>
      </w:r>
      <w:proofErr w:type="spellStart"/>
      <w:r w:rsidRPr="00545BEB">
        <w:rPr>
          <w:rFonts w:ascii="Lato" w:eastAsia="Times New Roman" w:hAnsi="Lato" w:cs="Times New Roman"/>
          <w:color w:val="000000"/>
          <w:spacing w:val="5"/>
          <w:sz w:val="24"/>
          <w:szCs w:val="24"/>
          <w:lang w:eastAsia="it-IT"/>
        </w:rPr>
        <w:t>s.p.a</w:t>
      </w:r>
      <w:proofErr w:type="spellEnd"/>
      <w:r w:rsidRPr="00545BEB">
        <w:rPr>
          <w:rFonts w:ascii="Lato" w:eastAsia="Times New Roman" w:hAnsi="Lato" w:cs="Times New Roman"/>
          <w:color w:val="000000"/>
          <w:spacing w:val="5"/>
          <w:sz w:val="24"/>
          <w:szCs w:val="24"/>
          <w:lang w:eastAsia="it-IT"/>
        </w:rPr>
        <w:t>, in virtù della sua natura di diritto singolare o di "società legale", non avendo origine negoziale ma essendo conseguenza della trasformazione legale dell'Ente Eur; detenendo un patrimonio di pregio qual è quello dell'ex Ente Eur; essendo Eur s.p.a. pacificamente ritenuta organismo di diritto pubblico; affermando lo stesso Statuto societario, sia pure incidentalmente, la soggezione degli amministratori alla giurisdizione della Corte dei Conti allorché considera causa di ineleggibilità o di decadenza l'intervento di una sentenza di condanna definitiva che accerti la commissione dolosa di danno erariale ed essendo, infine, la società sottoposta a controllo della Corte dei Conti sulla base del </w:t>
      </w:r>
      <w:hyperlink r:id="rId34" w:history="1">
        <w:r w:rsidRPr="00545BEB">
          <w:rPr>
            <w:rFonts w:ascii="Lato" w:eastAsia="Times New Roman" w:hAnsi="Lato" w:cs="Times New Roman"/>
            <w:b/>
            <w:bCs/>
            <w:color w:val="FFA403"/>
            <w:spacing w:val="5"/>
            <w:sz w:val="24"/>
            <w:szCs w:val="24"/>
            <w:lang w:eastAsia="it-IT"/>
          </w:rPr>
          <w:t>D.P.R. 11 marzo 1961</w:t>
        </w:r>
      </w:hyperlink>
      <w:r w:rsidRPr="00545BEB">
        <w:rPr>
          <w:rFonts w:ascii="Lato" w:eastAsia="Times New Roman" w:hAnsi="Lato" w:cs="Times New Roman"/>
          <w:color w:val="000000"/>
          <w:spacing w:val="5"/>
          <w:sz w:val="24"/>
          <w:szCs w:val="24"/>
          <w:lang w:eastAsia="it-IT"/>
        </w:rPr>
        <w:t>".</w:t>
      </w:r>
    </w:p>
    <w:p w14:paraId="0D465A7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Con </w:t>
      </w:r>
      <w:proofErr w:type="spellStart"/>
      <w:r w:rsidRPr="00545BEB">
        <w:rPr>
          <w:rFonts w:ascii="Lato" w:eastAsia="Times New Roman" w:hAnsi="Lato" w:cs="Times New Roman"/>
          <w:color w:val="000000"/>
          <w:spacing w:val="5"/>
          <w:sz w:val="24"/>
          <w:szCs w:val="24"/>
          <w:lang w:eastAsia="it-IT"/>
        </w:rPr>
        <w:t>unico</w:t>
      </w:r>
      <w:proofErr w:type="spellEnd"/>
      <w:r w:rsidRPr="00545BEB">
        <w:rPr>
          <w:rFonts w:ascii="Lato" w:eastAsia="Times New Roman" w:hAnsi="Lato" w:cs="Times New Roman"/>
          <w:color w:val="000000"/>
          <w:spacing w:val="5"/>
          <w:sz w:val="24"/>
          <w:szCs w:val="24"/>
          <w:lang w:eastAsia="it-IT"/>
        </w:rPr>
        <w:t xml:space="preserve"> motivo il ricorrente M. denunzia la "carenza di giurisdizione della Corte dei Conti", in ragione della natura della società Eur s.p.a. e "della tipologia di danno lamentato".</w:t>
      </w:r>
    </w:p>
    <w:p w14:paraId="5F09144E"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lastRenderedPageBreak/>
        <w:t>Lamenta che ex </w:t>
      </w:r>
      <w:hyperlink r:id="rId35" w:history="1">
        <w:r w:rsidRPr="00545BEB">
          <w:rPr>
            <w:rFonts w:ascii="Lato" w:eastAsia="Times New Roman" w:hAnsi="Lato" w:cs="Times New Roman"/>
            <w:b/>
            <w:bCs/>
            <w:color w:val="FFA403"/>
            <w:spacing w:val="5"/>
            <w:sz w:val="24"/>
            <w:szCs w:val="24"/>
            <w:lang w:eastAsia="it-IT"/>
          </w:rPr>
          <w:t>art. 12,D.L.vo n. 175 del 2016</w:t>
        </w:r>
      </w:hyperlink>
      <w:r w:rsidRPr="00545BEB">
        <w:rPr>
          <w:rFonts w:ascii="Lato" w:eastAsia="Times New Roman" w:hAnsi="Lato" w:cs="Times New Roman"/>
          <w:color w:val="000000"/>
          <w:spacing w:val="5"/>
          <w:sz w:val="24"/>
          <w:szCs w:val="24"/>
          <w:lang w:eastAsia="it-IT"/>
        </w:rPr>
        <w:t>, la società Eur s.p.a. non ha i requisiti della "società in house né del Ministero dell'Economia né di Roma Capitale", essendo il suo oggetto sociale di "natura commerciale e non amministrativa", e mancando un "controllo analogo delle Amministrazioni titolari di quote azionarie"; neppure ha i requisiti di una "società pubblica" analoga alla Rai-Tv (non svolgendo "alcun servizio pubblico" e non ricevendo "alcun contributo pubblico") o all'Enav (non svolgendo "attività con oneri a carico dello Stato" o un "servizio pubblico essenziale") o all'Anas s.p.a., giacché pur essendo anch'essa di fonte legale "differentemente da quest'ultima le modifiche statutarie possono a norma di statuto essere approvate dai soci in assemblea straordinaria e non necessitano di provvedimenti amministrativi;... non ha poteri autoritativi e/o pubblicistici sui propri beni;... il personale... è soggetto alle norme del c.c. e a contratti di diritto privato, non figurando come pubblico dipendente".</w:t>
      </w:r>
    </w:p>
    <w:p w14:paraId="7A5CD5B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Si duole non essersi dalla Procura Regionale presso la Sezione giurisdizionale della Corte dei Conti per il Lazio considerato che "gli unici elementi che sono stati ritenuti significativi... per l'affermazione della sussistenza della giurisdizione della Corte dei Conti e che ricorrono anche nel caso di Eur s.p.a. sono a) la fonte legale della sua costituzione e b) la sottoposizione alle regole dell'evidenza pubblica", invero "non sufficienti ad affermare la sussistenza della giurisdizione contabile, in luogo di quella del giudice ordinario", giacché "quanto alla fonte legale dello Statuto, la stessa non è stata nella giurisprudenza... ritenuta sufficiente ex se ai fini dell'affermazione della giurisdizione della Corte dei Conti, necessitando invece elementi ben più significativi sulla natura dell'attività e il finanziamento della stessa, non ricorrenti nella specie"; quanto "alla soggezione alle regole dell'evidenza pubblica", si è da tempo dalla giurisprudenza di legittimità affermato che "la qualificazione della società come organismo di diritto pubblico rileva solo sul piano della disciplina di derivazione comunitaria in materia di aggiudicazione degli appalti ad evidenza pubblica e non come indice giustificativo della giurisdizione contabile (Cass. sez. un. 3692 del 2012)" (Cass. Ordinanza 7293/2016)".</w:t>
      </w:r>
    </w:p>
    <w:p w14:paraId="567F48F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Lamenta che "anche la tipologia di danno contestato dalla Procura erariale contribuisce ad escludere la sussistenza della giurisdizione della Corte dei Conti", venendogli addebitato l'"illecito affidamento degli incarichi di Direzione Artistica </w:t>
      </w:r>
      <w:proofErr w:type="spellStart"/>
      <w:r w:rsidRPr="00545BEB">
        <w:rPr>
          <w:rFonts w:ascii="Lato" w:eastAsia="Times New Roman" w:hAnsi="Lato" w:cs="Times New Roman"/>
          <w:color w:val="000000"/>
          <w:spacing w:val="5"/>
          <w:sz w:val="24"/>
          <w:szCs w:val="24"/>
          <w:lang w:eastAsia="it-IT"/>
        </w:rPr>
        <w:t>all'arch</w:t>
      </w:r>
      <w:proofErr w:type="spellEnd"/>
      <w:r w:rsidRPr="00545BEB">
        <w:rPr>
          <w:rFonts w:ascii="Lato" w:eastAsia="Times New Roman" w:hAnsi="Lato" w:cs="Times New Roman"/>
          <w:color w:val="000000"/>
          <w:spacing w:val="5"/>
          <w:sz w:val="24"/>
          <w:szCs w:val="24"/>
          <w:lang w:eastAsia="it-IT"/>
        </w:rPr>
        <w:t>. F. e la quantificazione degli onorari in favore del professionista", sicché appare al riguardo evidente "che - anche se per ipotesi si ritenessero sussistenti i pregiudizi contestati - si tratterebbe di danni arrecati al patrimonio di Eur s.p.a. e non certo ai soci", e cioè allo Stato o ad altro ente pubblico.</w:t>
      </w:r>
    </w:p>
    <w:p w14:paraId="6C1FC948"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Lamenta, ancora, che nella specie non viene d'altro canto domandato il risarcimento del danno all'immagine riverberantesi sui soci, ma solo quello "sopportato... dal patrimonio societario, atteso che il finanziamento del contratto con </w:t>
      </w:r>
      <w:proofErr w:type="spellStart"/>
      <w:r w:rsidRPr="00545BEB">
        <w:rPr>
          <w:rFonts w:ascii="Lato" w:eastAsia="Times New Roman" w:hAnsi="Lato" w:cs="Times New Roman"/>
          <w:color w:val="000000"/>
          <w:spacing w:val="5"/>
          <w:sz w:val="24"/>
          <w:szCs w:val="24"/>
          <w:lang w:eastAsia="it-IT"/>
        </w:rPr>
        <w:t>l'arch</w:t>
      </w:r>
      <w:proofErr w:type="spellEnd"/>
      <w:r w:rsidRPr="00545BEB">
        <w:rPr>
          <w:rFonts w:ascii="Lato" w:eastAsia="Times New Roman" w:hAnsi="Lato" w:cs="Times New Roman"/>
          <w:color w:val="000000"/>
          <w:spacing w:val="5"/>
          <w:sz w:val="24"/>
          <w:szCs w:val="24"/>
          <w:lang w:eastAsia="it-IT"/>
        </w:rPr>
        <w:t>. F. è stato reperito unicamente dai fondi propri di Eur s.p.a. e non dai trasferimenti di Roma Capitale".</w:t>
      </w:r>
    </w:p>
    <w:p w14:paraId="1A79B1EA"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Con </w:t>
      </w:r>
      <w:proofErr w:type="spellStart"/>
      <w:r w:rsidRPr="00545BEB">
        <w:rPr>
          <w:rFonts w:ascii="Lato" w:eastAsia="Times New Roman" w:hAnsi="Lato" w:cs="Times New Roman"/>
          <w:color w:val="000000"/>
          <w:spacing w:val="5"/>
          <w:sz w:val="24"/>
          <w:szCs w:val="24"/>
          <w:lang w:eastAsia="it-IT"/>
        </w:rPr>
        <w:t>unico</w:t>
      </w:r>
      <w:proofErr w:type="spellEnd"/>
      <w:r w:rsidRPr="00545BEB">
        <w:rPr>
          <w:rFonts w:ascii="Lato" w:eastAsia="Times New Roman" w:hAnsi="Lato" w:cs="Times New Roman"/>
          <w:color w:val="000000"/>
          <w:spacing w:val="5"/>
          <w:sz w:val="24"/>
          <w:szCs w:val="24"/>
          <w:lang w:eastAsia="it-IT"/>
        </w:rPr>
        <w:t xml:space="preserve"> motivo il ricorrente D.S. denunzia il "difetto di giurisdizione della Corte dei Conti".</w:t>
      </w:r>
    </w:p>
    <w:p w14:paraId="49AB211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Si duole non essersi dalla Procura Regionale presso la Sezione giurisdizionale della Corte dei Conti per il Lazio considerato che la società Eur s.p.a. non può "essere qualificata come società in house ai sensi e per gli effetti dell'</w:t>
      </w:r>
      <w:hyperlink r:id="rId36" w:history="1">
        <w:r w:rsidRPr="00545BEB">
          <w:rPr>
            <w:rFonts w:ascii="Lato" w:eastAsia="Times New Roman" w:hAnsi="Lato" w:cs="Times New Roman"/>
            <w:b/>
            <w:bCs/>
            <w:color w:val="FFA403"/>
            <w:spacing w:val="5"/>
            <w:sz w:val="24"/>
            <w:szCs w:val="24"/>
            <w:lang w:eastAsia="it-IT"/>
          </w:rPr>
          <w:t>art. 12,D.L.vo n. 175 del 2016</w:t>
        </w:r>
      </w:hyperlink>
      <w:r w:rsidRPr="00545BEB">
        <w:rPr>
          <w:rFonts w:ascii="Lato" w:eastAsia="Times New Roman" w:hAnsi="Lato" w:cs="Times New Roman"/>
          <w:color w:val="000000"/>
          <w:spacing w:val="5"/>
          <w:sz w:val="24"/>
          <w:szCs w:val="24"/>
          <w:lang w:eastAsia="it-IT"/>
        </w:rPr>
        <w:t xml:space="preserve">", in quanto "come si evince chiaramente dallo Statuto... tra le attività descritte nell'oggetto sociale, oltre alla gestione e valorizzazione del patrimonio immobiliare di cui è titolare, Eur s.p.a. può svolgere "attività di gestione, valorizzazione ed alienazione di beni immobili di proprietà di soggetti terzi, sia pubblici che "privati" nonché "compiere tutte le operazioni commerciali, mobiliari, immobiliari e finanziarie ritenute utili inclusa l'assunzione di partecipazioni in altre società e/o enti"; né "alcuna previsione statutaria </w:t>
      </w:r>
      <w:r w:rsidRPr="00545BEB">
        <w:rPr>
          <w:rFonts w:ascii="Lato" w:eastAsia="Times New Roman" w:hAnsi="Lato" w:cs="Times New Roman"/>
          <w:color w:val="000000"/>
          <w:spacing w:val="5"/>
          <w:sz w:val="24"/>
          <w:szCs w:val="24"/>
          <w:lang w:eastAsia="it-IT"/>
        </w:rPr>
        <w:lastRenderedPageBreak/>
        <w:t xml:space="preserve">prescrive... che l'attività debba essere svolta in via esclusiva prevalente nei confronti degli enti partecipanti"; nemmeno sono "previsti limiti nella circolazione delle azioni; anzi, all'art. 6 è previsto che possano essere create altre categorie di azioni da assegnare ai lavoratori", così come non sono previste "forme di controllo in capo agli enti partecipanti". Lamenta che con pronunzia n. 304 del 2016 la Corte dei Conti, Sezione giurisdizionale per il Lazio, relativamente alla società Eur s.p.a. ha invero già "escluso la ricorrenza delle caratteristiche della società in house", pur in presenza "di una partecipazione totalitaria da parte dell'ente pubblico", non essendo d'altro canto "revocabile in dubbio che quello di Eur s.p.a. sia un patrimonio distinto e separato da quello delle amministrazioni partecipanti". Lamenta che "il danno di cui discute la Procura Regionale coincide, in realtà, con le somme corrisposte da Eur s.p.a. </w:t>
      </w:r>
      <w:proofErr w:type="spellStart"/>
      <w:r w:rsidRPr="00545BEB">
        <w:rPr>
          <w:rFonts w:ascii="Lato" w:eastAsia="Times New Roman" w:hAnsi="Lato" w:cs="Times New Roman"/>
          <w:color w:val="000000"/>
          <w:spacing w:val="5"/>
          <w:sz w:val="24"/>
          <w:szCs w:val="24"/>
          <w:lang w:eastAsia="it-IT"/>
        </w:rPr>
        <w:t>all'arch</w:t>
      </w:r>
      <w:proofErr w:type="spellEnd"/>
      <w:r w:rsidRPr="00545BEB">
        <w:rPr>
          <w:rFonts w:ascii="Lato" w:eastAsia="Times New Roman" w:hAnsi="Lato" w:cs="Times New Roman"/>
          <w:color w:val="000000"/>
          <w:spacing w:val="5"/>
          <w:sz w:val="24"/>
          <w:szCs w:val="24"/>
          <w:lang w:eastAsia="it-IT"/>
        </w:rPr>
        <w:t>. F. a titolo di corrispettivo per l'attività di Direzione Artistica prestata nell'ambito della realizzazione del Nuovo Centro Congressi", e non già "al patrimonio degli enti che detengono le proprie partecipazioni nella società". Deduce che nessuno dei "connotati" caratterizzanti la "società legale" (e in particolare le società Anas s.p.a. e SCR Piemonte) essendo "riscontrabile nel caso di Eur s.p.a.", la Procura Regionale è "costretta a concentrarsi sul solo momento della costituzione ex lege della società", laddove tale profilo è invero "insufficiente a radicare la giurisdizione della Corte dei Conti".</w:t>
      </w:r>
    </w:p>
    <w:p w14:paraId="452078D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Con controricorso adesivo il S. fa "proprie le argomentazioni" dei ricorrenti, dolendosi non essersi considerato che nella specie non ricorre alcuna delle ipotesi previste all'</w:t>
      </w:r>
      <w:hyperlink r:id="rId37" w:history="1">
        <w:r w:rsidRPr="00545BEB">
          <w:rPr>
            <w:rFonts w:ascii="Lato" w:eastAsia="Times New Roman" w:hAnsi="Lato" w:cs="Times New Roman"/>
            <w:b/>
            <w:bCs/>
            <w:color w:val="FFA403"/>
            <w:spacing w:val="5"/>
            <w:sz w:val="24"/>
            <w:szCs w:val="24"/>
            <w:lang w:eastAsia="it-IT"/>
          </w:rPr>
          <w:t>art. 12,D.L.vo n. 175 del 2016</w:t>
        </w:r>
      </w:hyperlink>
      <w:r w:rsidRPr="00545BEB">
        <w:rPr>
          <w:rFonts w:ascii="Lato" w:eastAsia="Times New Roman" w:hAnsi="Lato" w:cs="Times New Roman"/>
          <w:color w:val="000000"/>
          <w:spacing w:val="5"/>
          <w:sz w:val="24"/>
          <w:szCs w:val="24"/>
          <w:lang w:eastAsia="it-IT"/>
        </w:rPr>
        <w:t xml:space="preserve">: né quella che "la società sia da considerarsi longa manus dell'Ente pubblico (c.d. società in house </w:t>
      </w:r>
      <w:proofErr w:type="spellStart"/>
      <w:r w:rsidRPr="00545BEB">
        <w:rPr>
          <w:rFonts w:ascii="Lato" w:eastAsia="Times New Roman" w:hAnsi="Lato" w:cs="Times New Roman"/>
          <w:color w:val="000000"/>
          <w:spacing w:val="5"/>
          <w:sz w:val="24"/>
          <w:szCs w:val="24"/>
          <w:lang w:eastAsia="it-IT"/>
        </w:rPr>
        <w:t>providing</w:t>
      </w:r>
      <w:proofErr w:type="spellEnd"/>
      <w:r w:rsidRPr="00545BEB">
        <w:rPr>
          <w:rFonts w:ascii="Lato" w:eastAsia="Times New Roman" w:hAnsi="Lato" w:cs="Times New Roman"/>
          <w:color w:val="000000"/>
          <w:spacing w:val="5"/>
          <w:sz w:val="24"/>
          <w:szCs w:val="24"/>
          <w:lang w:eastAsia="it-IT"/>
        </w:rPr>
        <w:t>)", né un "c.d. danno indiretto (ossia la responsabilità in capo all'ente pubblico partecipante per aver trascurato i propri diritti di socio così pregiudicando il valore della partecipazione)".</w:t>
      </w:r>
    </w:p>
    <w:p w14:paraId="09C7DC7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Si duole non essersi considerato che la società Eur s.p.a. "è una società di diritto privato... operante nel mercato in regime di libera concorrenza", che svolge la propria attività "in favore di sé stessa e non a favore dei singoli soci, i quali - pur trattandosi di amministrazioni pubbliche - non godono di poteri differenti o più ampi di quelli che ordinariamente spettano al socio di società per azioni", come risulta d'altro canto "comprovato dal fatto che la Società, proprio al pari di una qualunque azienda privata in crisi, si è vista costretta a presentare domanda di concordato ed è stata costretta, proprio per far fronte alla crisi che l'aveva coinvolta, a vendere alcuni degli immobili che rientravano nel proprio patrimonio".</w:t>
      </w:r>
    </w:p>
    <w:p w14:paraId="53629D3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Va pregiudizialmente affermata l'ammissibilità dei ricorsi del M. e del D.S. nonché del controricorso adesivo del S., pur se non articolati in motivi specifici, dovendo darsi continuità al principio in base al quale, non essendo l'istanza di regolamento di giurisdizione un mezzo di impugnazione bensì soltanto uno strumento per risolvere in via preventiva ogni contrasto - reale o potenziale - sulla </w:t>
      </w:r>
      <w:proofErr w:type="spellStart"/>
      <w:r w:rsidRPr="00545BEB">
        <w:rPr>
          <w:rFonts w:ascii="Lato" w:eastAsia="Times New Roman" w:hAnsi="Lato" w:cs="Times New Roman"/>
          <w:color w:val="000000"/>
          <w:spacing w:val="5"/>
          <w:sz w:val="24"/>
          <w:szCs w:val="24"/>
          <w:lang w:eastAsia="it-IT"/>
        </w:rPr>
        <w:t>potestas</w:t>
      </w:r>
      <w:proofErr w:type="spellEnd"/>
      <w:r w:rsidRPr="00545BEB">
        <w:rPr>
          <w:rFonts w:ascii="Lato" w:eastAsia="Times New Roman" w:hAnsi="Lato" w:cs="Times New Roman"/>
          <w:color w:val="000000"/>
          <w:spacing w:val="5"/>
          <w:sz w:val="24"/>
          <w:szCs w:val="24"/>
          <w:lang w:eastAsia="it-IT"/>
        </w:rPr>
        <w:t xml:space="preserve"> </w:t>
      </w:r>
      <w:proofErr w:type="spellStart"/>
      <w:r w:rsidRPr="00545BEB">
        <w:rPr>
          <w:rFonts w:ascii="Lato" w:eastAsia="Times New Roman" w:hAnsi="Lato" w:cs="Times New Roman"/>
          <w:color w:val="000000"/>
          <w:spacing w:val="5"/>
          <w:sz w:val="24"/>
          <w:szCs w:val="24"/>
          <w:lang w:eastAsia="it-IT"/>
        </w:rPr>
        <w:t>iudicandi</w:t>
      </w:r>
      <w:proofErr w:type="spellEnd"/>
      <w:r w:rsidRPr="00545BEB">
        <w:rPr>
          <w:rFonts w:ascii="Lato" w:eastAsia="Times New Roman" w:hAnsi="Lato" w:cs="Times New Roman"/>
          <w:color w:val="000000"/>
          <w:spacing w:val="5"/>
          <w:sz w:val="24"/>
          <w:szCs w:val="24"/>
          <w:lang w:eastAsia="it-IT"/>
        </w:rPr>
        <w:t xml:space="preserve"> del giudice adito, ai fini dell'ammissibilità del ricorso per cassazione (così come d'altro canto per il ricorso con motivi attinenti alla giurisdizione ai sensi dell'</w:t>
      </w:r>
      <w:hyperlink r:id="rId38" w:history="1">
        <w:r w:rsidRPr="00545BEB">
          <w:rPr>
            <w:rFonts w:ascii="Lato" w:eastAsia="Times New Roman" w:hAnsi="Lato" w:cs="Times New Roman"/>
            <w:b/>
            <w:bCs/>
            <w:color w:val="FFA403"/>
            <w:spacing w:val="5"/>
            <w:sz w:val="24"/>
            <w:szCs w:val="24"/>
            <w:lang w:eastAsia="it-IT"/>
          </w:rPr>
          <w:t>art. 360 comma 1, n. 1, c.p.c.</w:t>
        </w:r>
      </w:hyperlink>
      <w:r w:rsidRPr="00545BEB">
        <w:rPr>
          <w:rFonts w:ascii="Lato" w:eastAsia="Times New Roman" w:hAnsi="Lato" w:cs="Times New Roman"/>
          <w:color w:val="000000"/>
          <w:spacing w:val="5"/>
          <w:sz w:val="24"/>
          <w:szCs w:val="24"/>
          <w:lang w:eastAsia="it-IT"/>
        </w:rPr>
        <w:t> e </w:t>
      </w:r>
      <w:hyperlink r:id="rId39" w:history="1">
        <w:r w:rsidRPr="00545BEB">
          <w:rPr>
            <w:rFonts w:ascii="Lato" w:eastAsia="Times New Roman" w:hAnsi="Lato" w:cs="Times New Roman"/>
            <w:b/>
            <w:bCs/>
            <w:color w:val="FFA403"/>
            <w:spacing w:val="5"/>
            <w:sz w:val="24"/>
            <w:szCs w:val="24"/>
            <w:lang w:eastAsia="it-IT"/>
          </w:rPr>
          <w:t>art. 362 c.p.c.</w:t>
        </w:r>
      </w:hyperlink>
      <w:r w:rsidRPr="00545BEB">
        <w:rPr>
          <w:rFonts w:ascii="Lato" w:eastAsia="Times New Roman" w:hAnsi="Lato" w:cs="Times New Roman"/>
          <w:color w:val="000000"/>
          <w:spacing w:val="5"/>
          <w:sz w:val="24"/>
          <w:szCs w:val="24"/>
          <w:lang w:eastAsia="it-IT"/>
        </w:rPr>
        <w:t xml:space="preserve">: v. Cass., Sez. Un., 20 marzo 2018, n. 6929; Cass., Sez. Un., 22 aprile 2013, n. 9690) non è necessaria la specifica indicazione delle norme violate, essendo sufficiente l'esposizione sommaria dei fatti di causa, in modo da consentire alla Corte Suprema di Cassazione di conoscere dall'atto, senza attingerli </w:t>
      </w:r>
      <w:proofErr w:type="spellStart"/>
      <w:r w:rsidRPr="00545BEB">
        <w:rPr>
          <w:rFonts w:ascii="Lato" w:eastAsia="Times New Roman" w:hAnsi="Lato" w:cs="Times New Roman"/>
          <w:color w:val="000000"/>
          <w:spacing w:val="5"/>
          <w:sz w:val="24"/>
          <w:szCs w:val="24"/>
          <w:lang w:eastAsia="it-IT"/>
        </w:rPr>
        <w:t>aliunde</w:t>
      </w:r>
      <w:proofErr w:type="spellEnd"/>
      <w:r w:rsidRPr="00545BEB">
        <w:rPr>
          <w:rFonts w:ascii="Lato" w:eastAsia="Times New Roman" w:hAnsi="Lato" w:cs="Times New Roman"/>
          <w:color w:val="000000"/>
          <w:spacing w:val="5"/>
          <w:sz w:val="24"/>
          <w:szCs w:val="24"/>
          <w:lang w:eastAsia="it-IT"/>
        </w:rPr>
        <w:t>, gli elementi indispensabili per una precisa cognizione dell'origine e dell'oggetto della controversia e la deduzione, nella parte motiva, dei principi relativi al riparto di giurisdizione di cui si denunci l'erroneità (cfr. Cass., Sez. Un., 16 maggio 2013, n. 11826; Cass., Sez. Un., 18 maggio 2015, n. 10092; Cass., Sez. Un., 31 gennaio 2008, n. 2276).</w:t>
      </w:r>
    </w:p>
    <w:p w14:paraId="093575B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lastRenderedPageBreak/>
        <w:t>I motivi dei ricorsi e del controricorso adesivo sono fondati e vanno accolti nei termini di seguito indicati.</w:t>
      </w:r>
    </w:p>
    <w:p w14:paraId="62F09157"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La vicenda attiene alla realizzazione del Nuovo Centro Congressi (NCC), noto come "Nuvola di F.", nel quartiere Eur della città di Roma.</w:t>
      </w:r>
    </w:p>
    <w:p w14:paraId="42049D7B"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All'esito della declaratoria del 9 novembre 2005 di decadenza dell'aggiudicazione effettuata nel 2002 alla società Centro Congressi Italia s.p.a., associazione temporanea d'imprese (con cui nel 2003 era stato stipulato un contratto di concessione trentennale, per la progettazione, la realizzazione e la gestione del NCC deliberata dal Comune di Roma già nel 1998, che d'intesa con l'allora Ente Autonomo Eur (poi ex </w:t>
      </w:r>
      <w:hyperlink r:id="rId40" w:history="1">
        <w:r w:rsidRPr="00545BEB">
          <w:rPr>
            <w:rFonts w:ascii="Lato" w:eastAsia="Times New Roman" w:hAnsi="Lato" w:cs="Times New Roman"/>
            <w:b/>
            <w:bCs/>
            <w:color w:val="FFA403"/>
            <w:spacing w:val="5"/>
            <w:sz w:val="24"/>
            <w:szCs w:val="24"/>
            <w:lang w:eastAsia="it-IT"/>
          </w:rPr>
          <w:t>D.L.vo n. 304 del 1999</w:t>
        </w:r>
      </w:hyperlink>
      <w:r w:rsidRPr="00545BEB">
        <w:rPr>
          <w:rFonts w:ascii="Lato" w:eastAsia="Times New Roman" w:hAnsi="Lato" w:cs="Times New Roman"/>
          <w:color w:val="000000"/>
          <w:spacing w:val="5"/>
          <w:sz w:val="24"/>
          <w:szCs w:val="24"/>
          <w:lang w:eastAsia="it-IT"/>
        </w:rPr>
        <w:t xml:space="preserve">, trasformato nella società Eur s.p.a.) aveva indetto il relativo concorso), nel 2006 è stata dalla società Eur s.p.a. acquisito il progetto definitivo elaborato </w:t>
      </w:r>
      <w:proofErr w:type="spellStart"/>
      <w:r w:rsidRPr="00545BEB">
        <w:rPr>
          <w:rFonts w:ascii="Lato" w:eastAsia="Times New Roman" w:hAnsi="Lato" w:cs="Times New Roman"/>
          <w:color w:val="000000"/>
          <w:spacing w:val="5"/>
          <w:sz w:val="24"/>
          <w:szCs w:val="24"/>
          <w:lang w:eastAsia="it-IT"/>
        </w:rPr>
        <w:t>dall'arch</w:t>
      </w:r>
      <w:proofErr w:type="spellEnd"/>
      <w:r w:rsidRPr="00545BEB">
        <w:rPr>
          <w:rFonts w:ascii="Lato" w:eastAsia="Times New Roman" w:hAnsi="Lato" w:cs="Times New Roman"/>
          <w:color w:val="000000"/>
          <w:spacing w:val="5"/>
          <w:sz w:val="24"/>
          <w:szCs w:val="24"/>
          <w:lang w:eastAsia="it-IT"/>
        </w:rPr>
        <w:t>. F.M. per il già concessionario, e dal Comune di Roma è stata deliberata la realizzazione dell'opera con modalità diverse dalla concessione.</w:t>
      </w:r>
    </w:p>
    <w:p w14:paraId="461A6095"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Con Convenzione dell'8/5/2006 e contratto stipulato in data 8 maggio 2008 la società Eur s.p.a. ha quindi affidato al F., in proprio e quale legale rappresentante della società F. Associati s.r.l. nonché </w:t>
      </w:r>
      <w:proofErr w:type="spellStart"/>
      <w:r w:rsidRPr="00545BEB">
        <w:rPr>
          <w:rFonts w:ascii="Lato" w:eastAsia="Times New Roman" w:hAnsi="Lato" w:cs="Times New Roman"/>
          <w:color w:val="000000"/>
          <w:spacing w:val="5"/>
          <w:sz w:val="24"/>
          <w:szCs w:val="24"/>
          <w:lang w:eastAsia="it-IT"/>
        </w:rPr>
        <w:t>dell'ing</w:t>
      </w:r>
      <w:proofErr w:type="spellEnd"/>
      <w:r w:rsidRPr="00545BEB">
        <w:rPr>
          <w:rFonts w:ascii="Lato" w:eastAsia="Times New Roman" w:hAnsi="Lato" w:cs="Times New Roman"/>
          <w:color w:val="000000"/>
          <w:spacing w:val="5"/>
          <w:sz w:val="24"/>
          <w:szCs w:val="24"/>
          <w:lang w:eastAsia="it-IT"/>
        </w:rPr>
        <w:t xml:space="preserve">. </w:t>
      </w:r>
      <w:proofErr w:type="spellStart"/>
      <w:r w:rsidRPr="00545BEB">
        <w:rPr>
          <w:rFonts w:ascii="Lato" w:eastAsia="Times New Roman" w:hAnsi="Lato" w:cs="Times New Roman"/>
          <w:color w:val="000000"/>
          <w:spacing w:val="5"/>
          <w:sz w:val="24"/>
          <w:szCs w:val="24"/>
          <w:lang w:eastAsia="it-IT"/>
        </w:rPr>
        <w:t>Ma.Ma</w:t>
      </w:r>
      <w:proofErr w:type="spellEnd"/>
      <w:r w:rsidRPr="00545BEB">
        <w:rPr>
          <w:rFonts w:ascii="Lato" w:eastAsia="Times New Roman" w:hAnsi="Lato" w:cs="Times New Roman"/>
          <w:color w:val="000000"/>
          <w:spacing w:val="5"/>
          <w:sz w:val="24"/>
          <w:szCs w:val="24"/>
          <w:lang w:eastAsia="it-IT"/>
        </w:rPr>
        <w:t>. e della società di progettazione Al Engineering s.r.l. ("Gruppo di progettazione") la progettazione esecutiva, architettonica, strutturale, impiantistica e di coordinamento per la sicurezza in fase di progettazione e per l'intesa di massima con la Direzione artistica, verso il corrispettivo di Euro 5.000.000,00.</w:t>
      </w:r>
    </w:p>
    <w:p w14:paraId="7CF8195B"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Nel 2007 l'appalto per la costruzione dell'opera </w:t>
      </w:r>
      <w:proofErr w:type="gramStart"/>
      <w:r w:rsidRPr="00545BEB">
        <w:rPr>
          <w:rFonts w:ascii="Lato" w:eastAsia="Times New Roman" w:hAnsi="Lato" w:cs="Times New Roman"/>
          <w:color w:val="000000"/>
          <w:spacing w:val="5"/>
          <w:sz w:val="24"/>
          <w:szCs w:val="24"/>
          <w:lang w:eastAsia="it-IT"/>
        </w:rPr>
        <w:t>è stata aggiudicata</w:t>
      </w:r>
      <w:proofErr w:type="gramEnd"/>
      <w:r w:rsidRPr="00545BEB">
        <w:rPr>
          <w:rFonts w:ascii="Lato" w:eastAsia="Times New Roman" w:hAnsi="Lato" w:cs="Times New Roman"/>
          <w:color w:val="000000"/>
          <w:spacing w:val="5"/>
          <w:sz w:val="24"/>
          <w:szCs w:val="24"/>
          <w:lang w:eastAsia="it-IT"/>
        </w:rPr>
        <w:t xml:space="preserve"> alla Società Italiana per Condotte d'Acqua.</w:t>
      </w:r>
    </w:p>
    <w:p w14:paraId="54F1A11B"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Con contratto del 15 giugno 2011, in attuazione della relativa previsione nella Convenzione del 2006, è stato al F. conferito anche l'incarico di Direzione artistica.</w:t>
      </w:r>
    </w:p>
    <w:p w14:paraId="54BE7C1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Alle Convenzioni del 2006 e del 2008 hanno fatto seguito due integrazioni (nel 2010 e nel 2012), rispettivamente per opere complementari e per il prolungamento dell'attività di Direzione artistica, in ragione delle varianti nel frattempo intervenute.</w:t>
      </w:r>
    </w:p>
    <w:p w14:paraId="2AACA00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Con atto notificato in data 10 novembre 2017 la Procura Regionale presso la Sezione giurisdizionale della Corte dei Conti per il Lazio ha citato i </w:t>
      </w:r>
      <w:proofErr w:type="spellStart"/>
      <w:r w:rsidRPr="00545BEB">
        <w:rPr>
          <w:rFonts w:ascii="Lato" w:eastAsia="Times New Roman" w:hAnsi="Lato" w:cs="Times New Roman"/>
          <w:color w:val="000000"/>
          <w:spacing w:val="5"/>
          <w:sz w:val="24"/>
          <w:szCs w:val="24"/>
          <w:lang w:eastAsia="it-IT"/>
        </w:rPr>
        <w:t>sigg.ri</w:t>
      </w:r>
      <w:proofErr w:type="spellEnd"/>
      <w:r w:rsidRPr="00545BEB">
        <w:rPr>
          <w:rFonts w:ascii="Lato" w:eastAsia="Times New Roman" w:hAnsi="Lato" w:cs="Times New Roman"/>
          <w:color w:val="000000"/>
          <w:spacing w:val="5"/>
          <w:sz w:val="24"/>
          <w:szCs w:val="24"/>
          <w:lang w:eastAsia="it-IT"/>
        </w:rPr>
        <w:t xml:space="preserve"> F.M., S.R., B.P., M.R., L.L., D.S.S.M. e C.F. - nella rispettiva qualità di architetto libero professionista (il primo) e ex presidenti o amministratori delegati o consiglieri della società Eur s.p.a. (gli altri) - a giudizio contabile.</w:t>
      </w:r>
    </w:p>
    <w:p w14:paraId="3B83320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La Procura Regionale della Corte dei Conti ritiene in particolare illecito il conferimento della Direzione Artistica, in quanto non contemplata da alcuna previsione normativa ad eccezione dell'</w:t>
      </w:r>
      <w:hyperlink r:id="rId41" w:history="1">
        <w:r w:rsidRPr="00545BEB">
          <w:rPr>
            <w:rFonts w:ascii="Lato" w:eastAsia="Times New Roman" w:hAnsi="Lato" w:cs="Times New Roman"/>
            <w:b/>
            <w:bCs/>
            <w:color w:val="FFA403"/>
            <w:spacing w:val="5"/>
            <w:sz w:val="24"/>
            <w:szCs w:val="24"/>
            <w:lang w:eastAsia="it-IT"/>
          </w:rPr>
          <w:t>art. 20,D.M. n. 22 del 1955</w:t>
        </w:r>
      </w:hyperlink>
      <w:r w:rsidRPr="00545BEB">
        <w:rPr>
          <w:rFonts w:ascii="Lato" w:eastAsia="Times New Roman" w:hAnsi="Lato" w:cs="Times New Roman"/>
          <w:color w:val="000000"/>
          <w:spacing w:val="5"/>
          <w:sz w:val="24"/>
          <w:szCs w:val="24"/>
          <w:lang w:eastAsia="it-IT"/>
        </w:rPr>
        <w:t> e ingiustificata "nel contesto amministrativo- contrattuale specifico della realizzazione del Nuove Centro Congressi), trattandosi dell'affidamento "all'esterno del soggetto pubblico" di "scelte di dettaglio (colori, dimensioni, finiture, ecc.) che sono normalmente di competenza dell'autore del progetto esecutivo, il quale... invece di definire anche questi particolari in sede progettuale, ha rinviato le (proprie) scelte alla (soltanto formalmente) diversa sede della direzione artistica in corso d'opera - dunque, a sé medesimo - sebbene l'incarico originariamente ricevuto prevedesse la definizione di ogni dettaglio già in sede di progettazione esecutiva".</w:t>
      </w:r>
    </w:p>
    <w:p w14:paraId="33235DC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Deduce essersi a tale stregua realizzata un'illecita "duplicazione di attività", con determinazione di ammontare a titolo di corrispettivo, "a carico delle pubbliche finanze" altresì incongruo.</w:t>
      </w:r>
    </w:p>
    <w:p w14:paraId="6ED1ABAD"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La Procura Regionale della Corte dei Conti configura nella specie la responsabilità contabile, argomentando essenzialmente dal rilievo:</w:t>
      </w:r>
    </w:p>
    <w:p w14:paraId="7CB40CD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u w:val="single"/>
          <w:lang w:eastAsia="it-IT"/>
        </w:rPr>
      </w:pPr>
      <w:r w:rsidRPr="00545BEB">
        <w:rPr>
          <w:rFonts w:ascii="Lato" w:eastAsia="Times New Roman" w:hAnsi="Lato" w:cs="Times New Roman"/>
          <w:b/>
          <w:bCs/>
          <w:color w:val="000000"/>
          <w:spacing w:val="5"/>
          <w:sz w:val="24"/>
          <w:szCs w:val="24"/>
          <w:lang w:eastAsia="it-IT"/>
        </w:rPr>
        <w:lastRenderedPageBreak/>
        <w:t xml:space="preserve">- </w:t>
      </w:r>
      <w:r w:rsidRPr="00545BEB">
        <w:rPr>
          <w:rFonts w:ascii="Lato" w:eastAsia="Times New Roman" w:hAnsi="Lato" w:cs="Times New Roman"/>
          <w:b/>
          <w:bCs/>
          <w:color w:val="000000"/>
          <w:spacing w:val="5"/>
          <w:sz w:val="24"/>
          <w:szCs w:val="24"/>
          <w:u w:val="single"/>
          <w:lang w:eastAsia="it-IT"/>
        </w:rPr>
        <w:t xml:space="preserve">che la società Eur </w:t>
      </w:r>
      <w:proofErr w:type="spellStart"/>
      <w:r w:rsidRPr="00545BEB">
        <w:rPr>
          <w:rFonts w:ascii="Lato" w:eastAsia="Times New Roman" w:hAnsi="Lato" w:cs="Times New Roman"/>
          <w:b/>
          <w:bCs/>
          <w:color w:val="000000"/>
          <w:spacing w:val="5"/>
          <w:sz w:val="24"/>
          <w:szCs w:val="24"/>
          <w:u w:val="single"/>
          <w:lang w:eastAsia="it-IT"/>
        </w:rPr>
        <w:t>s.p.a</w:t>
      </w:r>
      <w:proofErr w:type="spellEnd"/>
      <w:r w:rsidRPr="00545BEB">
        <w:rPr>
          <w:rFonts w:ascii="Lato" w:eastAsia="Times New Roman" w:hAnsi="Lato" w:cs="Times New Roman"/>
          <w:b/>
          <w:bCs/>
          <w:color w:val="000000"/>
          <w:spacing w:val="5"/>
          <w:sz w:val="24"/>
          <w:szCs w:val="24"/>
          <w:u w:val="single"/>
          <w:lang w:eastAsia="it-IT"/>
        </w:rPr>
        <w:t xml:space="preserve"> è soggetto pubblico appartenente alla categoria delle società legali, stante la sua istituzione per legge (</w:t>
      </w:r>
      <w:hyperlink r:id="rId42" w:history="1">
        <w:r w:rsidRPr="00545BEB">
          <w:rPr>
            <w:rFonts w:ascii="Lato" w:eastAsia="Times New Roman" w:hAnsi="Lato" w:cs="Times New Roman"/>
            <w:b/>
            <w:bCs/>
            <w:color w:val="FFA403"/>
            <w:spacing w:val="5"/>
            <w:sz w:val="24"/>
            <w:szCs w:val="24"/>
            <w:u w:val="single"/>
            <w:lang w:eastAsia="it-IT"/>
          </w:rPr>
          <w:t>D.L.vo n. 304 del 1999</w:t>
        </w:r>
      </w:hyperlink>
      <w:r w:rsidRPr="00545BEB">
        <w:rPr>
          <w:rFonts w:ascii="Lato" w:eastAsia="Times New Roman" w:hAnsi="Lato" w:cs="Times New Roman"/>
          <w:b/>
          <w:bCs/>
          <w:color w:val="000000"/>
          <w:spacing w:val="5"/>
          <w:sz w:val="24"/>
          <w:szCs w:val="24"/>
          <w:u w:val="single"/>
          <w:lang w:eastAsia="it-IT"/>
        </w:rPr>
        <w:t xml:space="preserve">), e la trasformazione </w:t>
      </w:r>
      <w:proofErr w:type="spellStart"/>
      <w:r w:rsidRPr="00545BEB">
        <w:rPr>
          <w:rFonts w:ascii="Lato" w:eastAsia="Times New Roman" w:hAnsi="Lato" w:cs="Times New Roman"/>
          <w:b/>
          <w:bCs/>
          <w:color w:val="000000"/>
          <w:spacing w:val="5"/>
          <w:sz w:val="24"/>
          <w:szCs w:val="24"/>
          <w:u w:val="single"/>
          <w:lang w:eastAsia="it-IT"/>
        </w:rPr>
        <w:t>ope</w:t>
      </w:r>
      <w:proofErr w:type="spellEnd"/>
      <w:r w:rsidRPr="00545BEB">
        <w:rPr>
          <w:rFonts w:ascii="Lato" w:eastAsia="Times New Roman" w:hAnsi="Lato" w:cs="Times New Roman"/>
          <w:b/>
          <w:bCs/>
          <w:color w:val="000000"/>
          <w:spacing w:val="5"/>
          <w:sz w:val="24"/>
          <w:szCs w:val="24"/>
          <w:u w:val="single"/>
          <w:lang w:eastAsia="it-IT"/>
        </w:rPr>
        <w:t xml:space="preserve"> legis dall'ente pubblico Esposizione Universale di Roma</w:t>
      </w:r>
      <w:r w:rsidRPr="00545BEB">
        <w:rPr>
          <w:rFonts w:ascii="Lato" w:eastAsia="Times New Roman" w:hAnsi="Lato" w:cs="Times New Roman"/>
          <w:color w:val="000000"/>
          <w:spacing w:val="5"/>
          <w:sz w:val="24"/>
          <w:szCs w:val="24"/>
          <w:u w:val="single"/>
          <w:lang w:eastAsia="it-IT"/>
        </w:rPr>
        <w:t>;</w:t>
      </w:r>
    </w:p>
    <w:p w14:paraId="225EBF2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il patrimonio è costituito da quello già appartenente all'Ente Autonomo Eur;</w:t>
      </w:r>
    </w:p>
    <w:p w14:paraId="27D6E8B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il capitale della società è interamente pubblico;</w:t>
      </w:r>
    </w:p>
    <w:p w14:paraId="7AA9C5B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l'attività della società ha "fortissimi connotati pubblicistici", sostanziandosi nella gestione e valorizzazione del complesso dei beni di cui è titolare nell'interesse pubblico;</w:t>
      </w:r>
    </w:p>
    <w:p w14:paraId="5E13ABAA"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il NCC è realizzato con cofinanziamenti pubblici, in aggiunta alle risorse proprie della società;</w:t>
      </w:r>
    </w:p>
    <w:p w14:paraId="33AD8807"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ex art. 3, comma 1, lett. d, Codice dei contratti alla società si applica la normativa in materia di evidenza pubblica;</w:t>
      </w:r>
    </w:p>
    <w:p w14:paraId="23484445"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lo Statuto della società prevede, sia pure incidentalmente ed indirettamente, la soggezione degli amministratori alla giurisdizione della Corte dei Conti, allorché considera causa di ineleggibilità o di decadenza l'intervento di una sentenza di condanna definitiva per commissione dolosa di danno erariale;</w:t>
      </w:r>
    </w:p>
    <w:p w14:paraId="266FC8B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la società è sottoposta al controllo della Corte dei Conti ex </w:t>
      </w:r>
      <w:hyperlink r:id="rId43" w:history="1">
        <w:r w:rsidRPr="00545BEB">
          <w:rPr>
            <w:rFonts w:ascii="Lato" w:eastAsia="Times New Roman" w:hAnsi="Lato" w:cs="Times New Roman"/>
            <w:b/>
            <w:bCs/>
            <w:color w:val="FFA403"/>
            <w:spacing w:val="5"/>
            <w:sz w:val="24"/>
            <w:szCs w:val="24"/>
            <w:lang w:eastAsia="it-IT"/>
          </w:rPr>
          <w:t>D.P.R. 11 marzo 1961</w:t>
        </w:r>
      </w:hyperlink>
      <w:r w:rsidRPr="00545BEB">
        <w:rPr>
          <w:rFonts w:ascii="Lato" w:eastAsia="Times New Roman" w:hAnsi="Lato" w:cs="Times New Roman"/>
          <w:color w:val="000000"/>
          <w:spacing w:val="5"/>
          <w:sz w:val="24"/>
          <w:szCs w:val="24"/>
          <w:lang w:eastAsia="it-IT"/>
        </w:rPr>
        <w:t>, la quale ai sensi della </w:t>
      </w:r>
      <w:hyperlink r:id="rId44" w:history="1">
        <w:r w:rsidRPr="00545BEB">
          <w:rPr>
            <w:rFonts w:ascii="Lato" w:eastAsia="Times New Roman" w:hAnsi="Lato" w:cs="Times New Roman"/>
            <w:b/>
            <w:bCs/>
            <w:color w:val="FFA403"/>
            <w:spacing w:val="5"/>
            <w:sz w:val="24"/>
            <w:szCs w:val="24"/>
            <w:lang w:eastAsia="it-IT"/>
          </w:rPr>
          <w:t>L. n. 259 del 1958</w:t>
        </w:r>
      </w:hyperlink>
      <w:r w:rsidRPr="00545BEB">
        <w:rPr>
          <w:rFonts w:ascii="Lato" w:eastAsia="Times New Roman" w:hAnsi="Lato" w:cs="Times New Roman"/>
          <w:color w:val="000000"/>
          <w:spacing w:val="5"/>
          <w:sz w:val="24"/>
          <w:szCs w:val="24"/>
          <w:lang w:eastAsia="it-IT"/>
        </w:rPr>
        <w:t>, art. 7, riferisce al Parlamento sul risultato del controllo eseguito;</w:t>
      </w:r>
    </w:p>
    <w:p w14:paraId="29749A95"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pur non essendo contemplata nell'elenco delle Amministrazioni pubbliche inserite nel conto economico consolidato predisposto dall'Istat e individuate ai sensi della </w:t>
      </w:r>
      <w:hyperlink r:id="rId45" w:history="1">
        <w:r w:rsidRPr="00545BEB">
          <w:rPr>
            <w:rFonts w:ascii="Lato" w:eastAsia="Times New Roman" w:hAnsi="Lato" w:cs="Times New Roman"/>
            <w:b/>
            <w:bCs/>
            <w:color w:val="FFA403"/>
            <w:spacing w:val="5"/>
            <w:sz w:val="24"/>
            <w:szCs w:val="24"/>
            <w:lang w:eastAsia="it-IT"/>
          </w:rPr>
          <w:t>L. n. 196 del 2009</w:t>
        </w:r>
      </w:hyperlink>
      <w:r w:rsidRPr="00545BEB">
        <w:rPr>
          <w:rFonts w:ascii="Lato" w:eastAsia="Times New Roman" w:hAnsi="Lato" w:cs="Times New Roman"/>
          <w:color w:val="000000"/>
          <w:spacing w:val="5"/>
          <w:sz w:val="24"/>
          <w:szCs w:val="24"/>
          <w:lang w:eastAsia="it-IT"/>
        </w:rPr>
        <w:t xml:space="preserve">, art. 1, comma 3, la società è comunque tenuta al contenimento della spesa pubblica (c.d. spending review), come osservato nella </w:t>
      </w:r>
      <w:proofErr w:type="spellStart"/>
      <w:r w:rsidRPr="00545BEB">
        <w:rPr>
          <w:rFonts w:ascii="Lato" w:eastAsia="Times New Roman" w:hAnsi="Lato" w:cs="Times New Roman"/>
          <w:color w:val="000000"/>
          <w:spacing w:val="5"/>
          <w:sz w:val="24"/>
          <w:szCs w:val="24"/>
          <w:lang w:eastAsia="it-IT"/>
        </w:rPr>
        <w:t>Delib</w:t>
      </w:r>
      <w:proofErr w:type="spellEnd"/>
      <w:r w:rsidRPr="00545BEB">
        <w:rPr>
          <w:rFonts w:ascii="Lato" w:eastAsia="Times New Roman" w:hAnsi="Lato" w:cs="Times New Roman"/>
          <w:color w:val="000000"/>
          <w:spacing w:val="5"/>
          <w:sz w:val="24"/>
          <w:szCs w:val="24"/>
          <w:lang w:eastAsia="it-IT"/>
        </w:rPr>
        <w:t>. 17 novembre 2014, n. 99, della Corte dei Conti - Sez. controllo Enti;</w:t>
      </w:r>
    </w:p>
    <w:p w14:paraId="795B0823"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che "proprio tutti questi elementi... sono stati sempre ritenuti dirimenti dalla Suprema Corte di Cassazione ai fini del riconoscimento della giurisdizione della Corte di Conti, trattandosi di altrettanti indici della natura sostanzialmente pubblica del soggetto", con riferimento alle società legali (in particolare, la Rai-Tv, l'Enav, l'Anas, la Centrale di committenza regionale SCR Piemonte);</w:t>
      </w:r>
    </w:p>
    <w:p w14:paraId="345427E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della possibilità, all'esito dell'entrata in vigore dell'</w:t>
      </w:r>
      <w:hyperlink r:id="rId46" w:history="1">
        <w:r w:rsidRPr="00545BEB">
          <w:rPr>
            <w:rFonts w:ascii="Lato" w:eastAsia="Times New Roman" w:hAnsi="Lato" w:cs="Times New Roman"/>
            <w:b/>
            <w:bCs/>
            <w:color w:val="FFA403"/>
            <w:spacing w:val="5"/>
            <w:sz w:val="24"/>
            <w:szCs w:val="24"/>
            <w:lang w:eastAsia="it-IT"/>
          </w:rPr>
          <w:t>art. 12,D.L.vo n. 175 del 2016</w:t>
        </w:r>
      </w:hyperlink>
      <w:r w:rsidRPr="00545BEB">
        <w:rPr>
          <w:rFonts w:ascii="Lato" w:eastAsia="Times New Roman" w:hAnsi="Lato" w:cs="Times New Roman"/>
          <w:color w:val="000000"/>
          <w:spacing w:val="5"/>
          <w:sz w:val="24"/>
          <w:szCs w:val="24"/>
          <w:lang w:eastAsia="it-IT"/>
        </w:rPr>
        <w:t> (T.U. delle società a partecipazione pubblica), di considerare la società Eur s.p.a. quale società in house, "possedendo i tre elementi costitutivi delle stesse": la "partecipazione totalitaria di enti pubblici (90% Ministero dell'economia, 10% Comune di Roma"; l'"attività prevalente (oltre l'80% del fatturato, come oggi richiesto dall'art. 16, comma 3, del T.U.) a favore o nell'interesse degli enti pubblici soci o comunque nell'esercizio di compiti da questi affidati (... rilevanza pienamente pubblicistica delle attività, affidate direttamente dalla legge)"; il "controllo analogo... a quello esercitato sui propri servizi, esercitando un'influenza determinante sia sugli obiettivi strategici che sulle decisioni significative della società controllata";</w:t>
      </w:r>
    </w:p>
    <w:p w14:paraId="1B8B355D"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della "condotta illecita consistente nell'affidamento illecito di prestazioni di "direzione artistica" già ricomprese in precedenti e concomitanti incarichi affidati al F.", invero riconducibili "ad una forma di consulenza attribuita in fase di realizzazione dei lavori, per lo sviluppo completo dell'opera o parte di essa, con riferimento ad aspetti artistici od estetici... del tutto ingiustificata nella realizzazione del Nuovo Centro Congressi", nonché "connotata da evidenti sovrapposizioni con la progettazione esecutiva e la direzione lavori" e "assenza di congruità del corrispettivo".</w:t>
      </w:r>
    </w:p>
    <w:p w14:paraId="468AFAF7"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Orbene, l'assunto della Procura Regionale presso la Sezione giurisdizionale della Corte dei Conti per il Lazio, fondato sui suindicati argomenti, non è condivisibile.</w:t>
      </w:r>
    </w:p>
    <w:p w14:paraId="5CCAA8D3"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Va anzitutto osservato che - come dalla Procura Regionale della Corte dei Conti indicato nell'atto di citazione in giudizio - l'Ente Eur (Ente pubblico Autonomo "Esposizione </w:t>
      </w:r>
      <w:r w:rsidRPr="00545BEB">
        <w:rPr>
          <w:rFonts w:ascii="Lato" w:eastAsia="Times New Roman" w:hAnsi="Lato" w:cs="Times New Roman"/>
          <w:color w:val="000000"/>
          <w:spacing w:val="5"/>
          <w:sz w:val="24"/>
          <w:szCs w:val="24"/>
          <w:lang w:eastAsia="it-IT"/>
        </w:rPr>
        <w:lastRenderedPageBreak/>
        <w:t>Universale di Roma"), istituito con </w:t>
      </w:r>
      <w:hyperlink r:id="rId47" w:history="1">
        <w:r w:rsidRPr="00545BEB">
          <w:rPr>
            <w:rFonts w:ascii="Lato" w:eastAsia="Times New Roman" w:hAnsi="Lato" w:cs="Times New Roman"/>
            <w:b/>
            <w:bCs/>
            <w:color w:val="FFA403"/>
            <w:spacing w:val="5"/>
            <w:sz w:val="24"/>
            <w:szCs w:val="24"/>
            <w:lang w:eastAsia="it-IT"/>
          </w:rPr>
          <w:t>L. n. 2174 del 1936</w:t>
        </w:r>
      </w:hyperlink>
      <w:r w:rsidRPr="00545BEB">
        <w:rPr>
          <w:rFonts w:ascii="Lato" w:eastAsia="Times New Roman" w:hAnsi="Lato" w:cs="Times New Roman"/>
          <w:color w:val="000000"/>
          <w:spacing w:val="5"/>
          <w:sz w:val="24"/>
          <w:szCs w:val="24"/>
          <w:lang w:eastAsia="it-IT"/>
        </w:rPr>
        <w:t>, è stato </w:t>
      </w:r>
      <w:hyperlink r:id="rId48" w:history="1">
        <w:r w:rsidRPr="00545BEB">
          <w:rPr>
            <w:rFonts w:ascii="Lato" w:eastAsia="Times New Roman" w:hAnsi="Lato" w:cs="Times New Roman"/>
            <w:b/>
            <w:bCs/>
            <w:color w:val="FFA403"/>
            <w:spacing w:val="5"/>
            <w:sz w:val="24"/>
            <w:szCs w:val="24"/>
            <w:lang w:eastAsia="it-IT"/>
          </w:rPr>
          <w:t>L. n. 59 del 1997</w:t>
        </w:r>
      </w:hyperlink>
      <w:r w:rsidRPr="00545BEB">
        <w:rPr>
          <w:rFonts w:ascii="Lato" w:eastAsia="Times New Roman" w:hAnsi="Lato" w:cs="Times New Roman"/>
          <w:color w:val="000000"/>
          <w:spacing w:val="5"/>
          <w:sz w:val="24"/>
          <w:szCs w:val="24"/>
          <w:lang w:eastAsia="it-IT"/>
        </w:rPr>
        <w:t>, ex </w:t>
      </w:r>
      <w:hyperlink r:id="rId49" w:history="1">
        <w:r w:rsidRPr="00545BEB">
          <w:rPr>
            <w:rFonts w:ascii="Lato" w:eastAsia="Times New Roman" w:hAnsi="Lato" w:cs="Times New Roman"/>
            <w:b/>
            <w:bCs/>
            <w:color w:val="FFA403"/>
            <w:spacing w:val="5"/>
            <w:sz w:val="24"/>
            <w:szCs w:val="24"/>
            <w:lang w:eastAsia="it-IT"/>
          </w:rPr>
          <w:t>art. 11 e D.L.vo n. 304 del 1999</w:t>
        </w:r>
      </w:hyperlink>
      <w:r w:rsidRPr="00545BEB">
        <w:rPr>
          <w:rFonts w:ascii="Lato" w:eastAsia="Times New Roman" w:hAnsi="Lato" w:cs="Times New Roman"/>
          <w:color w:val="000000"/>
          <w:spacing w:val="5"/>
          <w:sz w:val="24"/>
          <w:szCs w:val="24"/>
          <w:lang w:eastAsia="it-IT"/>
        </w:rPr>
        <w:t>, trasformato nella società Eur s.p.a., società di sviluppo immobiliare con capitale sociale costituito dal patrimonio dell'ex ente pubblico (art. 3, comma 1), le cui corrispondenti azioni sono ripartite tra il Ministero dell'Economia (90%) e il Comune di Roma - poi Roma Capitale - (10%).</w:t>
      </w:r>
    </w:p>
    <w:p w14:paraId="65BB915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L'oggetto sociale principale della società Eur s.p.a. è costituito dalla gestione e valorizzazione del complesso di beni nella sua titolarità, con possibilità di compiere tutte le operazioni mobiliari e immobiliari utili e/o opportune, nonché di assumere partecipazioni in altre società e/o enti costituiti o da costituire (art. 4 Statuto).</w:t>
      </w:r>
    </w:p>
    <w:p w14:paraId="67C3F658"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Deve per altro verso sottolinearsi che - come queste Sezioni Unite hanno già avuto più volte modo di affermare - </w:t>
      </w:r>
      <w:r w:rsidRPr="00545BEB">
        <w:rPr>
          <w:rFonts w:ascii="Lato" w:eastAsia="Times New Roman" w:hAnsi="Lato" w:cs="Times New Roman"/>
          <w:b/>
          <w:bCs/>
          <w:color w:val="000000"/>
          <w:spacing w:val="5"/>
          <w:sz w:val="24"/>
          <w:szCs w:val="24"/>
          <w:u w:val="single"/>
          <w:lang w:eastAsia="it-IT"/>
        </w:rPr>
        <w:t>la società a partecipazione pubblica ha autonoma soggettività, con autonomia giuridica e patrimoniale rispetto al socio pubblico, non perdendo la propria natura di ente privato per il solo fatto che il capitale sia alimentato (anche) da conferimenti provenienti dallo Stato o da altro ente pubblico, e conservando natura privata con organizzazione secondo il tipo societario di stampo civilistico, pubblico essendo soltanto il soggetto che partecipa ad esse, sicché non è configurabile un rapporto di servizio tra l'agente e l'ente pubblico titolare della partecipazione idoneo a radicare la giurisdizione della Corte dei Conti</w:t>
      </w:r>
      <w:r w:rsidRPr="00545BEB">
        <w:rPr>
          <w:rFonts w:ascii="Lato" w:eastAsia="Times New Roman" w:hAnsi="Lato" w:cs="Times New Roman"/>
          <w:color w:val="000000"/>
          <w:spacing w:val="5"/>
          <w:sz w:val="24"/>
          <w:szCs w:val="24"/>
          <w:lang w:eastAsia="it-IT"/>
        </w:rPr>
        <w:t xml:space="preserve"> (v. Cass., Sez. Un., 27 dicembre 2017, n. 30978; Cass., Sez. Un., 15 maggio 2017, n. 11983; Cass., Sez. Un., 22 gennaio 2015, n. 1159; Cass., Sez. Un., 19 dicembre 2009, n. 26806).</w:t>
      </w:r>
    </w:p>
    <w:p w14:paraId="63CE8733"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Si è in tema di società a partecipazione pubblica da tempo posto in rilievo che (essendo stato l'</w:t>
      </w:r>
      <w:hyperlink r:id="rId50" w:history="1">
        <w:r w:rsidRPr="00545BEB">
          <w:rPr>
            <w:rFonts w:ascii="Lato" w:eastAsia="Times New Roman" w:hAnsi="Lato" w:cs="Times New Roman"/>
            <w:b/>
            <w:bCs/>
            <w:color w:val="FFA403"/>
            <w:spacing w:val="5"/>
            <w:sz w:val="24"/>
            <w:szCs w:val="24"/>
            <w:lang w:eastAsia="it-IT"/>
          </w:rPr>
          <w:t>art. 2450 c.c.</w:t>
        </w:r>
      </w:hyperlink>
      <w:r w:rsidRPr="00545BEB">
        <w:rPr>
          <w:rFonts w:ascii="Lato" w:eastAsia="Times New Roman" w:hAnsi="Lato" w:cs="Times New Roman"/>
          <w:color w:val="000000"/>
          <w:spacing w:val="5"/>
          <w:sz w:val="24"/>
          <w:szCs w:val="24"/>
          <w:lang w:eastAsia="it-IT"/>
        </w:rPr>
        <w:t> abrogato dall'</w:t>
      </w:r>
      <w:hyperlink r:id="rId51" w:history="1">
        <w:r w:rsidRPr="00545BEB">
          <w:rPr>
            <w:rFonts w:ascii="Lato" w:eastAsia="Times New Roman" w:hAnsi="Lato" w:cs="Times New Roman"/>
            <w:b/>
            <w:bCs/>
            <w:color w:val="FFA403"/>
            <w:spacing w:val="5"/>
            <w:sz w:val="24"/>
            <w:szCs w:val="24"/>
            <w:lang w:eastAsia="it-IT"/>
          </w:rPr>
          <w:t>art. 3, comma 1,D.L. n. 10 del 2007</w:t>
        </w:r>
      </w:hyperlink>
      <w:r w:rsidRPr="00545BEB">
        <w:rPr>
          <w:rFonts w:ascii="Lato" w:eastAsia="Times New Roman" w:hAnsi="Lato" w:cs="Times New Roman"/>
          <w:color w:val="000000"/>
          <w:spacing w:val="5"/>
          <w:sz w:val="24"/>
          <w:szCs w:val="24"/>
          <w:lang w:eastAsia="it-IT"/>
        </w:rPr>
        <w:t xml:space="preserve">, </w:t>
      </w:r>
      <w:proofErr w:type="spellStart"/>
      <w:r w:rsidRPr="00545BEB">
        <w:rPr>
          <w:rFonts w:ascii="Lato" w:eastAsia="Times New Roman" w:hAnsi="Lato" w:cs="Times New Roman"/>
          <w:color w:val="000000"/>
          <w:spacing w:val="5"/>
          <w:sz w:val="24"/>
          <w:szCs w:val="24"/>
          <w:lang w:eastAsia="it-IT"/>
        </w:rPr>
        <w:t>conv</w:t>
      </w:r>
      <w:proofErr w:type="spellEnd"/>
      <w:r w:rsidRPr="00545BEB">
        <w:rPr>
          <w:rFonts w:ascii="Lato" w:eastAsia="Times New Roman" w:hAnsi="Lato" w:cs="Times New Roman"/>
          <w:color w:val="000000"/>
          <w:spacing w:val="5"/>
          <w:sz w:val="24"/>
          <w:szCs w:val="24"/>
          <w:lang w:eastAsia="it-IT"/>
        </w:rPr>
        <w:t xml:space="preserve">., con </w:t>
      </w:r>
      <w:proofErr w:type="spellStart"/>
      <w:r w:rsidRPr="00545BEB">
        <w:rPr>
          <w:rFonts w:ascii="Lato" w:eastAsia="Times New Roman" w:hAnsi="Lato" w:cs="Times New Roman"/>
          <w:color w:val="000000"/>
          <w:spacing w:val="5"/>
          <w:sz w:val="24"/>
          <w:szCs w:val="24"/>
          <w:lang w:eastAsia="it-IT"/>
        </w:rPr>
        <w:t>modif</w:t>
      </w:r>
      <w:proofErr w:type="spellEnd"/>
      <w:r w:rsidRPr="00545BEB">
        <w:rPr>
          <w:rFonts w:ascii="Lato" w:eastAsia="Times New Roman" w:hAnsi="Lato" w:cs="Times New Roman"/>
          <w:color w:val="000000"/>
          <w:spacing w:val="5"/>
          <w:sz w:val="24"/>
          <w:szCs w:val="24"/>
          <w:lang w:eastAsia="it-IT"/>
        </w:rPr>
        <w:t>., nella </w:t>
      </w:r>
      <w:hyperlink r:id="rId52" w:history="1">
        <w:r w:rsidRPr="00545BEB">
          <w:rPr>
            <w:rFonts w:ascii="Lato" w:eastAsia="Times New Roman" w:hAnsi="Lato" w:cs="Times New Roman"/>
            <w:b/>
            <w:bCs/>
            <w:color w:val="FFA403"/>
            <w:spacing w:val="5"/>
            <w:sz w:val="24"/>
            <w:szCs w:val="24"/>
            <w:lang w:eastAsia="it-IT"/>
          </w:rPr>
          <w:t>L. n. 46 del 2007</w:t>
        </w:r>
      </w:hyperlink>
      <w:r w:rsidRPr="00545BEB">
        <w:rPr>
          <w:rFonts w:ascii="Lato" w:eastAsia="Times New Roman" w:hAnsi="Lato" w:cs="Times New Roman"/>
          <w:color w:val="000000"/>
          <w:spacing w:val="5"/>
          <w:sz w:val="24"/>
          <w:szCs w:val="24"/>
          <w:lang w:eastAsia="it-IT"/>
        </w:rPr>
        <w:t xml:space="preserve">) </w:t>
      </w:r>
      <w:r w:rsidRPr="00545BEB">
        <w:rPr>
          <w:rFonts w:ascii="Lato" w:eastAsia="Times New Roman" w:hAnsi="Lato" w:cs="Times New Roman"/>
          <w:b/>
          <w:bCs/>
          <w:color w:val="000000"/>
          <w:spacing w:val="5"/>
          <w:sz w:val="24"/>
          <w:szCs w:val="24"/>
          <w:lang w:eastAsia="it-IT"/>
        </w:rPr>
        <w:t>il c.c. dedica alla società per azioni a partecipazione pubblica solo le disposizioni di cui all'art. 2449 (come sostituito dalla </w:t>
      </w:r>
      <w:hyperlink r:id="rId53" w:history="1">
        <w:r w:rsidRPr="00545BEB">
          <w:rPr>
            <w:rFonts w:ascii="Lato" w:eastAsia="Times New Roman" w:hAnsi="Lato" w:cs="Times New Roman"/>
            <w:b/>
            <w:bCs/>
            <w:color w:val="FFA403"/>
            <w:spacing w:val="5"/>
            <w:sz w:val="24"/>
            <w:szCs w:val="24"/>
            <w:lang w:eastAsia="it-IT"/>
          </w:rPr>
          <w:t>L. n. 34 del 2008</w:t>
        </w:r>
      </w:hyperlink>
      <w:r w:rsidRPr="00545BEB">
        <w:rPr>
          <w:rFonts w:ascii="Lato" w:eastAsia="Times New Roman" w:hAnsi="Lato" w:cs="Times New Roman"/>
          <w:b/>
          <w:bCs/>
          <w:color w:val="000000"/>
          <w:spacing w:val="5"/>
          <w:sz w:val="24"/>
          <w:szCs w:val="24"/>
          <w:lang w:eastAsia="it-IT"/>
        </w:rPr>
        <w:t xml:space="preserve">, art. 13, a seguito della pronunzia Corte </w:t>
      </w:r>
      <w:proofErr w:type="spellStart"/>
      <w:r w:rsidRPr="00545BEB">
        <w:rPr>
          <w:rFonts w:ascii="Lato" w:eastAsia="Times New Roman" w:hAnsi="Lato" w:cs="Times New Roman"/>
          <w:b/>
          <w:bCs/>
          <w:color w:val="000000"/>
          <w:spacing w:val="5"/>
          <w:sz w:val="24"/>
          <w:szCs w:val="24"/>
          <w:lang w:eastAsia="it-IT"/>
        </w:rPr>
        <w:t>Giust</w:t>
      </w:r>
      <w:proofErr w:type="spellEnd"/>
      <w:r w:rsidRPr="00545BEB">
        <w:rPr>
          <w:rFonts w:ascii="Lato" w:eastAsia="Times New Roman" w:hAnsi="Lato" w:cs="Times New Roman"/>
          <w:b/>
          <w:bCs/>
          <w:color w:val="000000"/>
          <w:spacing w:val="5"/>
          <w:sz w:val="24"/>
          <w:szCs w:val="24"/>
          <w:lang w:eastAsia="it-IT"/>
        </w:rPr>
        <w:t>., 6 dicembre 2007, C- 463/04) disciplinanti la nomina e la revoca degli organi sociali specificamente ivi contemplati</w:t>
      </w:r>
      <w:r w:rsidRPr="00545BEB">
        <w:rPr>
          <w:rFonts w:ascii="Lato" w:eastAsia="Times New Roman" w:hAnsi="Lato" w:cs="Times New Roman"/>
          <w:color w:val="000000"/>
          <w:spacing w:val="5"/>
          <w:sz w:val="24"/>
          <w:szCs w:val="24"/>
          <w:lang w:eastAsia="it-IT"/>
        </w:rPr>
        <w:t>.</w:t>
      </w:r>
    </w:p>
    <w:p w14:paraId="0525ABB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Disposizioni pertanto inidonee a configurare uno statuto speciale per dette società, non concernendo in particolare la responsabilità di detti organi, che resta pertanto disciplinata dalle ordinarie norme previste dal c.c., come risulta confermato dalla immutata indicazione dell'</w:t>
      </w:r>
      <w:hyperlink r:id="rId54" w:history="1">
        <w:r w:rsidRPr="00545BEB">
          <w:rPr>
            <w:rFonts w:ascii="Lato" w:eastAsia="Times New Roman" w:hAnsi="Lato" w:cs="Times New Roman"/>
            <w:b/>
            <w:bCs/>
            <w:color w:val="FFA403"/>
            <w:spacing w:val="5"/>
            <w:sz w:val="24"/>
            <w:szCs w:val="24"/>
            <w:lang w:eastAsia="it-IT"/>
          </w:rPr>
          <w:t>art. 2449 comma 2, c.c.</w:t>
        </w:r>
      </w:hyperlink>
      <w:r w:rsidRPr="00545BEB">
        <w:rPr>
          <w:rFonts w:ascii="Lato" w:eastAsia="Times New Roman" w:hAnsi="Lato" w:cs="Times New Roman"/>
          <w:color w:val="000000"/>
          <w:spacing w:val="5"/>
          <w:sz w:val="24"/>
          <w:szCs w:val="24"/>
          <w:lang w:eastAsia="it-IT"/>
        </w:rPr>
        <w:t xml:space="preserve">, a tenore del quale anche i componenti degli organi amministrativi e di controllo di nomina pubblica </w:t>
      </w:r>
      <w:r w:rsidRPr="00545BEB">
        <w:rPr>
          <w:rFonts w:ascii="Lato" w:eastAsia="Times New Roman" w:hAnsi="Lato" w:cs="Times New Roman"/>
          <w:b/>
          <w:bCs/>
          <w:color w:val="000000"/>
          <w:spacing w:val="5"/>
          <w:sz w:val="24"/>
          <w:szCs w:val="24"/>
          <w:lang w:eastAsia="it-IT"/>
        </w:rPr>
        <w:t>"hanno i diritti e gli obblighi dei membri nominati dall'assemblea" (così Cass., Sez. Un., 19 dicembre 2009, n. 26806</w:t>
      </w:r>
      <w:r w:rsidRPr="00545BEB">
        <w:rPr>
          <w:rFonts w:ascii="Lato" w:eastAsia="Times New Roman" w:hAnsi="Lato" w:cs="Times New Roman"/>
          <w:color w:val="000000"/>
          <w:spacing w:val="5"/>
          <w:sz w:val="24"/>
          <w:szCs w:val="24"/>
          <w:lang w:eastAsia="it-IT"/>
        </w:rPr>
        <w:t>).</w:t>
      </w:r>
    </w:p>
    <w:p w14:paraId="11383198"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Si è al riguardo ulteriormente sottolineato che la scelta della pubblica amministrazione di acquisire partecipazioni in società private implica il suo assoggettamento alle regole proprie della forma giuridica prescelta; e che dall'identità dei diritti e degli obblighi facenti capo ai componenti degli organi sociali di una società a partecipazione pubblica, pur quando direttamente designati dal socio pubblico, logicamente discende la responsabilità di detti organi nei confronti della società, dei soci, dei creditori e dei terzi in genere, nei medesimi termini - contemplati dagli </w:t>
      </w:r>
      <w:hyperlink r:id="rId55" w:history="1">
        <w:r w:rsidRPr="00545BEB">
          <w:rPr>
            <w:rFonts w:ascii="Lato" w:eastAsia="Times New Roman" w:hAnsi="Lato" w:cs="Times New Roman"/>
            <w:b/>
            <w:bCs/>
            <w:color w:val="FFA403"/>
            <w:spacing w:val="5"/>
            <w:sz w:val="24"/>
            <w:szCs w:val="24"/>
            <w:lang w:eastAsia="it-IT"/>
          </w:rPr>
          <w:t>artt. 2392 c.c.</w:t>
        </w:r>
      </w:hyperlink>
      <w:r w:rsidRPr="00545BEB">
        <w:rPr>
          <w:rFonts w:ascii="Lato" w:eastAsia="Times New Roman" w:hAnsi="Lato" w:cs="Times New Roman"/>
          <w:color w:val="000000"/>
          <w:spacing w:val="5"/>
          <w:sz w:val="24"/>
          <w:szCs w:val="24"/>
          <w:lang w:eastAsia="it-IT"/>
        </w:rPr>
        <w:t> e segg. - in cui tali diverse possibili proiezioni della responsabilità sono configurabili per gli amministratori e per gli organi di controllo di qualsivoglia altra società privata (v. Cass., Sez. Un., 19 dicembre 2009, n. 26806).</w:t>
      </w:r>
    </w:p>
    <w:p w14:paraId="33D33F9A"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b/>
          <w:bCs/>
          <w:color w:val="000000"/>
          <w:spacing w:val="5"/>
          <w:sz w:val="24"/>
          <w:szCs w:val="24"/>
          <w:lang w:eastAsia="it-IT"/>
        </w:rPr>
        <w:t>Si è distinto tra la responsabilità in cui gli organi sociali possono incorrere nei confronti della società (</w:t>
      </w:r>
      <w:hyperlink r:id="rId56" w:history="1">
        <w:r w:rsidRPr="00545BEB">
          <w:rPr>
            <w:rFonts w:ascii="Lato" w:eastAsia="Times New Roman" w:hAnsi="Lato" w:cs="Times New Roman"/>
            <w:b/>
            <w:bCs/>
            <w:color w:val="FFA403"/>
            <w:spacing w:val="5"/>
            <w:sz w:val="24"/>
            <w:szCs w:val="24"/>
            <w:lang w:eastAsia="it-IT"/>
          </w:rPr>
          <w:t>artt. 2393 c.c.</w:t>
        </w:r>
      </w:hyperlink>
      <w:r w:rsidRPr="00545BEB">
        <w:rPr>
          <w:rFonts w:ascii="Lato" w:eastAsia="Times New Roman" w:hAnsi="Lato" w:cs="Times New Roman"/>
          <w:b/>
          <w:bCs/>
          <w:color w:val="000000"/>
          <w:spacing w:val="5"/>
          <w:sz w:val="24"/>
          <w:szCs w:val="24"/>
          <w:lang w:eastAsia="it-IT"/>
        </w:rPr>
        <w:t> e segg., per le s.p.a. e </w:t>
      </w:r>
      <w:hyperlink r:id="rId57" w:history="1">
        <w:r w:rsidRPr="00545BEB">
          <w:rPr>
            <w:rFonts w:ascii="Lato" w:eastAsia="Times New Roman" w:hAnsi="Lato" w:cs="Times New Roman"/>
            <w:b/>
            <w:bCs/>
            <w:color w:val="FFA403"/>
            <w:spacing w:val="5"/>
            <w:sz w:val="24"/>
            <w:szCs w:val="24"/>
            <w:lang w:eastAsia="it-IT"/>
          </w:rPr>
          <w:t>art. 2476 c.c.</w:t>
        </w:r>
      </w:hyperlink>
      <w:r w:rsidRPr="00545BEB">
        <w:rPr>
          <w:rFonts w:ascii="Lato" w:eastAsia="Times New Roman" w:hAnsi="Lato" w:cs="Times New Roman"/>
          <w:b/>
          <w:bCs/>
          <w:color w:val="000000"/>
          <w:spacing w:val="5"/>
          <w:sz w:val="24"/>
          <w:szCs w:val="24"/>
          <w:lang w:eastAsia="it-IT"/>
        </w:rPr>
        <w:t>, per le s.r.l.) e la responsabilità che essi possono assumere direttamente nei confronti di singoli soci o terzi (</w:t>
      </w:r>
      <w:hyperlink r:id="rId58" w:history="1">
        <w:r w:rsidRPr="00545BEB">
          <w:rPr>
            <w:rFonts w:ascii="Lato" w:eastAsia="Times New Roman" w:hAnsi="Lato" w:cs="Times New Roman"/>
            <w:b/>
            <w:bCs/>
            <w:color w:val="FFA403"/>
            <w:spacing w:val="5"/>
            <w:sz w:val="24"/>
            <w:szCs w:val="24"/>
            <w:lang w:eastAsia="it-IT"/>
          </w:rPr>
          <w:t>art. 2395 c.c.</w:t>
        </w:r>
      </w:hyperlink>
      <w:r w:rsidRPr="00545BEB">
        <w:rPr>
          <w:rFonts w:ascii="Lato" w:eastAsia="Times New Roman" w:hAnsi="Lato" w:cs="Times New Roman"/>
          <w:b/>
          <w:bCs/>
          <w:color w:val="000000"/>
          <w:spacing w:val="5"/>
          <w:sz w:val="24"/>
          <w:szCs w:val="24"/>
          <w:lang w:eastAsia="it-IT"/>
        </w:rPr>
        <w:t>, per le s.p.a. e </w:t>
      </w:r>
      <w:hyperlink r:id="rId59" w:history="1">
        <w:r w:rsidRPr="00545BEB">
          <w:rPr>
            <w:rFonts w:ascii="Lato" w:eastAsia="Times New Roman" w:hAnsi="Lato" w:cs="Times New Roman"/>
            <w:b/>
            <w:bCs/>
            <w:color w:val="FFA403"/>
            <w:spacing w:val="5"/>
            <w:sz w:val="24"/>
            <w:szCs w:val="24"/>
            <w:lang w:eastAsia="it-IT"/>
          </w:rPr>
          <w:t>art. 2476 c.c.</w:t>
        </w:r>
      </w:hyperlink>
      <w:r w:rsidRPr="00545BEB">
        <w:rPr>
          <w:rFonts w:ascii="Lato" w:eastAsia="Times New Roman" w:hAnsi="Lato" w:cs="Times New Roman"/>
          <w:b/>
          <w:bCs/>
          <w:color w:val="000000"/>
          <w:spacing w:val="5"/>
          <w:sz w:val="24"/>
          <w:szCs w:val="24"/>
          <w:lang w:eastAsia="it-IT"/>
        </w:rPr>
        <w:t>, per le s.r.l.),</w:t>
      </w:r>
      <w:r w:rsidRPr="00545BEB">
        <w:rPr>
          <w:rFonts w:ascii="Lato" w:eastAsia="Times New Roman" w:hAnsi="Lato" w:cs="Times New Roman"/>
          <w:color w:val="000000"/>
          <w:spacing w:val="5"/>
          <w:sz w:val="24"/>
          <w:szCs w:val="24"/>
          <w:lang w:eastAsia="it-IT"/>
        </w:rPr>
        <w:t xml:space="preserve"> precisandosi che in ordine all'azione di risarcimento dei danni subiti da una società a partecipazione pubblica per effetto di condotte illecite degli amministratori o dei dipendenti la giurisdizione spetta al giudice ordinario, laddove la giurisdizione della Corte dei Conti rappresenta </w:t>
      </w:r>
      <w:r w:rsidRPr="00545BEB">
        <w:rPr>
          <w:rFonts w:ascii="Lato" w:eastAsia="Times New Roman" w:hAnsi="Lato" w:cs="Times New Roman"/>
          <w:color w:val="000000"/>
          <w:spacing w:val="5"/>
          <w:sz w:val="24"/>
          <w:szCs w:val="24"/>
          <w:lang w:eastAsia="it-IT"/>
        </w:rPr>
        <w:lastRenderedPageBreak/>
        <w:t>un'eccezione, ravvisabile in due fattispecie e sulla base di ragioni specifiche (v., da ultimo, Cass., Sez. Un., 27 dicembre 2017, n. 30978).</w:t>
      </w:r>
    </w:p>
    <w:p w14:paraId="4A3BD74E"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In ipotesi di danno al patrimonio della società da mala </w:t>
      </w:r>
      <w:proofErr w:type="spellStart"/>
      <w:r w:rsidRPr="00545BEB">
        <w:rPr>
          <w:rFonts w:ascii="Lato" w:eastAsia="Times New Roman" w:hAnsi="Lato" w:cs="Times New Roman"/>
          <w:color w:val="000000"/>
          <w:spacing w:val="5"/>
          <w:sz w:val="24"/>
          <w:szCs w:val="24"/>
          <w:lang w:eastAsia="it-IT"/>
        </w:rPr>
        <w:t>gestio</w:t>
      </w:r>
      <w:proofErr w:type="spellEnd"/>
      <w:r w:rsidRPr="00545BEB">
        <w:rPr>
          <w:rFonts w:ascii="Lato" w:eastAsia="Times New Roman" w:hAnsi="Lato" w:cs="Times New Roman"/>
          <w:color w:val="000000"/>
          <w:spacing w:val="5"/>
          <w:sz w:val="24"/>
          <w:szCs w:val="24"/>
          <w:lang w:eastAsia="it-IT"/>
        </w:rPr>
        <w:t xml:space="preserve"> da parte degli amministratori (o componente di un organo di controllo) e dei dipendenti, non essendo - come detto - sussistente alcun rapporto di servizio dei medesimi con l'ente pubblico partecipante non è conseguentemente configurabile un danno qualificabile come danno erariale, inteso come pregiudizio direttamente arrecato al patrimonio dello Stato o di altro ente pubblico che della suindicata società sia socio, </w:t>
      </w:r>
      <w:r w:rsidRPr="00545BEB">
        <w:rPr>
          <w:rFonts w:ascii="Lato" w:eastAsia="Times New Roman" w:hAnsi="Lato" w:cs="Times New Roman"/>
          <w:b/>
          <w:bCs/>
          <w:color w:val="000000"/>
          <w:spacing w:val="5"/>
          <w:sz w:val="24"/>
          <w:szCs w:val="24"/>
          <w:lang w:eastAsia="it-IT"/>
        </w:rPr>
        <w:t>non consentendo la distinzione tra la società di capitali e i singoli soci e la piena autonomia patrimoniale dell'una rispetto agli altri di riferire al patrimonio del socio pubblico il danno che l'illecito comportamento degli organi sociali abbia eventualmente arrecato al patrimonio dell'ente, che è e resta privato (v. Cass., Sez. Un., 19 dicembre 2009, n. 26806).</w:t>
      </w:r>
    </w:p>
    <w:p w14:paraId="74BF957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b/>
          <w:bCs/>
          <w:color w:val="000000"/>
          <w:spacing w:val="5"/>
          <w:sz w:val="24"/>
          <w:szCs w:val="24"/>
          <w:lang w:eastAsia="it-IT"/>
        </w:rPr>
        <w:t>A tale stregua, dei danni diretti, prodotti cioè immediatamente nella sfera giuridico- patrimoniale del socio, e non consistenti nella semplice ripercussione di un danno inferto alla società, solo il socio stesso è legittimato a dolersi, laddove di quelli sociali, solo alla società compete il risarcimento, per il socio il ristoro essendo destinato a realizzarsi unicamente in termini indiretti, alla stessa stregua del modo in cui si è nei suoi confronti prodotto pregiudizio</w:t>
      </w:r>
      <w:r w:rsidRPr="00545BEB">
        <w:rPr>
          <w:rFonts w:ascii="Lato" w:eastAsia="Times New Roman" w:hAnsi="Lato" w:cs="Times New Roman"/>
          <w:color w:val="000000"/>
          <w:spacing w:val="5"/>
          <w:sz w:val="24"/>
          <w:szCs w:val="24"/>
          <w:lang w:eastAsia="it-IT"/>
        </w:rPr>
        <w:t>.</w:t>
      </w:r>
    </w:p>
    <w:p w14:paraId="74D4DC2D"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Ne consegue </w:t>
      </w:r>
      <w:r w:rsidRPr="00545BEB">
        <w:rPr>
          <w:rFonts w:ascii="Lato" w:eastAsia="Times New Roman" w:hAnsi="Lato" w:cs="Times New Roman"/>
          <w:b/>
          <w:bCs/>
          <w:color w:val="000000"/>
          <w:spacing w:val="5"/>
          <w:sz w:val="24"/>
          <w:szCs w:val="24"/>
          <w:lang w:eastAsia="it-IT"/>
        </w:rPr>
        <w:t>che il danno inferto dagli organi della società al patrimonio sociale, il quale nel sistema del c</w:t>
      </w:r>
      <w:r w:rsidRPr="00545BEB">
        <w:rPr>
          <w:rFonts w:ascii="Lato" w:eastAsia="Times New Roman" w:hAnsi="Lato" w:cs="Times New Roman"/>
          <w:b/>
          <w:bCs/>
          <w:color w:val="000000"/>
          <w:spacing w:val="5"/>
          <w:sz w:val="24"/>
          <w:szCs w:val="24"/>
          <w:u w:val="single"/>
          <w:lang w:eastAsia="it-IT"/>
        </w:rPr>
        <w:t>.c. può dar vita all'azione sociale di responsabilità ed eventualmente a quella dei creditori sociali, non è idoneo a configurare anche un'ipotesi di azione ricadente nella giurisdizione della Corte dei Conti, non implicando alcun danno erariale, bensì unicamente un danno sofferto da un soggetto privato (la società), riferibile al patrimonio appartenente soltanto a quel soggetto e non certo ai singoli soci -pubblici o privati-, i quali sono unicamente titolari delle rispettive quote di partecipazione ed i cui originari conferimenti restano confusi ed assorbiti nell'unico patrimonio sociale (v. Cass., Sez. Un., 19 dicembre 2009, n. 26806</w:t>
      </w:r>
      <w:r w:rsidRPr="00545BEB">
        <w:rPr>
          <w:rFonts w:ascii="Lato" w:eastAsia="Times New Roman" w:hAnsi="Lato" w:cs="Times New Roman"/>
          <w:b/>
          <w:bCs/>
          <w:color w:val="000000"/>
          <w:spacing w:val="5"/>
          <w:sz w:val="24"/>
          <w:szCs w:val="24"/>
          <w:lang w:eastAsia="it-IT"/>
        </w:rPr>
        <w:t>).</w:t>
      </w:r>
    </w:p>
    <w:p w14:paraId="250F992B"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Si è al riguardo in particolare precisato che la controversia riguardante l'azione di responsabilità a carico degli amministratori e dei dipendenti (o dei terzi che hanno concorso con loro nel cagionare il danno) di una società per azioni a partecipazione pubblica (maggioritaria o come nella specie totalitaria (in capo a più enti)), </w:t>
      </w:r>
      <w:r w:rsidRPr="00545BEB">
        <w:rPr>
          <w:rFonts w:ascii="Lato" w:eastAsia="Times New Roman" w:hAnsi="Lato" w:cs="Times New Roman"/>
          <w:b/>
          <w:bCs/>
          <w:color w:val="000000"/>
          <w:spacing w:val="5"/>
          <w:sz w:val="24"/>
          <w:szCs w:val="24"/>
          <w:lang w:eastAsia="it-IT"/>
        </w:rPr>
        <w:t>per il danno patrimoniale subito dalla compagine sociale a causa delle condotte illecite di tali soggetti, è assoggettata alla giurisdizione del giudice ordinario, e non già del giudice contabile</w:t>
      </w:r>
      <w:r w:rsidRPr="00545BEB">
        <w:rPr>
          <w:rFonts w:ascii="Lato" w:eastAsia="Times New Roman" w:hAnsi="Lato" w:cs="Times New Roman"/>
          <w:color w:val="000000"/>
          <w:spacing w:val="5"/>
          <w:sz w:val="24"/>
          <w:szCs w:val="24"/>
          <w:lang w:eastAsia="it-IT"/>
        </w:rPr>
        <w:t xml:space="preserve"> (v., con riferimento alla società Poste Italiane S.p.A., Cass., Sez. Un., 9 marzo 2012, n. 3692; con riferimento alla società Alitalia s.p.a., Cass., Sez. Un., 13 novembre 2015, n. 23306; con riferimento a società di diritto privato interamente partecipata da Comuni, Cass., Sez. Un., 27 ottobre 2016, n. 21692; con riferimento alla società Ferrovie dello Stato s.p.a., Cass., Sez. Un., 22 gennaio 2015, n. 1159; con riferimento a società a partecipazione pubblica facente parte del Gruppo Ferrovie dello Stato, Cass., Sez. Un., 27 dicembre 2017, n. 30978), </w:t>
      </w:r>
      <w:r w:rsidRPr="00545BEB">
        <w:rPr>
          <w:rFonts w:ascii="Lato" w:eastAsia="Times New Roman" w:hAnsi="Lato" w:cs="Times New Roman"/>
          <w:b/>
          <w:bCs/>
          <w:color w:val="000000"/>
          <w:spacing w:val="5"/>
          <w:sz w:val="24"/>
          <w:szCs w:val="24"/>
          <w:lang w:eastAsia="it-IT"/>
        </w:rPr>
        <w:t xml:space="preserve">atteso che l'autonoma personalità giuridica della società porta ad escludere l'esistenza di un rapporto di servizio tra amministratori, sindaci e dipendenti e P.A., e per altro verso il danno cagionato dalla mala </w:t>
      </w:r>
      <w:proofErr w:type="spellStart"/>
      <w:r w:rsidRPr="00545BEB">
        <w:rPr>
          <w:rFonts w:ascii="Lato" w:eastAsia="Times New Roman" w:hAnsi="Lato" w:cs="Times New Roman"/>
          <w:b/>
          <w:bCs/>
          <w:color w:val="000000"/>
          <w:spacing w:val="5"/>
          <w:sz w:val="24"/>
          <w:szCs w:val="24"/>
          <w:lang w:eastAsia="it-IT"/>
        </w:rPr>
        <w:t>gestio</w:t>
      </w:r>
      <w:proofErr w:type="spellEnd"/>
      <w:r w:rsidRPr="00545BEB">
        <w:rPr>
          <w:rFonts w:ascii="Lato" w:eastAsia="Times New Roman" w:hAnsi="Lato" w:cs="Times New Roman"/>
          <w:b/>
          <w:bCs/>
          <w:color w:val="000000"/>
          <w:spacing w:val="5"/>
          <w:sz w:val="24"/>
          <w:szCs w:val="24"/>
          <w:lang w:eastAsia="it-IT"/>
        </w:rPr>
        <w:t xml:space="preserve"> incide in via diretta solo sul patrimonio della società, che resta privato e separato da quello dei soci (v. Cass., Sez. Un., 3 maggio 2013, n. 10299; Cass., Sez. Un., 5 luglio 2011, n. 14655).</w:t>
      </w:r>
    </w:p>
    <w:p w14:paraId="6273D2F9"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Le suindicate ipotesi eccezionali in cui è configurabile la giurisdizione della Corte dei Conti ricorrono invero allorquando l'azione di danno sia esercitata per far valere la responsabilità dell'amministratore (o del componente di organi di controllo o dei dipendenti) della società partecipata dall'ente pubblico che sia stato danneggiato dall'azione illecita non di riflesso, quale conseguenza indiretta del pregiudizio arrecato al </w:t>
      </w:r>
      <w:r w:rsidRPr="00545BEB">
        <w:rPr>
          <w:rFonts w:ascii="Lato" w:eastAsia="Times New Roman" w:hAnsi="Lato" w:cs="Times New Roman"/>
          <w:color w:val="000000"/>
          <w:spacing w:val="5"/>
          <w:sz w:val="24"/>
          <w:szCs w:val="24"/>
          <w:lang w:eastAsia="it-IT"/>
        </w:rPr>
        <w:lastRenderedPageBreak/>
        <w:t xml:space="preserve">patrimonio sociale, bensì direttamente: </w:t>
      </w:r>
      <w:r w:rsidRPr="00545BEB">
        <w:rPr>
          <w:rFonts w:ascii="Lato" w:eastAsia="Times New Roman" w:hAnsi="Lato" w:cs="Times New Roman"/>
          <w:b/>
          <w:bCs/>
          <w:color w:val="000000"/>
          <w:spacing w:val="5"/>
          <w:sz w:val="24"/>
          <w:szCs w:val="24"/>
          <w:lang w:eastAsia="it-IT"/>
        </w:rPr>
        <w:t>in caso cioè di società c.d. in house (</w:t>
      </w:r>
      <w:hyperlink r:id="rId60" w:history="1">
        <w:r w:rsidRPr="00545BEB">
          <w:rPr>
            <w:rFonts w:ascii="Lato" w:eastAsia="Times New Roman" w:hAnsi="Lato" w:cs="Times New Roman"/>
            <w:b/>
            <w:bCs/>
            <w:color w:val="FFA403"/>
            <w:spacing w:val="5"/>
            <w:sz w:val="24"/>
            <w:szCs w:val="24"/>
            <w:lang w:eastAsia="it-IT"/>
          </w:rPr>
          <w:t>art. 12,D.L.vo n. 175 del 2016</w:t>
        </w:r>
      </w:hyperlink>
      <w:r w:rsidRPr="00545BEB">
        <w:rPr>
          <w:rFonts w:ascii="Lato" w:eastAsia="Times New Roman" w:hAnsi="Lato" w:cs="Times New Roman"/>
          <w:b/>
          <w:bCs/>
          <w:color w:val="000000"/>
          <w:spacing w:val="5"/>
          <w:sz w:val="24"/>
          <w:szCs w:val="24"/>
          <w:lang w:eastAsia="it-IT"/>
        </w:rPr>
        <w:t>) e di c.d. società legali.</w:t>
      </w:r>
    </w:p>
    <w:p w14:paraId="107177D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b/>
          <w:bCs/>
          <w:color w:val="000000"/>
          <w:spacing w:val="5"/>
          <w:sz w:val="24"/>
          <w:szCs w:val="24"/>
          <w:lang w:eastAsia="it-IT"/>
        </w:rPr>
        <w:t>Quanto alle società c.d. in house (v., da ultimo, Cass., Sez. Un., 21 giugno 2019, n. 16741; Cass., Sez. Un., 13 settembre 2018, n. 22409; Cass., Sez. Un., 13 aprile 2016, n. 7293), la relativa configurazione alla stregua di articolazioni interne alla P.A. giustifica che l'attività dell'ente e dei suoi organi</w:t>
      </w:r>
      <w:r w:rsidRPr="00545BEB">
        <w:rPr>
          <w:rFonts w:ascii="Lato" w:eastAsia="Times New Roman" w:hAnsi="Lato" w:cs="Times New Roman"/>
          <w:color w:val="000000"/>
          <w:spacing w:val="5"/>
          <w:sz w:val="24"/>
          <w:szCs w:val="24"/>
          <w:lang w:eastAsia="it-IT"/>
        </w:rPr>
        <w:t xml:space="preserve"> (i quali sono assoggettati a vincoli gerarchici facenti capo alla P.A. e non possono essere considerati - a differenza di quanto accade per gli amministratori delle altre società a partecipazione pubblica - come investiti di un mero </w:t>
      </w:r>
      <w:proofErr w:type="spellStart"/>
      <w:r w:rsidRPr="00545BEB">
        <w:rPr>
          <w:rFonts w:ascii="Lato" w:eastAsia="Times New Roman" w:hAnsi="Lato" w:cs="Times New Roman"/>
          <w:color w:val="000000"/>
          <w:spacing w:val="5"/>
          <w:sz w:val="24"/>
          <w:szCs w:val="24"/>
          <w:lang w:eastAsia="it-IT"/>
        </w:rPr>
        <w:t>munus</w:t>
      </w:r>
      <w:proofErr w:type="spellEnd"/>
      <w:r w:rsidRPr="00545BEB">
        <w:rPr>
          <w:rFonts w:ascii="Lato" w:eastAsia="Times New Roman" w:hAnsi="Lato" w:cs="Times New Roman"/>
          <w:color w:val="000000"/>
          <w:spacing w:val="5"/>
          <w:sz w:val="24"/>
          <w:szCs w:val="24"/>
          <w:lang w:eastAsia="it-IT"/>
        </w:rPr>
        <w:t xml:space="preserve"> privato, inerente ad un rapporto di natura negoziale instaurato con la medesima società) </w:t>
      </w:r>
      <w:r w:rsidRPr="00545BEB">
        <w:rPr>
          <w:rFonts w:ascii="Lato" w:eastAsia="Times New Roman" w:hAnsi="Lato" w:cs="Times New Roman"/>
          <w:b/>
          <w:bCs/>
          <w:color w:val="000000"/>
          <w:spacing w:val="5"/>
          <w:sz w:val="24"/>
          <w:szCs w:val="24"/>
          <w:lang w:eastAsia="it-IT"/>
        </w:rPr>
        <w:t>non sia riconducibile ad un soggetto privato dotato di una autonoma soggettività ma resti sostanzialmente imputata alla P.A. medesima</w:t>
      </w:r>
      <w:r w:rsidRPr="00545BEB">
        <w:rPr>
          <w:rFonts w:ascii="Lato" w:eastAsia="Times New Roman" w:hAnsi="Lato" w:cs="Times New Roman"/>
          <w:color w:val="000000"/>
          <w:spacing w:val="5"/>
          <w:sz w:val="24"/>
          <w:szCs w:val="24"/>
          <w:lang w:eastAsia="it-IT"/>
        </w:rPr>
        <w:t>.</w:t>
      </w:r>
    </w:p>
    <w:p w14:paraId="6C0E7333"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Essendo preposti ad una struttura corrispondente ad un'articolazione interna alla stessa P.A., è da ritenersi che gli amministratori e i dipendenti della società siano alla P.A. personalmente legati da un vero e proprio rapporto di servizio, non diversamente da quanto accade per i dirigenti preposti ai servizi erogati direttamente dall'ente pubblico, sicché il rapporto di servizio con l'ente pubblico è immanente a siffatta formula organizzativa.</w:t>
      </w:r>
    </w:p>
    <w:p w14:paraId="0166696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b/>
          <w:bCs/>
          <w:color w:val="000000"/>
          <w:spacing w:val="5"/>
          <w:sz w:val="24"/>
          <w:szCs w:val="24"/>
          <w:lang w:eastAsia="it-IT"/>
        </w:rPr>
        <w:t>Ne consegue che il danno dai medesimi arrecato rileva come danno al patrimonio dell'ente pubblico, seppure formalmente separato dallo schermo societario, il che radica la giurisdizione della Corte dei conti sulla relativa azione di responsabilità (v., da ultimo, Cass., Sez. Un., 27 dicembre 2017, n. 30978</w:t>
      </w:r>
      <w:r w:rsidRPr="00545BEB">
        <w:rPr>
          <w:rFonts w:ascii="Lato" w:eastAsia="Times New Roman" w:hAnsi="Lato" w:cs="Times New Roman"/>
          <w:color w:val="000000"/>
          <w:spacing w:val="5"/>
          <w:sz w:val="24"/>
          <w:szCs w:val="24"/>
          <w:lang w:eastAsia="it-IT"/>
        </w:rPr>
        <w:t>).</w:t>
      </w:r>
    </w:p>
    <w:p w14:paraId="50E69A9D"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u w:val="single"/>
          <w:lang w:eastAsia="it-IT"/>
        </w:rPr>
      </w:pPr>
      <w:r w:rsidRPr="00545BEB">
        <w:rPr>
          <w:rFonts w:ascii="Lato" w:eastAsia="Times New Roman" w:hAnsi="Lato" w:cs="Times New Roman"/>
          <w:color w:val="000000"/>
          <w:spacing w:val="5"/>
          <w:sz w:val="24"/>
          <w:szCs w:val="24"/>
          <w:lang w:eastAsia="it-IT"/>
        </w:rPr>
        <w:t xml:space="preserve">Quanto </w:t>
      </w:r>
      <w:r w:rsidRPr="00545BEB">
        <w:rPr>
          <w:rFonts w:ascii="Lato" w:eastAsia="Times New Roman" w:hAnsi="Lato" w:cs="Times New Roman"/>
          <w:b/>
          <w:bCs/>
          <w:color w:val="000000"/>
          <w:spacing w:val="5"/>
          <w:sz w:val="24"/>
          <w:szCs w:val="24"/>
          <w:lang w:eastAsia="it-IT"/>
        </w:rPr>
        <w:t xml:space="preserve">alle società legali, lo speciale Statuto di talune società partecipate che svolgono </w:t>
      </w:r>
      <w:r w:rsidRPr="00545BEB">
        <w:rPr>
          <w:rFonts w:ascii="Lato" w:eastAsia="Times New Roman" w:hAnsi="Lato" w:cs="Times New Roman"/>
          <w:b/>
          <w:bCs/>
          <w:color w:val="000000"/>
          <w:spacing w:val="5"/>
          <w:sz w:val="24"/>
          <w:szCs w:val="24"/>
          <w:u w:val="single"/>
          <w:lang w:eastAsia="it-IT"/>
        </w:rPr>
        <w:t>attività amministrativa in forma privatistica consente di qualificarle come sostanziali enti pubblici, e giustifica pertanto la giurisdizione della Corte dei Conti</w:t>
      </w:r>
      <w:r w:rsidRPr="00545BEB">
        <w:rPr>
          <w:rFonts w:ascii="Lato" w:eastAsia="Times New Roman" w:hAnsi="Lato" w:cs="Times New Roman"/>
          <w:color w:val="000000"/>
          <w:spacing w:val="5"/>
          <w:sz w:val="24"/>
          <w:szCs w:val="24"/>
          <w:u w:val="single"/>
          <w:lang w:eastAsia="it-IT"/>
        </w:rPr>
        <w:t>.</w:t>
      </w:r>
    </w:p>
    <w:p w14:paraId="39C65F17"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u w:val="single"/>
          <w:lang w:eastAsia="it-IT"/>
        </w:rPr>
      </w:pPr>
      <w:r w:rsidRPr="00545BEB">
        <w:rPr>
          <w:rFonts w:ascii="Lato" w:eastAsia="Times New Roman" w:hAnsi="Lato" w:cs="Times New Roman"/>
          <w:b/>
          <w:bCs/>
          <w:color w:val="000000"/>
          <w:spacing w:val="5"/>
          <w:sz w:val="24"/>
          <w:szCs w:val="24"/>
          <w:u w:val="single"/>
          <w:lang w:eastAsia="it-IT"/>
        </w:rPr>
        <w:t>L'affermazione, ricorrente nelle pronunce relative alla società Rai s.p.a. (v. Cass., Sez. Un., 9 maggio 2011, n. 10063; Cass., Sez. Un., 22 dicembre 2009, n. 27092), Enav s.p.a. (v. Cass., Sez. Un., 3 marzo 2010, n. 5032), Anas s.p.a. (v. Cass., Sez. Un., 9 luglio 2014 n. 15594), SCR Piemonte s.p.a. (v. Cass., Sez. Un., 5 dicembre 2016, n. 24737) e società Ferrovie del Sud Est e Servizi Automobilistici s.r.l. (v. Cass., Sez. Un., 15 maggio 2017, n. 11983) poggia su plurimi e specifici indici (quali la designazione della società come concessionaria ex lege, la sottoposizione a penetranti poteri di vigilanza ad opera dell'apparato statale, la previsione di un canone con natura d'imposta per i servizi erogati all'utenza) dai quali si inferisce la peculiare natura dell'ente e la necessità di applicare un regime sui generis (v., da ultimo, Cass., Sez. Un., 27 dicembre 2017, n. 30978).</w:t>
      </w:r>
    </w:p>
    <w:p w14:paraId="0A3AC36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In tali ipotesi si è in presenza di un cosiddetto danno erariale, in quanto il danno è provocato al patrimonio dell'ente pubblico.</w:t>
      </w:r>
    </w:p>
    <w:p w14:paraId="0B683725"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b/>
          <w:bCs/>
          <w:color w:val="000000"/>
          <w:spacing w:val="5"/>
          <w:sz w:val="24"/>
          <w:szCs w:val="24"/>
          <w:lang w:eastAsia="it-IT"/>
        </w:rPr>
        <w:t>Del pari deve dirsi in caso di danno all'immagine della P.A. (v. Cass., Sez. Un., 27 dicembre 2017, n. 30978; Cass., Sez. Un., 12 dicembre 2013, n. 27733, Cass., Sez. Un., 19 dicembre 2009, n. 26806) derivante da atti illegittimi posti in essere dagli organi e dai dipendenti della società partecipata, che può eventualmente prodursi immediatamente in capo a detto ente pubblico per il fatto stesso di essere partecipe di una società in cui quei comportamenti illegittimi si siano manifestati, e che non s'identifica con il mero riflesso di un pregiudizio arrecato al patrimonio sociale (v. Cass., Sez. Un., 19 dicembre 2009, n. 26806; Cass., Sez. Un., 20 giugno 2007, n. 14297).</w:t>
      </w:r>
    </w:p>
    <w:p w14:paraId="3818344C"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b/>
          <w:bCs/>
          <w:color w:val="000000"/>
          <w:spacing w:val="5"/>
          <w:sz w:val="24"/>
          <w:szCs w:val="24"/>
          <w:lang w:eastAsia="it-IT"/>
        </w:rPr>
        <w:t xml:space="preserve">Quest'ultima ipotesi ricorre nel caso in cui l'azione del procuratore contabile sia proposta nei confronti (non già dell'amministratore della società partecipata, per il danno arrecato al patrimonio sociale, bensì) di chi, quale rappresentante dell'ente partecipante o comunque titolare del potere di decidere per esso, abbia colpevolmente </w:t>
      </w:r>
      <w:r w:rsidRPr="00545BEB">
        <w:rPr>
          <w:rFonts w:ascii="Lato" w:eastAsia="Times New Roman" w:hAnsi="Lato" w:cs="Times New Roman"/>
          <w:b/>
          <w:bCs/>
          <w:color w:val="000000"/>
          <w:spacing w:val="5"/>
          <w:sz w:val="24"/>
          <w:szCs w:val="24"/>
          <w:lang w:eastAsia="it-IT"/>
        </w:rPr>
        <w:lastRenderedPageBreak/>
        <w:t>trascurato di esercitare i propri diritti di socio, così pregiudicando il valore della partecipazione (v. Cass., Sez. Un., 19 dicembre 2009, n. 26806; Cass., Sez. Un., 20 giugno 2007, n. 14297. E, da ultimo, Cass., Sez. Un., 27 dicembre 2017, n. 30978).</w:t>
      </w:r>
    </w:p>
    <w:p w14:paraId="139B27B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Orbene, a parte il rilievo che anche il rapporto di tipo concessorio in forza di un accordo di programma con lo Stato non muta il quadro giuridico ai fini dell'individuazione della giurisdizione per i danni arrecati al patrimonio societario, non risultando in tal caso trasferiti poteri autoritativi secondo lo schema della delegazione di funzione all'ente privato, il quale non è destinatario di alcuna delega di funzioni amministrative e agisce non già tramite l'esercizio di poteri e funzioni di stampo amministrativo bensì in esplicazione della propria libertà di iniziativa economica privata che quand'anche orientata all'interesse generale non rimane per ciò stesso attratta nel dominio pubblicistico (cfr. Cass., Sez. Un., 27 dicembre 2017, n. 30978), va sottolineato che la società Eur s.p.a. svolge invero attività di tipo commerciale, e non già amministrativa.</w:t>
      </w:r>
    </w:p>
    <w:p w14:paraId="42507F96"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b/>
          <w:bCs/>
          <w:color w:val="000000"/>
          <w:spacing w:val="5"/>
          <w:sz w:val="24"/>
          <w:szCs w:val="24"/>
          <w:lang w:eastAsia="it-IT"/>
        </w:rPr>
        <w:t>La scelta di attribuirle, in base a Convenzioni e contratti di diritto privato, la gestione e la valorizzazione del complesso di beni nella sua titolarità, con possibilità di compiere tutte le operazioni mobiliari e immobiliari utili e/o opportune, nonché di assumere partecipazioni in altre società e/o enti costituiti o da costituire (art. 4 Statuto) risponde invero precipuamente alla finalità di assicurare, attraverso l'esternalizzazione, un'efficiente gestione per aumentarne le potenzialità produttive e incrementare il tasso di soddisfacimento della collettività (cfr. Cass., Sez. Un., 27 dicembre 2017, n. 30978).</w:t>
      </w:r>
    </w:p>
    <w:p w14:paraId="253B75FC"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b/>
          <w:bCs/>
          <w:color w:val="000000"/>
          <w:spacing w:val="5"/>
          <w:sz w:val="24"/>
          <w:szCs w:val="24"/>
          <w:lang w:eastAsia="it-IT"/>
        </w:rPr>
        <w:t>L'attività d'impresa non è d'altro canto incompatibile con il perseguimento di interessi generali (cfr. Cass., Sez. Un., 27 dicembre 2017, n. 30978).</w:t>
      </w:r>
    </w:p>
    <w:p w14:paraId="752A0BE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Lo strumento delle società è infatti utilizzato anche nel settore dei comuni rapporti della vita di relazione per il conseguimento di scopi non lucrativi, come emerge evidente dalla considerazione della disciplina dell'impresa mutualistica (</w:t>
      </w:r>
      <w:hyperlink r:id="rId61" w:history="1">
        <w:r w:rsidRPr="00545BEB">
          <w:rPr>
            <w:rFonts w:ascii="Lato" w:eastAsia="Times New Roman" w:hAnsi="Lato" w:cs="Times New Roman"/>
            <w:b/>
            <w:bCs/>
            <w:color w:val="FFA403"/>
            <w:spacing w:val="5"/>
            <w:sz w:val="24"/>
            <w:szCs w:val="24"/>
            <w:lang w:eastAsia="it-IT"/>
          </w:rPr>
          <w:t>artt. 2511 c.c.</w:t>
        </w:r>
      </w:hyperlink>
      <w:r w:rsidRPr="00545BEB">
        <w:rPr>
          <w:rFonts w:ascii="Lato" w:eastAsia="Times New Roman" w:hAnsi="Lato" w:cs="Times New Roman"/>
          <w:color w:val="000000"/>
          <w:spacing w:val="5"/>
          <w:sz w:val="24"/>
          <w:szCs w:val="24"/>
          <w:lang w:eastAsia="it-IT"/>
        </w:rPr>
        <w:t> e segg.), e dell'impresa sociale (</w:t>
      </w:r>
      <w:hyperlink r:id="rId62" w:history="1">
        <w:r w:rsidRPr="00545BEB">
          <w:rPr>
            <w:rFonts w:ascii="Lato" w:eastAsia="Times New Roman" w:hAnsi="Lato" w:cs="Times New Roman"/>
            <w:b/>
            <w:bCs/>
            <w:color w:val="FFA403"/>
            <w:spacing w:val="5"/>
            <w:sz w:val="24"/>
            <w:szCs w:val="24"/>
            <w:lang w:eastAsia="it-IT"/>
          </w:rPr>
          <w:t>D.L.vo n. 155 del 2006</w:t>
        </w:r>
      </w:hyperlink>
      <w:r w:rsidRPr="00545BEB">
        <w:rPr>
          <w:rFonts w:ascii="Lato" w:eastAsia="Times New Roman" w:hAnsi="Lato" w:cs="Times New Roman"/>
          <w:color w:val="000000"/>
          <w:spacing w:val="5"/>
          <w:sz w:val="24"/>
          <w:szCs w:val="24"/>
          <w:lang w:eastAsia="it-IT"/>
        </w:rPr>
        <w:t>, la cui disciplina è quindi confluita nel </w:t>
      </w:r>
      <w:hyperlink r:id="rId63" w:history="1">
        <w:r w:rsidRPr="00545BEB">
          <w:rPr>
            <w:rFonts w:ascii="Lato" w:eastAsia="Times New Roman" w:hAnsi="Lato" w:cs="Times New Roman"/>
            <w:b/>
            <w:bCs/>
            <w:color w:val="FFA403"/>
            <w:spacing w:val="5"/>
            <w:sz w:val="24"/>
            <w:szCs w:val="24"/>
            <w:lang w:eastAsia="it-IT"/>
          </w:rPr>
          <w:t>D.L.vo n. 112 del 2017</w:t>
        </w:r>
      </w:hyperlink>
      <w:r w:rsidRPr="00545BEB">
        <w:rPr>
          <w:rFonts w:ascii="Lato" w:eastAsia="Times New Roman" w:hAnsi="Lato" w:cs="Times New Roman"/>
          <w:color w:val="000000"/>
          <w:spacing w:val="5"/>
          <w:sz w:val="24"/>
          <w:szCs w:val="24"/>
          <w:lang w:eastAsia="it-IT"/>
        </w:rPr>
        <w:t>: v. Cass., Sez. Un., 27 dicembre 2017, n. 30978).</w:t>
      </w:r>
    </w:p>
    <w:p w14:paraId="69168D9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La compartecipazione di soggetti privati alla realizzazione di scopi pubblici non è dunque elemento sufficiente a tramutare la forma e la natura dell'ente, e, conseguentemente, a radicare la giurisdizione contabile, </w:t>
      </w:r>
      <w:r w:rsidRPr="00545BEB">
        <w:rPr>
          <w:rFonts w:ascii="Lato" w:eastAsia="Times New Roman" w:hAnsi="Lato" w:cs="Times New Roman"/>
          <w:b/>
          <w:bCs/>
          <w:color w:val="000000"/>
          <w:spacing w:val="5"/>
          <w:sz w:val="24"/>
          <w:szCs w:val="24"/>
          <w:lang w:eastAsia="it-IT"/>
        </w:rPr>
        <w:t>che può investire i soggetti legati alla P.A. da un rapporto di servizio, configurabile con i soggetti chiamati a controllare e vigilare l'uso del danaro pubblico impiegato dai soggetti privati di cui l'amministrazione si avvale, ma non direttamente con questi ultimi, in specie con società di diritto privato, e tantomeno con i dirigenti o i dipendenti di esse (v. Cass., Sez. Un., 27 dicembre 2017, n. 30978</w:t>
      </w:r>
      <w:r w:rsidRPr="00545BEB">
        <w:rPr>
          <w:rFonts w:ascii="Lato" w:eastAsia="Times New Roman" w:hAnsi="Lato" w:cs="Times New Roman"/>
          <w:color w:val="000000"/>
          <w:spacing w:val="5"/>
          <w:sz w:val="24"/>
          <w:szCs w:val="24"/>
          <w:lang w:eastAsia="it-IT"/>
        </w:rPr>
        <w:t>).</w:t>
      </w:r>
    </w:p>
    <w:p w14:paraId="214254B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Deve d'altro canto sottolinearsi come la qualificazione in termini di attività commerciale e non già amministrativa dell'attività esplicata esclude che la società Eur </w:t>
      </w:r>
      <w:proofErr w:type="spellStart"/>
      <w:r w:rsidRPr="00545BEB">
        <w:rPr>
          <w:rFonts w:ascii="Lato" w:eastAsia="Times New Roman" w:hAnsi="Lato" w:cs="Times New Roman"/>
          <w:color w:val="000000"/>
          <w:spacing w:val="5"/>
          <w:sz w:val="24"/>
          <w:szCs w:val="24"/>
          <w:lang w:eastAsia="it-IT"/>
        </w:rPr>
        <w:t>s.p.a</w:t>
      </w:r>
      <w:proofErr w:type="spellEnd"/>
      <w:r w:rsidRPr="00545BEB">
        <w:rPr>
          <w:rFonts w:ascii="Lato" w:eastAsia="Times New Roman" w:hAnsi="Lato" w:cs="Times New Roman"/>
          <w:color w:val="000000"/>
          <w:spacing w:val="5"/>
          <w:sz w:val="24"/>
          <w:szCs w:val="24"/>
          <w:lang w:eastAsia="it-IT"/>
        </w:rPr>
        <w:t xml:space="preserve"> possa qualificarsi come società legale.</w:t>
      </w:r>
    </w:p>
    <w:p w14:paraId="08B7A953"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b/>
          <w:bCs/>
          <w:color w:val="000000"/>
          <w:spacing w:val="5"/>
          <w:sz w:val="24"/>
          <w:szCs w:val="24"/>
          <w:lang w:eastAsia="it-IT"/>
        </w:rPr>
        <w:t>L'esplicazione di un'attività non di pubblico servizio e la mancanza di un rapporto di servizio (configurabile con i soggetti chiamati a controllare e vigilare l'uso del danaro pubblico impiegato dai soggetti privati di cui l'amministrazione si avvale, ma non direttamente con questi ultimi, in specie con società di diritto privato, e tantomeno con i dirigenti o i dipendenti di esse: v. Cass., Sez. Un., 27 dicembre 2017, n. 30978) nonché la mancanza del requisito del c.d. controllo analogo escludono per altro verso che essa possa qualificarsi come società in house.</w:t>
      </w:r>
    </w:p>
    <w:p w14:paraId="08E7904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Con particolare riferimento al F., va ulteriormente osservato che al medesimo risulta dalla Procura Regionale presso la Sezione giurisdizionale della Corte dei Conti per il Lazio contestato di aver cagionato un danno erariale per avere: a) ricevuto un incarico illecito in quanto non necessario e non attuale; b) omesso in fase di progettazione esecutiva di completare i dettagli estetici dell'opera, rinviando le relative scelte alla Direzione </w:t>
      </w:r>
      <w:r w:rsidRPr="00545BEB">
        <w:rPr>
          <w:rFonts w:ascii="Lato" w:eastAsia="Times New Roman" w:hAnsi="Lato" w:cs="Times New Roman"/>
          <w:color w:val="000000"/>
          <w:spacing w:val="5"/>
          <w:sz w:val="24"/>
          <w:szCs w:val="24"/>
          <w:lang w:eastAsia="it-IT"/>
        </w:rPr>
        <w:lastRenderedPageBreak/>
        <w:t>Artistica, facendo apparire la sussistenza di una carenza progettuale richiedente un intervento ulteriore ed esterno; c) ricevuto compensi che non avrebbe dovuto ricevere se i contratti con la Committenza non avessero sovrapposto attività e tempi di svolgimento dell'incarico; d) ricevuto un compenso incongruo.</w:t>
      </w:r>
    </w:p>
    <w:p w14:paraId="36968CF8"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Orbene, alla stregua di siffatte contestazioni non può invero ritenersi nella specie in alcun modo configurabile la possibilità che il medesimo abbia arrecato un danno erariale idoneo a radicare la giurisdizione del giudice contabile.</w:t>
      </w:r>
    </w:p>
    <w:p w14:paraId="48AAE12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Come queste Sezioni Unite hanno già avuto modo di porre in rilievo, la valutazione in ordine all'utilità o superfluità di un incarico e la congruenza o meno del relativo onere economico non possono invero ascriversi al soggetto privato che come nella specie si sia limitato ad accettare una proposta contrattuale, la cui eventuale responsabilità da inadempimento (in particolare in relazione all'attività quale "Progettista", oggetto di contestazione da parte della Procura contabile) deve essere invero conosciuta dal giudice ordinario alla stregua della disciplina civilistica, in quanto, diversamente, si verrebbe ad inammissibilmente riversare in capo al professionista l'obbligo, che non gli fa carico, di sindacare - in relazione a canoni di buona amministrazione - la congruità della proposta, addirittura "anticipando il futuro giudizio del giudice contabile" (cfr. Cass., </w:t>
      </w:r>
      <w:proofErr w:type="spellStart"/>
      <w:r w:rsidRPr="00545BEB">
        <w:rPr>
          <w:rFonts w:ascii="Lato" w:eastAsia="Times New Roman" w:hAnsi="Lato" w:cs="Times New Roman"/>
          <w:color w:val="000000"/>
          <w:spacing w:val="5"/>
          <w:sz w:val="24"/>
          <w:szCs w:val="24"/>
          <w:lang w:eastAsia="it-IT"/>
        </w:rPr>
        <w:t>Sez</w:t>
      </w:r>
      <w:proofErr w:type="spellEnd"/>
      <w:r w:rsidRPr="00545BEB">
        <w:rPr>
          <w:rFonts w:ascii="Lato" w:eastAsia="Times New Roman" w:hAnsi="Lato" w:cs="Times New Roman"/>
          <w:color w:val="000000"/>
          <w:spacing w:val="5"/>
          <w:sz w:val="24"/>
          <w:szCs w:val="24"/>
          <w:lang w:eastAsia="it-IT"/>
        </w:rPr>
        <w:t xml:space="preserve"> Un., 8 marzo 2016, n. 10324).</w:t>
      </w:r>
    </w:p>
    <w:p w14:paraId="5E8BA36D"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È al riguardo appena il caso di osservare che quanto all'attività svolta quale "Progettista", anche accedendo all'impostazione della Procura Regionale decisivo rilievo assumerebbe l'</w:t>
      </w:r>
      <w:proofErr w:type="spellStart"/>
      <w:r w:rsidRPr="00545BEB">
        <w:rPr>
          <w:rFonts w:ascii="Lato" w:eastAsia="Times New Roman" w:hAnsi="Lato" w:cs="Times New Roman"/>
          <w:color w:val="000000"/>
          <w:spacing w:val="5"/>
          <w:sz w:val="24"/>
          <w:szCs w:val="24"/>
          <w:lang w:eastAsia="it-IT"/>
        </w:rPr>
        <w:t>inconfigurabilità</w:t>
      </w:r>
      <w:proofErr w:type="spellEnd"/>
      <w:r w:rsidRPr="00545BEB">
        <w:rPr>
          <w:rFonts w:ascii="Lato" w:eastAsia="Times New Roman" w:hAnsi="Lato" w:cs="Times New Roman"/>
          <w:color w:val="000000"/>
          <w:spacing w:val="5"/>
          <w:sz w:val="24"/>
          <w:szCs w:val="24"/>
          <w:lang w:eastAsia="it-IT"/>
        </w:rPr>
        <w:t xml:space="preserve"> nella specie in capo al medesimo di alcun rapporto di servizio con la P.A., nonché di un danno direttamente arrecato allo Stato o ad altro ente pubblico, idonei a radicare la giurisdizione della Corte dei Conti (cfr. Cass., Sez. Un., 25 marzo 2013, n. 7374). Argomento che va invero ribadito con riferimento agli altri odierni ricorrenti, atteso che oggetto di contestazione nei confronti dei medesimi è di avere (nella qualità di ex Presidente o Amministratore delegato o Consigliere della società Eur s.p.a. rispettivamente rivestita) mantenuto una "condotta illecita consistente nell'affidamento illecito di prestazioni di "direzione artistica" già ricomprese in precedenti e concomitanti incarichi affidati al F." e invero "del tutto ingiustificata" in relazione alla realizzazione del Nuovo Centro Congressi in argomento; e considerato che non risulta d'altro canto neppure prospettata un'azione di responsabilità fondata sull'avere compromesso la ragione stessa della partecipazione sociale dell'ente pubblico, strumentale al perseguimento di finalità pubbliche ed implicante l'impiego di risorse pubbliche, o da arrecare direttamente pregiudizio al suo patrimonio (v. Cass., Sez. Un., 27 dicembre 2017, n. 30978).</w:t>
      </w:r>
    </w:p>
    <w:p w14:paraId="2E0970C7"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In accoglimento nei suesposti termini dei ricorsi e del controricorso adesivo, va pertanto dichiarato il difetto di giurisdizione della Corte dei Conti.</w:t>
      </w:r>
    </w:p>
    <w:p w14:paraId="3B385683"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Sussistono giusti motivi, stante la particolarità e la complessità della fattispecie, per disporsi la compensazione tra le parti delle spese di regolamento.</w:t>
      </w:r>
    </w:p>
    <w:p w14:paraId="7B5BBFB8"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Non è a farsi luogo a pronunzia in ordine alle spese di regolamento nei confronti della Procura Regionale presso la Sezione giurisdizionale della Corte dei Conti per il Lazio, stante la relativa natura di parte meramente formale.</w:t>
      </w:r>
    </w:p>
    <w:p w14:paraId="09D6F7C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P.Q.M.</w:t>
      </w:r>
    </w:p>
    <w:p w14:paraId="16EC1936" w14:textId="77777777" w:rsidR="00545BEB" w:rsidRPr="00545BEB" w:rsidRDefault="00545BEB" w:rsidP="00545BEB">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45BEB">
        <w:rPr>
          <w:rFonts w:ascii="Lato" w:eastAsia="Times New Roman" w:hAnsi="Lato" w:cs="Times New Roman"/>
          <w:b/>
          <w:bCs/>
          <w:color w:val="000000"/>
          <w:spacing w:val="5"/>
          <w:sz w:val="24"/>
          <w:szCs w:val="24"/>
          <w:lang w:eastAsia="it-IT"/>
        </w:rPr>
        <w:t>La Corte dichiara il difetto di giurisdizione della Corte dei Conti. Compensa le spese.</w:t>
      </w:r>
    </w:p>
    <w:p w14:paraId="1E9C953C" w14:textId="77777777" w:rsidR="00545BEB" w:rsidRDefault="00545BEB"/>
    <w:p w14:paraId="46FF61C8" w14:textId="77777777" w:rsidR="00545BEB" w:rsidRPr="00545BEB" w:rsidRDefault="00545BEB" w:rsidP="00545BEB">
      <w:pPr>
        <w:spacing w:after="0" w:line="240" w:lineRule="auto"/>
        <w:rPr>
          <w:rFonts w:ascii="Times New Roman" w:eastAsia="Times New Roman" w:hAnsi="Times New Roman" w:cs="Times New Roman"/>
          <w:sz w:val="24"/>
          <w:szCs w:val="24"/>
          <w:lang w:eastAsia="it-IT"/>
        </w:rPr>
      </w:pPr>
      <w:r w:rsidRPr="00545BEB">
        <w:rPr>
          <w:rFonts w:ascii="Lato" w:eastAsia="Times New Roman" w:hAnsi="Lato" w:cs="Times New Roman"/>
          <w:color w:val="000000"/>
          <w:spacing w:val="5"/>
          <w:sz w:val="24"/>
          <w:szCs w:val="24"/>
          <w:lang w:eastAsia="it-IT"/>
        </w:rPr>
        <w:br/>
      </w:r>
      <w:r w:rsidRPr="00545BEB">
        <w:rPr>
          <w:rFonts w:ascii="Times New Roman" w:eastAsia="Times New Roman" w:hAnsi="Times New Roman" w:cs="Times New Roman"/>
          <w:sz w:val="24"/>
          <w:szCs w:val="24"/>
          <w:lang w:eastAsia="it-IT"/>
        </w:rPr>
        <w:t>D'Auria Gaetano</w:t>
      </w:r>
      <w:r w:rsidRPr="00545BEB">
        <w:rPr>
          <w:rFonts w:ascii="Times New Roman" w:eastAsia="Times New Roman" w:hAnsi="Times New Roman" w:cs="Times New Roman"/>
          <w:sz w:val="24"/>
          <w:szCs w:val="24"/>
          <w:lang w:eastAsia="it-IT"/>
        </w:rPr>
        <w:br/>
      </w:r>
    </w:p>
    <w:p w14:paraId="4E571CC2" w14:textId="77777777" w:rsidR="00545BEB" w:rsidRPr="00545BEB" w:rsidRDefault="00545BEB" w:rsidP="00545BEB">
      <w:pPr>
        <w:shd w:val="clear" w:color="auto" w:fill="FFFFFF"/>
        <w:spacing w:after="0" w:line="240" w:lineRule="auto"/>
        <w:rPr>
          <w:rFonts w:ascii="Lato" w:eastAsia="Times New Roman" w:hAnsi="Lato" w:cs="Times New Roman"/>
          <w:smallCaps/>
          <w:color w:val="000000"/>
          <w:spacing w:val="5"/>
          <w:sz w:val="24"/>
          <w:szCs w:val="24"/>
          <w:lang w:eastAsia="it-IT"/>
        </w:rPr>
      </w:pPr>
      <w:r w:rsidRPr="00545BEB">
        <w:rPr>
          <w:rFonts w:ascii="Lato" w:eastAsia="Times New Roman" w:hAnsi="Lato" w:cs="Times New Roman"/>
          <w:smallCaps/>
          <w:color w:val="000000"/>
          <w:spacing w:val="5"/>
          <w:sz w:val="24"/>
          <w:szCs w:val="24"/>
          <w:lang w:eastAsia="it-IT"/>
        </w:rPr>
        <w:lastRenderedPageBreak/>
        <w:t>Ancora sulla giurisdizione in tema di responsabilità degli amministratori di società a partecipazione pubblica: le regole generali e alcuni casi inusuali.</w:t>
      </w:r>
    </w:p>
    <w:p w14:paraId="7EF715EA"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(1-5) </w:t>
      </w:r>
      <w:r w:rsidRPr="00545BEB">
        <w:rPr>
          <w:rFonts w:ascii="Lato" w:eastAsia="Times New Roman" w:hAnsi="Lato" w:cs="Times New Roman"/>
          <w:b/>
          <w:bCs/>
          <w:color w:val="000000"/>
          <w:spacing w:val="5"/>
          <w:sz w:val="24"/>
          <w:szCs w:val="24"/>
          <w:lang w:eastAsia="it-IT"/>
        </w:rPr>
        <w:t>Ancora sulla giurisdizione in tema di responsabilità degli amministratori di società a partecipazione pubblica: le regole generali e alcuni casi inusuali.</w:t>
      </w:r>
      <w:r w:rsidRPr="00545BEB">
        <w:rPr>
          <w:rFonts w:ascii="Lato" w:eastAsia="Times New Roman" w:hAnsi="Lato" w:cs="Times New Roman"/>
          <w:color w:val="000000"/>
          <w:spacing w:val="5"/>
          <w:sz w:val="24"/>
          <w:szCs w:val="24"/>
          <w:lang w:eastAsia="it-IT"/>
        </w:rPr>
        <w:t> </w:t>
      </w:r>
    </w:p>
    <w:p w14:paraId="6810B13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I. - L'ordinanza 22712/19 </w:t>
      </w:r>
      <w:proofErr w:type="gramStart"/>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sub</w:t>
      </w:r>
      <w:proofErr w:type="gramEnd"/>
      <w:r w:rsidRPr="00545BEB">
        <w:rPr>
          <w:rFonts w:ascii="Lato" w:eastAsia="Times New Roman" w:hAnsi="Lato" w:cs="Times New Roman"/>
          <w:color w:val="000000"/>
          <w:spacing w:val="5"/>
          <w:sz w:val="24"/>
          <w:szCs w:val="24"/>
          <w:lang w:eastAsia="it-IT"/>
        </w:rPr>
        <w:t> IV) è sostanzialmente identica, nella motivazione in diritto, all'ordinanza 22713/19 (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III), rispetto alla quale aggiunge una parte relativa al progettista dell'opera. Pertanto, la prima viene pubblicata per intero, la seconda per sola massima. </w:t>
      </w:r>
    </w:p>
    <w:p w14:paraId="636C351E"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 - Le ordinanze in epigrafe ribadiscono, nel loro insieme, i criteri generali che orientano la giurisprudenza della Suprema corte in tema di giurisdizione sulla responsabilità per danno erariale e, in particolare, circa la giurisdizione in materia di responsabilità degli amministratori, dei sindaci e dei dipendenti delle società partecipate da pubbliche amministrazioni, applicando tali criteri a fattispecie che presentano interessanti peculiarità.</w:t>
      </w:r>
    </w:p>
    <w:p w14:paraId="493EB66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05E9A7CE"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II.1. - Sul piano generale, l'ordinanza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xml:space="preserve"> II (32608/19) rammenta che la nozione di danno erariale, l'accertamento del quale è rimesso alla giurisdizione Corte dei conti (art. 1, 2° comma,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174/16, codice della giustizia contabile), consta di due elementi: </w:t>
      </w:r>
    </w:p>
    <w:p w14:paraId="6FD7376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w:t>
      </w:r>
      <w:r w:rsidRPr="00545BEB">
        <w:rPr>
          <w:rFonts w:ascii="Lato" w:eastAsia="Times New Roman" w:hAnsi="Lato" w:cs="Times New Roman"/>
          <w:b/>
          <w:bCs/>
          <w:color w:val="000000"/>
          <w:spacing w:val="5"/>
          <w:sz w:val="24"/>
          <w:szCs w:val="24"/>
          <w:lang w:eastAsia="it-IT"/>
        </w:rPr>
        <w:t>uno soggettivo, che attiene alla natura pubblica dell'ente cui l'autore del danno sia legato da un rapporto d'impiego o di servizio, vale a dire da una «relazione funzionale» fra l'amministrazione e l'agente, che sussiste ogni qualvolta un soggetto privato esterno all'amministrazione «</w:t>
      </w:r>
      <w:r w:rsidRPr="00545BEB">
        <w:rPr>
          <w:rFonts w:ascii="Lato" w:eastAsia="Times New Roman" w:hAnsi="Lato" w:cs="Times New Roman"/>
          <w:b/>
          <w:bCs/>
          <w:color w:val="000000"/>
          <w:spacing w:val="5"/>
          <w:sz w:val="24"/>
          <w:szCs w:val="24"/>
          <w:u w:val="single"/>
          <w:lang w:eastAsia="it-IT"/>
        </w:rPr>
        <w:t>venga incaricato di svolgere, nell'interesse e con le risorse di quest’ultima, un'attività o un servizio pubblico in sua vece, inserendosi in tal modo nell'apparato organizzativo della pubblica amministrazione</w:t>
      </w:r>
      <w:r w:rsidRPr="00545BEB">
        <w:rPr>
          <w:rFonts w:ascii="Lato" w:eastAsia="Times New Roman" w:hAnsi="Lato" w:cs="Times New Roman"/>
          <w:color w:val="000000"/>
          <w:spacing w:val="5"/>
          <w:sz w:val="24"/>
          <w:szCs w:val="24"/>
          <w:lang w:eastAsia="it-IT"/>
        </w:rPr>
        <w:t>», a prescindere dal titolo in base al quale la gestione è svolta (un rapporto di pubblico impiego o di servizio, una concessione amministrativa, un contratto o una situazione di fatto), «potendo il relativo rapporto modellarsi secondo gli schemi generali previsti e disciplinati dalla legge, ovvero discostarsene in tutto o in parte» (così, da ultimo, Cass. 30 agosto 2019, n. 21871,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Le banche dati</w:t>
      </w:r>
      <w:r w:rsidRPr="00545BEB">
        <w:rPr>
          <w:rFonts w:ascii="Lato" w:eastAsia="Times New Roman" w:hAnsi="Lato" w:cs="Times New Roman"/>
          <w:color w:val="000000"/>
          <w:spacing w:val="5"/>
          <w:sz w:val="24"/>
          <w:szCs w:val="24"/>
          <w:lang w:eastAsia="it-IT"/>
        </w:rPr>
        <w:t>, archivio </w:t>
      </w:r>
      <w:r w:rsidRPr="00545BEB">
        <w:rPr>
          <w:rFonts w:ascii="Lato" w:eastAsia="Times New Roman" w:hAnsi="Lato" w:cs="Times New Roman"/>
          <w:i/>
          <w:iCs/>
          <w:color w:val="000000"/>
          <w:spacing w:val="5"/>
          <w:sz w:val="24"/>
          <w:szCs w:val="24"/>
          <w:lang w:eastAsia="it-IT"/>
        </w:rPr>
        <w:t>Cassazione civile</w:t>
      </w:r>
      <w:r w:rsidRPr="00545BEB">
        <w:rPr>
          <w:rFonts w:ascii="Lato" w:eastAsia="Times New Roman" w:hAnsi="Lato" w:cs="Times New Roman"/>
          <w:color w:val="000000"/>
          <w:spacing w:val="5"/>
          <w:sz w:val="24"/>
          <w:szCs w:val="24"/>
          <w:lang w:eastAsia="it-IT"/>
        </w:rPr>
        <w:t>); </w:t>
      </w:r>
    </w:p>
    <w:p w14:paraId="2E74E1F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w:t>
      </w:r>
      <w:r w:rsidRPr="00545BEB">
        <w:rPr>
          <w:rFonts w:ascii="Lato" w:eastAsia="Times New Roman" w:hAnsi="Lato" w:cs="Times New Roman"/>
          <w:b/>
          <w:bCs/>
          <w:color w:val="000000"/>
          <w:spacing w:val="5"/>
          <w:sz w:val="24"/>
          <w:szCs w:val="24"/>
          <w:lang w:eastAsia="it-IT"/>
        </w:rPr>
        <w:t xml:space="preserve">uno oggettivo, che riflette </w:t>
      </w:r>
      <w:r w:rsidRPr="00545BEB">
        <w:rPr>
          <w:rFonts w:ascii="Lato" w:eastAsia="Times New Roman" w:hAnsi="Lato" w:cs="Times New Roman"/>
          <w:b/>
          <w:bCs/>
          <w:color w:val="000000"/>
          <w:spacing w:val="5"/>
          <w:sz w:val="24"/>
          <w:szCs w:val="24"/>
          <w:u w:val="single"/>
          <w:lang w:eastAsia="it-IT"/>
        </w:rPr>
        <w:t>la natura pubblica del bene o delle risorse la cui gestione ha dato luogo all'evento dannoso fonte di responsabilità</w:t>
      </w:r>
      <w:r w:rsidRPr="00545BEB">
        <w:rPr>
          <w:rFonts w:ascii="Lato" w:eastAsia="Times New Roman" w:hAnsi="Lato" w:cs="Times New Roman"/>
          <w:b/>
          <w:bCs/>
          <w:color w:val="000000"/>
          <w:spacing w:val="5"/>
          <w:sz w:val="24"/>
          <w:szCs w:val="24"/>
          <w:lang w:eastAsia="it-IT"/>
        </w:rPr>
        <w:t>, con la precisazione che sussiste una «gestione pubblica» non solo quando vengano esercitati poteri autoritativi e pubbliche funzioni, ma «anche quando, nei limiti consentiti dall'ordinamento, si perseguono finalità proprie dell'amministrazione pubblica mediante un'attività disciplinata in tutto o in parte dal diritto privato</w:t>
      </w:r>
      <w:r w:rsidRPr="00545BEB">
        <w:rPr>
          <w:rFonts w:ascii="Lato" w:eastAsia="Times New Roman" w:hAnsi="Lato" w:cs="Times New Roman"/>
          <w:color w:val="000000"/>
          <w:spacing w:val="5"/>
          <w:sz w:val="24"/>
          <w:szCs w:val="24"/>
          <w:lang w:eastAsia="it-IT"/>
        </w:rPr>
        <w:t>» (così, da ultimo, Cass. 2 febbraio 2018, n. 2584,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2018, voce </w:t>
      </w:r>
      <w:r w:rsidRPr="00545BEB">
        <w:rPr>
          <w:rFonts w:ascii="Lato" w:eastAsia="Times New Roman" w:hAnsi="Lato" w:cs="Times New Roman"/>
          <w:i/>
          <w:iCs/>
          <w:color w:val="000000"/>
          <w:spacing w:val="5"/>
          <w:sz w:val="24"/>
          <w:szCs w:val="24"/>
          <w:lang w:eastAsia="it-IT"/>
        </w:rPr>
        <w:t>Responsabilità contabile</w:t>
      </w:r>
      <w:r w:rsidRPr="00545BEB">
        <w:rPr>
          <w:rFonts w:ascii="Lato" w:eastAsia="Times New Roman" w:hAnsi="Lato" w:cs="Times New Roman"/>
          <w:color w:val="000000"/>
          <w:spacing w:val="5"/>
          <w:sz w:val="24"/>
          <w:szCs w:val="24"/>
          <w:lang w:eastAsia="it-IT"/>
        </w:rPr>
        <w:t>, n. 126). </w:t>
      </w:r>
    </w:p>
    <w:p w14:paraId="550D136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II.2. - </w:t>
      </w:r>
      <w:r w:rsidRPr="00545BEB">
        <w:rPr>
          <w:rFonts w:ascii="Lato" w:eastAsia="Times New Roman" w:hAnsi="Lato" w:cs="Times New Roman"/>
          <w:b/>
          <w:bCs/>
          <w:color w:val="000000"/>
          <w:spacing w:val="5"/>
          <w:sz w:val="24"/>
          <w:szCs w:val="24"/>
          <w:lang w:eastAsia="it-IT"/>
        </w:rPr>
        <w:t>Con riguardo alla responsabilità degli amministratori (nonché dei sindaci e dei dipendenti) delle società partecipate da pubbliche amministrazioni, le ordinanze si conformano all'indirizzo di principio</w:t>
      </w:r>
      <w:r w:rsidRPr="00545BEB">
        <w:rPr>
          <w:rFonts w:ascii="Lato" w:eastAsia="Times New Roman" w:hAnsi="Lato" w:cs="Times New Roman"/>
          <w:color w:val="000000"/>
          <w:spacing w:val="5"/>
          <w:sz w:val="24"/>
          <w:szCs w:val="24"/>
          <w:lang w:eastAsia="it-IT"/>
        </w:rPr>
        <w:t xml:space="preserve"> (sul quale v., di recente, Cass.,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13 settembre 2018, n. 22406,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2019, I, 946, con nota di richiami e osservazioni di G. D'Auria; annotata anche da V. Bontempi, </w:t>
      </w:r>
      <w:r w:rsidRPr="00545BEB">
        <w:rPr>
          <w:rFonts w:ascii="Lato" w:eastAsia="Times New Roman" w:hAnsi="Lato" w:cs="Times New Roman"/>
          <w:i/>
          <w:iCs/>
          <w:color w:val="000000"/>
          <w:spacing w:val="5"/>
          <w:sz w:val="24"/>
          <w:szCs w:val="24"/>
          <w:lang w:eastAsia="it-IT"/>
        </w:rPr>
        <w:t>La giurisdizione in materia di responsabilità degli amministratori di società a partecipazione pubblica</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 xml:space="preserve">Giornale dir. </w:t>
      </w:r>
      <w:proofErr w:type="spellStart"/>
      <w:r w:rsidRPr="00545BEB">
        <w:rPr>
          <w:rFonts w:ascii="Lato" w:eastAsia="Times New Roman" w:hAnsi="Lato" w:cs="Times New Roman"/>
          <w:i/>
          <w:iCs/>
          <w:color w:val="000000"/>
          <w:spacing w:val="5"/>
          <w:sz w:val="24"/>
          <w:szCs w:val="24"/>
          <w:lang w:eastAsia="it-IT"/>
        </w:rPr>
        <w:t>amm</w:t>
      </w:r>
      <w:proofErr w:type="spellEnd"/>
      <w:r w:rsidRPr="00545BEB">
        <w:rPr>
          <w:rFonts w:ascii="Lato" w:eastAsia="Times New Roman" w:hAnsi="Lato" w:cs="Times New Roman"/>
          <w:color w:val="000000"/>
          <w:spacing w:val="5"/>
          <w:sz w:val="24"/>
          <w:szCs w:val="24"/>
          <w:lang w:eastAsia="it-IT"/>
        </w:rPr>
        <w:t xml:space="preserve">., 2019, 217; C. </w:t>
      </w:r>
      <w:proofErr w:type="spellStart"/>
      <w:r w:rsidRPr="00545BEB">
        <w:rPr>
          <w:rFonts w:ascii="Lato" w:eastAsia="Times New Roman" w:hAnsi="Lato" w:cs="Times New Roman"/>
          <w:color w:val="000000"/>
          <w:spacing w:val="5"/>
          <w:sz w:val="24"/>
          <w:szCs w:val="24"/>
          <w:lang w:eastAsia="it-IT"/>
        </w:rPr>
        <w:t>Commandatore</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Le molteplici responsabilità degli organi sociali delle società a partecipazione pubblica</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Urbanistica e appalti</w:t>
      </w:r>
      <w:r w:rsidRPr="00545BEB">
        <w:rPr>
          <w:rFonts w:ascii="Lato" w:eastAsia="Times New Roman" w:hAnsi="Lato" w:cs="Times New Roman"/>
          <w:color w:val="000000"/>
          <w:spacing w:val="5"/>
          <w:sz w:val="24"/>
          <w:szCs w:val="24"/>
          <w:lang w:eastAsia="it-IT"/>
        </w:rPr>
        <w:t xml:space="preserve">, 2019, 193; e F. </w:t>
      </w:r>
      <w:proofErr w:type="spellStart"/>
      <w:r w:rsidRPr="00545BEB">
        <w:rPr>
          <w:rFonts w:ascii="Lato" w:eastAsia="Times New Roman" w:hAnsi="Lato" w:cs="Times New Roman"/>
          <w:color w:val="000000"/>
          <w:spacing w:val="5"/>
          <w:sz w:val="24"/>
          <w:szCs w:val="24"/>
          <w:lang w:eastAsia="it-IT"/>
        </w:rPr>
        <w:t>Fimmanò</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Le sezioni unite aprono ad una giurisdizione concorrente «a tutto campo» della Corte dei conti sulle azioni di responsabilità</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Società</w:t>
      </w:r>
      <w:r w:rsidRPr="00545BEB">
        <w:rPr>
          <w:rFonts w:ascii="Lato" w:eastAsia="Times New Roman" w:hAnsi="Lato" w:cs="Times New Roman"/>
          <w:color w:val="000000"/>
          <w:spacing w:val="5"/>
          <w:sz w:val="24"/>
          <w:szCs w:val="24"/>
          <w:lang w:eastAsia="it-IT"/>
        </w:rPr>
        <w:t xml:space="preserve">, 2019, 70; nonché Cass. 8 maggio 2017, n. 11139;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xml:space="preserve">. 22 dicembre 2016, n. 26643; 5 dicembre 2016, n. 24737; 27 ottobre 2016, n. 21692, e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8 luglio 2016, n. 14040, tutte in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2017, I, 2354, con nota di G. D'Auria, </w:t>
      </w:r>
      <w:r w:rsidRPr="00545BEB">
        <w:rPr>
          <w:rFonts w:ascii="Lato" w:eastAsia="Times New Roman" w:hAnsi="Lato" w:cs="Times New Roman"/>
          <w:i/>
          <w:iCs/>
          <w:color w:val="000000"/>
          <w:spacing w:val="5"/>
          <w:sz w:val="24"/>
          <w:szCs w:val="24"/>
          <w:lang w:eastAsia="it-IT"/>
        </w:rPr>
        <w:t xml:space="preserve">Amministratori di società pubbliche e responsabilità erariale: un aggiornamento e un </w:t>
      </w:r>
      <w:r w:rsidRPr="00545BEB">
        <w:rPr>
          <w:rFonts w:ascii="Lato" w:eastAsia="Times New Roman" w:hAnsi="Lato" w:cs="Times New Roman"/>
          <w:i/>
          <w:iCs/>
          <w:color w:val="000000"/>
          <w:spacing w:val="5"/>
          <w:sz w:val="24"/>
          <w:szCs w:val="24"/>
          <w:lang w:eastAsia="it-IT"/>
        </w:rPr>
        <w:lastRenderedPageBreak/>
        <w:t>caso singolare</w:t>
      </w:r>
      <w:r w:rsidRPr="00545BEB">
        <w:rPr>
          <w:rFonts w:ascii="Lato" w:eastAsia="Times New Roman" w:hAnsi="Lato" w:cs="Times New Roman"/>
          <w:color w:val="000000"/>
          <w:spacing w:val="5"/>
          <w:sz w:val="24"/>
          <w:szCs w:val="24"/>
          <w:lang w:eastAsia="it-IT"/>
        </w:rPr>
        <w:t>; Cass. 24737/16 è annotata anche da A. Giusti, </w:t>
      </w:r>
      <w:r w:rsidRPr="00545BEB">
        <w:rPr>
          <w:rFonts w:ascii="Lato" w:eastAsia="Times New Roman" w:hAnsi="Lato" w:cs="Times New Roman"/>
          <w:i/>
          <w:iCs/>
          <w:color w:val="000000"/>
          <w:spacing w:val="5"/>
          <w:sz w:val="24"/>
          <w:szCs w:val="24"/>
          <w:lang w:eastAsia="it-IT"/>
        </w:rPr>
        <w:t>Giurisdizione contabile ed enti pubblici a struttura di s.p.a.: il caso delle centrali di committenza</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Nuova giur. civ</w:t>
      </w:r>
      <w:r w:rsidRPr="00545BEB">
        <w:rPr>
          <w:rFonts w:ascii="Lato" w:eastAsia="Times New Roman" w:hAnsi="Lato" w:cs="Times New Roman"/>
          <w:color w:val="000000"/>
          <w:spacing w:val="5"/>
          <w:sz w:val="24"/>
          <w:szCs w:val="24"/>
          <w:lang w:eastAsia="it-IT"/>
        </w:rPr>
        <w:t xml:space="preserve">., 2017, 679, e F.G. </w:t>
      </w:r>
      <w:proofErr w:type="spellStart"/>
      <w:r w:rsidRPr="00545BEB">
        <w:rPr>
          <w:rFonts w:ascii="Lato" w:eastAsia="Times New Roman" w:hAnsi="Lato" w:cs="Times New Roman"/>
          <w:color w:val="000000"/>
          <w:spacing w:val="5"/>
          <w:sz w:val="24"/>
          <w:szCs w:val="24"/>
          <w:lang w:eastAsia="it-IT"/>
        </w:rPr>
        <w:t>Scoca</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Società private e giurisdizione contabile</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 xml:space="preserve">Giur.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2017, 934), per cui: </w:t>
      </w:r>
    </w:p>
    <w:p w14:paraId="71AE0E03"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proofErr w:type="gramStart"/>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w:t>
      </w:r>
      <w:r w:rsidRPr="00545BEB">
        <w:rPr>
          <w:rFonts w:ascii="Lato" w:eastAsia="Times New Roman" w:hAnsi="Lato" w:cs="Times New Roman"/>
          <w:b/>
          <w:bCs/>
          <w:color w:val="000000"/>
          <w:spacing w:val="5"/>
          <w:sz w:val="24"/>
          <w:szCs w:val="24"/>
          <w:u w:val="single"/>
          <w:lang w:eastAsia="it-IT"/>
        </w:rPr>
        <w:t>la</w:t>
      </w:r>
      <w:proofErr w:type="gramEnd"/>
      <w:r w:rsidRPr="00545BEB">
        <w:rPr>
          <w:rFonts w:ascii="Lato" w:eastAsia="Times New Roman" w:hAnsi="Lato" w:cs="Times New Roman"/>
          <w:b/>
          <w:bCs/>
          <w:color w:val="000000"/>
          <w:spacing w:val="5"/>
          <w:sz w:val="24"/>
          <w:szCs w:val="24"/>
          <w:u w:val="single"/>
          <w:lang w:eastAsia="it-IT"/>
        </w:rPr>
        <w:t xml:space="preserve"> società a partecipazione pubblica ha una soggettività distinta e autonoma da quella del socio o dei soci pubblici, né perde la propria natura di soggetto privato, regolato dal codice civile, «per il solo fatto che il [suo] capitale sia alimentato [...] da conferimenti provenienti dallo Stato o da altro ente pubblico</w:t>
      </w:r>
      <w:r w:rsidRPr="00545BEB">
        <w:rPr>
          <w:rFonts w:ascii="Lato" w:eastAsia="Times New Roman" w:hAnsi="Lato" w:cs="Times New Roman"/>
          <w:color w:val="000000"/>
          <w:spacing w:val="5"/>
          <w:sz w:val="24"/>
          <w:szCs w:val="24"/>
          <w:lang w:eastAsia="it-IT"/>
        </w:rPr>
        <w:t>» (così, citata in motivazione, Cass. 19 dicembre 2009, n. 26806,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2010, I, 1473, con nota di G. D'Auria, </w:t>
      </w:r>
      <w:r w:rsidRPr="00545BEB">
        <w:rPr>
          <w:rFonts w:ascii="Lato" w:eastAsia="Times New Roman" w:hAnsi="Lato" w:cs="Times New Roman"/>
          <w:i/>
          <w:iCs/>
          <w:color w:val="000000"/>
          <w:spacing w:val="5"/>
          <w:sz w:val="24"/>
          <w:szCs w:val="24"/>
          <w:lang w:eastAsia="it-IT"/>
        </w:rPr>
        <w:t>Non esiste (con eccezioni) la responsabilità erariale per i danni cagionati alle società pubbliche dai loro amministratori</w:t>
      </w:r>
      <w:r w:rsidRPr="00545BEB">
        <w:rPr>
          <w:rFonts w:ascii="Lato" w:eastAsia="Times New Roman" w:hAnsi="Lato" w:cs="Times New Roman"/>
          <w:color w:val="000000"/>
          <w:spacing w:val="5"/>
          <w:sz w:val="24"/>
          <w:szCs w:val="24"/>
          <w:lang w:eastAsia="it-IT"/>
        </w:rPr>
        <w:t xml:space="preserve">). </w:t>
      </w:r>
      <w:r w:rsidRPr="00545BEB">
        <w:rPr>
          <w:rFonts w:ascii="Lato" w:eastAsia="Times New Roman" w:hAnsi="Lato" w:cs="Times New Roman"/>
          <w:b/>
          <w:bCs/>
          <w:color w:val="000000"/>
          <w:spacing w:val="5"/>
          <w:sz w:val="24"/>
          <w:szCs w:val="24"/>
          <w:lang w:eastAsia="it-IT"/>
        </w:rPr>
        <w:t>Più specificamente, tale autonoma soggettività comporta che la partecipazione totalitaria, di maggioranza o di controllo di un ente pubblico a una società non determina l'automatica instaurazione di un «rapporto di servizio» fra i suoi amministratori e l'ente pubblico</w:t>
      </w:r>
      <w:r w:rsidRPr="00545BEB">
        <w:rPr>
          <w:rFonts w:ascii="Lato" w:eastAsia="Times New Roman" w:hAnsi="Lato" w:cs="Times New Roman"/>
          <w:color w:val="000000"/>
          <w:spacing w:val="5"/>
          <w:sz w:val="24"/>
          <w:szCs w:val="24"/>
          <w:lang w:eastAsia="it-IT"/>
        </w:rPr>
        <w:t xml:space="preserve"> (vale a dire di quella relazione per cui la società svolge la sua attività in favore di un ente pubblico nell'ambito di procedimenti amministrativi propri di questo) </w:t>
      </w:r>
      <w:r w:rsidRPr="00545BEB">
        <w:rPr>
          <w:rFonts w:ascii="Lato" w:eastAsia="Times New Roman" w:hAnsi="Lato" w:cs="Times New Roman"/>
          <w:i/>
          <w:iCs/>
          <w:color w:val="000000"/>
          <w:spacing w:val="5"/>
          <w:sz w:val="24"/>
          <w:szCs w:val="24"/>
          <w:lang w:eastAsia="it-IT"/>
        </w:rPr>
        <w:t>e, quindi, la sottoposizione dei primi al regime della responsabilità erariale</w:t>
      </w:r>
      <w:r w:rsidRPr="00545BEB">
        <w:rPr>
          <w:rFonts w:ascii="Lato" w:eastAsia="Times New Roman" w:hAnsi="Lato" w:cs="Times New Roman"/>
          <w:color w:val="000000"/>
          <w:spacing w:val="5"/>
          <w:sz w:val="24"/>
          <w:szCs w:val="24"/>
          <w:lang w:eastAsia="it-IT"/>
        </w:rPr>
        <w:t xml:space="preserve"> (v., ad esempio, Cass.,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13 settembre 2018, n. 22409,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xml:space="preserve">., Rep. 2018, voce cit., n. 149, la quale ha escluso che una società, pur essendo interamente partecipata dalla regione, potesse essere qualificata «in house </w:t>
      </w:r>
      <w:proofErr w:type="spellStart"/>
      <w:r w:rsidRPr="00545BEB">
        <w:rPr>
          <w:rFonts w:ascii="Lato" w:eastAsia="Times New Roman" w:hAnsi="Lato" w:cs="Times New Roman"/>
          <w:color w:val="000000"/>
          <w:spacing w:val="5"/>
          <w:sz w:val="24"/>
          <w:szCs w:val="24"/>
          <w:lang w:eastAsia="it-IT"/>
        </w:rPr>
        <w:t>providing</w:t>
      </w:r>
      <w:proofErr w:type="spellEnd"/>
      <w:r w:rsidRPr="00545BEB">
        <w:rPr>
          <w:rFonts w:ascii="Lato" w:eastAsia="Times New Roman" w:hAnsi="Lato" w:cs="Times New Roman"/>
          <w:color w:val="000000"/>
          <w:spacing w:val="5"/>
          <w:sz w:val="24"/>
          <w:szCs w:val="24"/>
          <w:lang w:eastAsia="it-IT"/>
        </w:rPr>
        <w:t xml:space="preserve">», dal momento che l'oggetto sociale descritto nello statuto </w:t>
      </w:r>
      <w:r w:rsidRPr="00545BEB">
        <w:rPr>
          <w:rFonts w:ascii="Lato" w:eastAsia="Times New Roman" w:hAnsi="Lato" w:cs="Times New Roman"/>
          <w:color w:val="000000"/>
          <w:spacing w:val="5"/>
          <w:sz w:val="24"/>
          <w:szCs w:val="24"/>
          <w:u w:val="single"/>
          <w:lang w:eastAsia="it-IT"/>
        </w:rPr>
        <w:t>contemplava l'esercizio di attività diversificate, con la massima libertà gestionale e la possibilità di coordinare le sue iniziative con quelle di altri enti e aziende fornitrici di servizi pubblici, lasciando spazio all'operatività in regime di libero mercato</w:t>
      </w:r>
      <w:r w:rsidRPr="00545BEB">
        <w:rPr>
          <w:rFonts w:ascii="Lato" w:eastAsia="Times New Roman" w:hAnsi="Lato" w:cs="Times New Roman"/>
          <w:color w:val="000000"/>
          <w:spacing w:val="5"/>
          <w:sz w:val="24"/>
          <w:szCs w:val="24"/>
          <w:lang w:eastAsia="it-IT"/>
        </w:rPr>
        <w:t xml:space="preserve">). Inoltre, proprio perché la società è un soggetto distinto dai singoli soci, rispetto ai quali ha piena autonomia patrimoniale, </w:t>
      </w:r>
      <w:r w:rsidRPr="00545BEB">
        <w:rPr>
          <w:rFonts w:ascii="Lato" w:eastAsia="Times New Roman" w:hAnsi="Lato" w:cs="Times New Roman"/>
          <w:b/>
          <w:bCs/>
          <w:color w:val="000000"/>
          <w:spacing w:val="5"/>
          <w:sz w:val="24"/>
          <w:szCs w:val="24"/>
          <w:lang w:eastAsia="it-IT"/>
        </w:rPr>
        <w:t>il danno eventualmente cagionato dai titolari degli organi sociali al patrimonio della società non può essere riferito al patrimonio del socio pubblico.</w:t>
      </w:r>
      <w:r w:rsidRPr="00545BEB">
        <w:rPr>
          <w:rFonts w:ascii="Lato" w:eastAsia="Times New Roman" w:hAnsi="Lato" w:cs="Times New Roman"/>
          <w:color w:val="000000"/>
          <w:spacing w:val="5"/>
          <w:sz w:val="24"/>
          <w:szCs w:val="24"/>
          <w:lang w:eastAsia="it-IT"/>
        </w:rPr>
        <w:t xml:space="preserve"> Il patrimonio della società, cioè, «è e resta privato e separato da quello dei soci» (così le ordinanze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xml:space="preserve"> III e IV, richiamando Cass.,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3 maggio 2013, n. 10299,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xml:space="preserve">., Rep. 2013, voce cit., n. 70, e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5 luglio 2011, n. 14655,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2011, voce cit., n. 56), cosicché, nel caso in cui gli amministratori (i sindaci o i dipendenti) della società abbiano leso il patrimonio di questa con atti di </w:t>
      </w:r>
      <w:r w:rsidRPr="00545BEB">
        <w:rPr>
          <w:rFonts w:ascii="Lato" w:eastAsia="Times New Roman" w:hAnsi="Lato" w:cs="Times New Roman"/>
          <w:i/>
          <w:iCs/>
          <w:color w:val="000000"/>
          <w:spacing w:val="5"/>
          <w:sz w:val="24"/>
          <w:szCs w:val="24"/>
          <w:lang w:eastAsia="it-IT"/>
        </w:rPr>
        <w:t xml:space="preserve">mala </w:t>
      </w:r>
      <w:proofErr w:type="spellStart"/>
      <w:r w:rsidRPr="00545BEB">
        <w:rPr>
          <w:rFonts w:ascii="Lato" w:eastAsia="Times New Roman" w:hAnsi="Lato" w:cs="Times New Roman"/>
          <w:i/>
          <w:iCs/>
          <w:color w:val="000000"/>
          <w:spacing w:val="5"/>
          <w:sz w:val="24"/>
          <w:szCs w:val="24"/>
          <w:lang w:eastAsia="it-IT"/>
        </w:rPr>
        <w:t>gestio</w:t>
      </w:r>
      <w:proofErr w:type="spellEnd"/>
      <w:r w:rsidRPr="00545BEB">
        <w:rPr>
          <w:rFonts w:ascii="Lato" w:eastAsia="Times New Roman" w:hAnsi="Lato" w:cs="Times New Roman"/>
          <w:color w:val="000000"/>
          <w:spacing w:val="5"/>
          <w:sz w:val="24"/>
          <w:szCs w:val="24"/>
          <w:lang w:eastAsia="it-IT"/>
        </w:rPr>
        <w:t>, non sussiste un danno qualificabile come «erariale», inteso come pregiudizio direttamente arrecato al patrimonio dello Stato o dell'ente pubblico socio, e la responsabilità per il danno cagionato dall'amministratore al patrimonio della società è regolata dalle norme del diritto civile e non da quelle sulla responsabilità amministrativa, onde va fatta valere davanti all'autorità giudiziaria ordinaria e non davanti alla Corte dei conti; </w:t>
      </w:r>
    </w:p>
    <w:p w14:paraId="3D5C80C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i/>
          <w:iCs/>
          <w:color w:val="000000"/>
          <w:spacing w:val="5"/>
          <w:sz w:val="24"/>
          <w:szCs w:val="24"/>
          <w:lang w:eastAsia="it-IT"/>
        </w:rPr>
        <w:t>a</w:t>
      </w:r>
      <w:proofErr w:type="gramStart"/>
      <w:r w:rsidRPr="00545BEB">
        <w:rPr>
          <w:rFonts w:ascii="Lato" w:eastAsia="Times New Roman" w:hAnsi="Lato" w:cs="Times New Roman"/>
          <w:color w:val="000000"/>
          <w:spacing w:val="5"/>
          <w:sz w:val="24"/>
          <w:szCs w:val="24"/>
          <w:lang w:eastAsia="it-IT"/>
        </w:rPr>
        <w:t>1)</w:t>
      </w:r>
      <w:r w:rsidRPr="00545BEB">
        <w:rPr>
          <w:rFonts w:ascii="Lato" w:eastAsia="Times New Roman" w:hAnsi="Lato" w:cs="Times New Roman"/>
          <w:color w:val="000000"/>
          <w:spacing w:val="5"/>
          <w:sz w:val="24"/>
          <w:szCs w:val="24"/>
          <w:u w:val="single"/>
          <w:lang w:eastAsia="it-IT"/>
        </w:rPr>
        <w:t>non</w:t>
      </w:r>
      <w:proofErr w:type="gramEnd"/>
      <w:r w:rsidRPr="00545BEB">
        <w:rPr>
          <w:rFonts w:ascii="Lato" w:eastAsia="Times New Roman" w:hAnsi="Lato" w:cs="Times New Roman"/>
          <w:color w:val="000000"/>
          <w:spacing w:val="5"/>
          <w:sz w:val="24"/>
          <w:szCs w:val="24"/>
          <w:u w:val="single"/>
          <w:lang w:eastAsia="it-IT"/>
        </w:rPr>
        <w:t xml:space="preserve"> sembra, comunque, in discussione che un rapporto di servizio possa instaurarsi fra gli amministratori (i sindaci o i dipendenti) della società e l'ente pubblico-socio, come accade quando i primi pongano in essere, nell'esercizio delle loro funzioni, un comportamento dannoso che, collocandosi nell'area dei procedimenti amministrativi dell'ente, incida direttamente sul patrimonio di questo</w:t>
      </w:r>
      <w:r w:rsidRPr="00545BEB">
        <w:rPr>
          <w:rFonts w:ascii="Lato" w:eastAsia="Times New Roman" w:hAnsi="Lato" w:cs="Times New Roman"/>
          <w:color w:val="000000"/>
          <w:spacing w:val="5"/>
          <w:sz w:val="24"/>
          <w:szCs w:val="24"/>
          <w:lang w:eastAsia="it-IT"/>
        </w:rPr>
        <w:t xml:space="preserve"> (v., per tutte, Cass. 21 luglio 2015, n. 15199,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2015, voce </w:t>
      </w:r>
      <w:r w:rsidRPr="00545BEB">
        <w:rPr>
          <w:rFonts w:ascii="Lato" w:eastAsia="Times New Roman" w:hAnsi="Lato" w:cs="Times New Roman"/>
          <w:i/>
          <w:iCs/>
          <w:color w:val="000000"/>
          <w:spacing w:val="5"/>
          <w:sz w:val="24"/>
          <w:szCs w:val="24"/>
          <w:lang w:eastAsia="it-IT"/>
        </w:rPr>
        <w:t>Amministrazione dello Stato</w:t>
      </w:r>
      <w:r w:rsidRPr="00545BEB">
        <w:rPr>
          <w:rFonts w:ascii="Lato" w:eastAsia="Times New Roman" w:hAnsi="Lato" w:cs="Times New Roman"/>
          <w:color w:val="000000"/>
          <w:spacing w:val="5"/>
          <w:sz w:val="24"/>
          <w:szCs w:val="24"/>
          <w:lang w:eastAsia="it-IT"/>
        </w:rPr>
        <w:t>, n. 260; 25 marzo 2013, n. 7374,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2013, voce </w:t>
      </w:r>
      <w:r w:rsidRPr="00545BEB">
        <w:rPr>
          <w:rFonts w:ascii="Lato" w:eastAsia="Times New Roman" w:hAnsi="Lato" w:cs="Times New Roman"/>
          <w:i/>
          <w:iCs/>
          <w:color w:val="000000"/>
          <w:spacing w:val="5"/>
          <w:sz w:val="24"/>
          <w:szCs w:val="24"/>
          <w:lang w:eastAsia="it-IT"/>
        </w:rPr>
        <w:t>Responsabilità contabile</w:t>
      </w:r>
      <w:r w:rsidRPr="00545BEB">
        <w:rPr>
          <w:rFonts w:ascii="Lato" w:eastAsia="Times New Roman" w:hAnsi="Lato" w:cs="Times New Roman"/>
          <w:color w:val="000000"/>
          <w:spacing w:val="5"/>
          <w:sz w:val="24"/>
          <w:szCs w:val="24"/>
          <w:lang w:eastAsia="it-IT"/>
        </w:rPr>
        <w:t>, n. 47; 15 gennaio 2010, n. 519,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xml:space="preserve">., Rep. 2010, voce cit., n. 334, annotata da P. Ghiglione-M. </w:t>
      </w:r>
      <w:proofErr w:type="spellStart"/>
      <w:r w:rsidRPr="00545BEB">
        <w:rPr>
          <w:rFonts w:ascii="Lato" w:eastAsia="Times New Roman" w:hAnsi="Lato" w:cs="Times New Roman"/>
          <w:color w:val="000000"/>
          <w:spacing w:val="5"/>
          <w:sz w:val="24"/>
          <w:szCs w:val="24"/>
          <w:lang w:eastAsia="it-IT"/>
        </w:rPr>
        <w:t>Biallo</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Responsabilità degli amministratori di società a partecipazione pubblica: l'orientamento delle sezioni unite</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Società</w:t>
      </w:r>
      <w:r w:rsidRPr="00545BEB">
        <w:rPr>
          <w:rFonts w:ascii="Lato" w:eastAsia="Times New Roman" w:hAnsi="Lato" w:cs="Times New Roman"/>
          <w:color w:val="000000"/>
          <w:spacing w:val="5"/>
          <w:sz w:val="24"/>
          <w:szCs w:val="24"/>
          <w:lang w:eastAsia="it-IT"/>
        </w:rPr>
        <w:t>, 2010, 803; M. Sinisi, </w:t>
      </w:r>
      <w:r w:rsidRPr="00545BEB">
        <w:rPr>
          <w:rFonts w:ascii="Lato" w:eastAsia="Times New Roman" w:hAnsi="Lato" w:cs="Times New Roman"/>
          <w:i/>
          <w:iCs/>
          <w:color w:val="000000"/>
          <w:spacing w:val="5"/>
          <w:sz w:val="24"/>
          <w:szCs w:val="24"/>
          <w:lang w:eastAsia="it-IT"/>
        </w:rPr>
        <w:t>Responsabilità amministrativa di amministratori e dipendenti di s.p.a. a partecipazione pubblica e riparto di giurisdizione: l'intervento risolutivo delle sezioni unite della Corte di cassazione</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amm</w:t>
      </w:r>
      <w:proofErr w:type="spellEnd"/>
      <w:r w:rsidRPr="00545BEB">
        <w:rPr>
          <w:rFonts w:ascii="Lato" w:eastAsia="Times New Roman" w:hAnsi="Lato" w:cs="Times New Roman"/>
          <w:i/>
          <w:iCs/>
          <w:color w:val="000000"/>
          <w:spacing w:val="5"/>
          <w:sz w:val="24"/>
          <w:szCs w:val="24"/>
          <w:lang w:eastAsia="it-IT"/>
        </w:rPr>
        <w:t>.-Cons. Stato</w:t>
      </w:r>
      <w:r w:rsidRPr="00545BEB">
        <w:rPr>
          <w:rFonts w:ascii="Lato" w:eastAsia="Times New Roman" w:hAnsi="Lato" w:cs="Times New Roman"/>
          <w:color w:val="000000"/>
          <w:spacing w:val="5"/>
          <w:sz w:val="24"/>
          <w:szCs w:val="24"/>
          <w:lang w:eastAsia="it-IT"/>
        </w:rPr>
        <w:t>, 2010, 77, e V. Tenore, </w:t>
      </w:r>
      <w:r w:rsidRPr="00545BEB">
        <w:rPr>
          <w:rFonts w:ascii="Lato" w:eastAsia="Times New Roman" w:hAnsi="Lato" w:cs="Times New Roman"/>
          <w:i/>
          <w:iCs/>
          <w:color w:val="000000"/>
          <w:spacing w:val="5"/>
          <w:sz w:val="24"/>
          <w:szCs w:val="24"/>
          <w:lang w:eastAsia="it-IT"/>
        </w:rPr>
        <w:t>La giurisdizione della Corte dei conti sulle s.p.a. a partecipazione pubblica</w:t>
      </w:r>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ibid</w:t>
      </w:r>
      <w:r w:rsidRPr="00545BEB">
        <w:rPr>
          <w:rFonts w:ascii="Lato" w:eastAsia="Times New Roman" w:hAnsi="Lato" w:cs="Times New Roman"/>
          <w:color w:val="000000"/>
          <w:spacing w:val="5"/>
          <w:sz w:val="24"/>
          <w:szCs w:val="24"/>
          <w:lang w:eastAsia="it-IT"/>
        </w:rPr>
        <w:t>., 92; v. pure </w:t>
      </w:r>
      <w:r w:rsidRPr="00545BEB">
        <w:rPr>
          <w:rFonts w:ascii="Lato" w:eastAsia="Times New Roman" w:hAnsi="Lato" w:cs="Times New Roman"/>
          <w:i/>
          <w:iCs/>
          <w:color w:val="000000"/>
          <w:spacing w:val="5"/>
          <w:sz w:val="24"/>
          <w:szCs w:val="24"/>
          <w:lang w:eastAsia="it-IT"/>
        </w:rPr>
        <w:t>infra</w:t>
      </w:r>
      <w:r w:rsidRPr="00545BEB">
        <w:rPr>
          <w:rFonts w:ascii="Lato" w:eastAsia="Times New Roman" w:hAnsi="Lato" w:cs="Times New Roman"/>
          <w:color w:val="000000"/>
          <w:spacing w:val="5"/>
          <w:sz w:val="24"/>
          <w:szCs w:val="24"/>
          <w:lang w:eastAsia="it-IT"/>
        </w:rPr>
        <w:t xml:space="preserve">, par. II.3); ma tale vicenda non differisce da ogni altra situazione in cui un </w:t>
      </w:r>
      <w:r w:rsidRPr="00545BEB">
        <w:rPr>
          <w:rFonts w:ascii="Lato" w:eastAsia="Times New Roman" w:hAnsi="Lato" w:cs="Times New Roman"/>
          <w:color w:val="000000"/>
          <w:spacing w:val="5"/>
          <w:sz w:val="24"/>
          <w:szCs w:val="24"/>
          <w:lang w:eastAsia="it-IT"/>
        </w:rPr>
        <w:lastRenderedPageBreak/>
        <w:t>privato si inserisca di fatto nei procedimenti di una pubblica amministrazione, dando luogo a un vero e proprio rapporto di servizio di fatto, sufficiente a radicare la giurisdizione del giudice contabile per l'accertamento della responsabilità dei danni eventualmente cagionati alla stessa (o ad altra) amministrazione (v. pure </w:t>
      </w:r>
      <w:r w:rsidRPr="00545BEB">
        <w:rPr>
          <w:rFonts w:ascii="Lato" w:eastAsia="Times New Roman" w:hAnsi="Lato" w:cs="Times New Roman"/>
          <w:i/>
          <w:iCs/>
          <w:color w:val="000000"/>
          <w:spacing w:val="5"/>
          <w:sz w:val="24"/>
          <w:szCs w:val="24"/>
          <w:lang w:eastAsia="it-IT"/>
        </w:rPr>
        <w:t>infra</w:t>
      </w:r>
      <w:r w:rsidRPr="00545BEB">
        <w:rPr>
          <w:rFonts w:ascii="Lato" w:eastAsia="Times New Roman" w:hAnsi="Lato" w:cs="Times New Roman"/>
          <w:color w:val="000000"/>
          <w:spacing w:val="5"/>
          <w:sz w:val="24"/>
          <w:szCs w:val="24"/>
          <w:lang w:eastAsia="it-IT"/>
        </w:rPr>
        <w:t>, par. III.3); </w:t>
      </w:r>
    </w:p>
    <w:p w14:paraId="20C422BD"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i/>
          <w:iCs/>
          <w:color w:val="000000"/>
          <w:spacing w:val="5"/>
          <w:sz w:val="24"/>
          <w:szCs w:val="24"/>
          <w:lang w:eastAsia="it-IT"/>
        </w:rPr>
        <w:t>b</w:t>
      </w:r>
      <w:r w:rsidRPr="00545BEB">
        <w:rPr>
          <w:rFonts w:ascii="Lato" w:eastAsia="Times New Roman" w:hAnsi="Lato" w:cs="Times New Roman"/>
          <w:color w:val="000000"/>
          <w:spacing w:val="5"/>
          <w:sz w:val="24"/>
          <w:szCs w:val="24"/>
          <w:lang w:eastAsia="it-IT"/>
        </w:rPr>
        <w:t>)</w:t>
      </w:r>
      <w:r w:rsidRPr="00545BEB">
        <w:rPr>
          <w:rFonts w:ascii="Lato" w:eastAsia="Times New Roman" w:hAnsi="Lato" w:cs="Times New Roman"/>
          <w:b/>
          <w:bCs/>
          <w:color w:val="000000"/>
          <w:spacing w:val="5"/>
          <w:sz w:val="24"/>
          <w:szCs w:val="24"/>
          <w:lang w:eastAsia="it-IT"/>
        </w:rPr>
        <w:t>lo statuto normativo della società a partecipazione pubblica, quale risulta dalla disciplina civilistica delle società, si differenzia da quello delle altre società di capitali unicamente sotto il profilo dei poteri di nomina e revoca degli organi sociali, specificamente regolati dall'art. 2449 c</w:t>
      </w:r>
      <w:r w:rsidRPr="00545BEB">
        <w:rPr>
          <w:rFonts w:ascii="Lato" w:eastAsia="Times New Roman" w:hAnsi="Lato" w:cs="Times New Roman"/>
          <w:color w:val="000000"/>
          <w:spacing w:val="5"/>
          <w:sz w:val="24"/>
          <w:szCs w:val="24"/>
          <w:lang w:eastAsia="it-IT"/>
        </w:rPr>
        <w:t>.c. (come sostituito dall'art. 13 l. 34/08), mentre la responsabilità degli amministratori (e dei sindaci) nei confronti della società, dei soci, dei creditori e dei terzi in genere è disciplinata dal codice civile, negli stessi termini (art. 2392 ss.) in cui essa è regolata per gli amministratori e gli organi di controllo di qualsiasi altra società privata (Cass. 26806/09, cit.). Pertanto: </w:t>
      </w:r>
    </w:p>
    <w:p w14:paraId="1F75701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i/>
          <w:iCs/>
          <w:color w:val="000000"/>
          <w:spacing w:val="5"/>
          <w:sz w:val="24"/>
          <w:szCs w:val="24"/>
          <w:lang w:eastAsia="it-IT"/>
        </w:rPr>
        <w:t>b</w:t>
      </w:r>
      <w:r w:rsidRPr="00545BEB">
        <w:rPr>
          <w:rFonts w:ascii="Lato" w:eastAsia="Times New Roman" w:hAnsi="Lato" w:cs="Times New Roman"/>
          <w:color w:val="000000"/>
          <w:spacing w:val="5"/>
          <w:sz w:val="24"/>
          <w:szCs w:val="24"/>
          <w:lang w:eastAsia="it-IT"/>
        </w:rPr>
        <w:t>1)al di fuori dell'ipotesi </w:t>
      </w:r>
      <w:r w:rsidRPr="00545BEB">
        <w:rPr>
          <w:rFonts w:ascii="Lato" w:eastAsia="Times New Roman" w:hAnsi="Lato" w:cs="Times New Roman"/>
          <w:i/>
          <w:iCs/>
          <w:color w:val="000000"/>
          <w:spacing w:val="5"/>
          <w:sz w:val="24"/>
          <w:szCs w:val="24"/>
          <w:lang w:eastAsia="it-IT"/>
        </w:rPr>
        <w:t>sub a</w:t>
      </w:r>
      <w:r w:rsidRPr="00545BEB">
        <w:rPr>
          <w:rFonts w:ascii="Lato" w:eastAsia="Times New Roman" w:hAnsi="Lato" w:cs="Times New Roman"/>
          <w:color w:val="000000"/>
          <w:spacing w:val="5"/>
          <w:sz w:val="24"/>
          <w:szCs w:val="24"/>
          <w:lang w:eastAsia="it-IT"/>
        </w:rPr>
        <w:t xml:space="preserve">1), </w:t>
      </w:r>
      <w:r w:rsidRPr="00545BEB">
        <w:rPr>
          <w:rFonts w:ascii="Lato" w:eastAsia="Times New Roman" w:hAnsi="Lato" w:cs="Times New Roman"/>
          <w:b/>
          <w:bCs/>
          <w:color w:val="000000"/>
          <w:spacing w:val="5"/>
          <w:sz w:val="24"/>
          <w:szCs w:val="24"/>
          <w:lang w:eastAsia="it-IT"/>
        </w:rPr>
        <w:t>laddove il danno venga recato in via diretta e immediata</w:t>
      </w:r>
      <w:r w:rsidRPr="00545BEB">
        <w:rPr>
          <w:rFonts w:ascii="Lato" w:eastAsia="Times New Roman" w:hAnsi="Lato" w:cs="Times New Roman"/>
          <w:color w:val="000000"/>
          <w:spacing w:val="5"/>
          <w:sz w:val="24"/>
          <w:szCs w:val="24"/>
          <w:lang w:eastAsia="it-IT"/>
        </w:rPr>
        <w:t xml:space="preserve"> (e non in via mediata, come ripercussione del danno inferto alla società) </w:t>
      </w:r>
      <w:r w:rsidRPr="00545BEB">
        <w:rPr>
          <w:rFonts w:ascii="Lato" w:eastAsia="Times New Roman" w:hAnsi="Lato" w:cs="Times New Roman"/>
          <w:b/>
          <w:bCs/>
          <w:color w:val="000000"/>
          <w:spacing w:val="5"/>
          <w:sz w:val="24"/>
          <w:szCs w:val="24"/>
          <w:lang w:eastAsia="it-IT"/>
        </w:rPr>
        <w:t>alla sfera patrimoniale del socio, solo questi è legittimato a dolersi (alle condizioni previste dall'art. 2395 c.c.) e non può farlo se non davanti al giudice ordinario, che è il giudice della responsabilità civile degli amministratori di società</w:t>
      </w:r>
      <w:r w:rsidRPr="00545BEB">
        <w:rPr>
          <w:rFonts w:ascii="Lato" w:eastAsia="Times New Roman" w:hAnsi="Lato" w:cs="Times New Roman"/>
          <w:color w:val="000000"/>
          <w:spacing w:val="5"/>
          <w:sz w:val="24"/>
          <w:szCs w:val="24"/>
          <w:lang w:eastAsia="it-IT"/>
        </w:rPr>
        <w:t xml:space="preserve"> (in generale, sulle condizioni per la risarcibilità del danno subìto direttamente dal socio ad opera di terzi, v. — citata da Cass. 34471/19, in epigrafe,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 — Cass. 11 dicembre 2013, n. 27733,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Rep. 2013, voce </w:t>
      </w:r>
      <w:r w:rsidRPr="00545BEB">
        <w:rPr>
          <w:rFonts w:ascii="Lato" w:eastAsia="Times New Roman" w:hAnsi="Lato" w:cs="Times New Roman"/>
          <w:i/>
          <w:iCs/>
          <w:color w:val="000000"/>
          <w:spacing w:val="5"/>
          <w:sz w:val="24"/>
          <w:szCs w:val="24"/>
          <w:lang w:eastAsia="it-IT"/>
        </w:rPr>
        <w:t>Società</w:t>
      </w:r>
      <w:r w:rsidRPr="00545BEB">
        <w:rPr>
          <w:rFonts w:ascii="Lato" w:eastAsia="Times New Roman" w:hAnsi="Lato" w:cs="Times New Roman"/>
          <w:color w:val="000000"/>
          <w:spacing w:val="5"/>
          <w:sz w:val="24"/>
          <w:szCs w:val="24"/>
          <w:lang w:eastAsia="it-IT"/>
        </w:rPr>
        <w:t>, n. 709 [annotata da M.G. Musardo, </w:t>
      </w:r>
      <w:r w:rsidRPr="00545BEB">
        <w:rPr>
          <w:rFonts w:ascii="Lato" w:eastAsia="Times New Roman" w:hAnsi="Lato" w:cs="Times New Roman"/>
          <w:i/>
          <w:iCs/>
          <w:color w:val="000000"/>
          <w:spacing w:val="5"/>
          <w:sz w:val="24"/>
          <w:szCs w:val="24"/>
          <w:lang w:eastAsia="it-IT"/>
        </w:rPr>
        <w:t>Sulla destinazione alla società del risarcimento del danno riflesso</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Giur. comm</w:t>
      </w:r>
      <w:r w:rsidRPr="00545BEB">
        <w:rPr>
          <w:rFonts w:ascii="Lato" w:eastAsia="Times New Roman" w:hAnsi="Lato" w:cs="Times New Roman"/>
          <w:color w:val="000000"/>
          <w:spacing w:val="5"/>
          <w:sz w:val="24"/>
          <w:szCs w:val="24"/>
          <w:lang w:eastAsia="it-IT"/>
        </w:rPr>
        <w:t>., 2015, II, 101; M.V. Fuoco, </w:t>
      </w:r>
      <w:r w:rsidRPr="00545BEB">
        <w:rPr>
          <w:rFonts w:ascii="Lato" w:eastAsia="Times New Roman" w:hAnsi="Lato" w:cs="Times New Roman"/>
          <w:i/>
          <w:iCs/>
          <w:color w:val="000000"/>
          <w:spacing w:val="5"/>
          <w:sz w:val="24"/>
          <w:szCs w:val="24"/>
          <w:lang w:eastAsia="it-IT"/>
        </w:rPr>
        <w:t>La risarcibilità dei danni «direttamente» arrecati da un terzo ai soci di una società di capitali. Sulla individuazione dei danni diretti</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Corriere giur</w:t>
      </w:r>
      <w:r w:rsidRPr="00545BEB">
        <w:rPr>
          <w:rFonts w:ascii="Lato" w:eastAsia="Times New Roman" w:hAnsi="Lato" w:cs="Times New Roman"/>
          <w:color w:val="000000"/>
          <w:spacing w:val="5"/>
          <w:sz w:val="24"/>
          <w:szCs w:val="24"/>
          <w:lang w:eastAsia="it-IT"/>
        </w:rPr>
        <w:t>., 2014, 1377, e V. De Campo, </w:t>
      </w:r>
      <w:r w:rsidRPr="00545BEB">
        <w:rPr>
          <w:rFonts w:ascii="Lato" w:eastAsia="Times New Roman" w:hAnsi="Lato" w:cs="Times New Roman"/>
          <w:i/>
          <w:iCs/>
          <w:color w:val="000000"/>
          <w:spacing w:val="5"/>
          <w:sz w:val="24"/>
          <w:szCs w:val="24"/>
          <w:lang w:eastAsia="it-IT"/>
        </w:rPr>
        <w:t>Condotte illecite del terzo: i confini della tutela riconosciuta ai singoli soci</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Società</w:t>
      </w:r>
      <w:r w:rsidRPr="00545BEB">
        <w:rPr>
          <w:rFonts w:ascii="Lato" w:eastAsia="Times New Roman" w:hAnsi="Lato" w:cs="Times New Roman"/>
          <w:color w:val="000000"/>
          <w:spacing w:val="5"/>
          <w:sz w:val="24"/>
          <w:szCs w:val="24"/>
          <w:lang w:eastAsia="it-IT"/>
        </w:rPr>
        <w:t xml:space="preserve">, 2014, 653], </w:t>
      </w:r>
      <w:r w:rsidRPr="00545BEB">
        <w:rPr>
          <w:rFonts w:ascii="Lato" w:eastAsia="Times New Roman" w:hAnsi="Lato" w:cs="Times New Roman"/>
          <w:b/>
          <w:bCs/>
          <w:color w:val="000000"/>
          <w:spacing w:val="5"/>
          <w:sz w:val="24"/>
          <w:szCs w:val="24"/>
          <w:lang w:eastAsia="it-IT"/>
        </w:rPr>
        <w:t>per cui i soci di una società di capitali non hanno titolo al risarcimento dei danni che costituiscano mero riflesso del pregiudizio arrecato da terzi alla società, in quanto siano una mera porzione di quello stesso danno subìto dalla [e risarcibile in favore della] stessa, con conseguente reintegrazione indiretta a favore del socio</w:t>
      </w:r>
      <w:r w:rsidRPr="00545BEB">
        <w:rPr>
          <w:rFonts w:ascii="Lato" w:eastAsia="Times New Roman" w:hAnsi="Lato" w:cs="Times New Roman"/>
          <w:color w:val="000000"/>
          <w:spacing w:val="5"/>
          <w:sz w:val="24"/>
          <w:szCs w:val="24"/>
          <w:lang w:eastAsia="it-IT"/>
        </w:rPr>
        <w:t xml:space="preserve">; peraltro, </w:t>
      </w:r>
      <w:r w:rsidRPr="00545BEB">
        <w:rPr>
          <w:rFonts w:ascii="Lato" w:eastAsia="Times New Roman" w:hAnsi="Lato" w:cs="Times New Roman"/>
          <w:b/>
          <w:bCs/>
          <w:color w:val="000000"/>
          <w:spacing w:val="5"/>
          <w:sz w:val="24"/>
          <w:szCs w:val="24"/>
          <w:lang w:eastAsia="it-IT"/>
        </w:rPr>
        <w:t>un</w:t>
      </w:r>
      <w:r w:rsidRPr="00545BEB">
        <w:rPr>
          <w:rFonts w:ascii="Lato" w:eastAsia="Times New Roman" w:hAnsi="Lato" w:cs="Times New Roman"/>
          <w:color w:val="000000"/>
          <w:spacing w:val="5"/>
          <w:sz w:val="24"/>
          <w:szCs w:val="24"/>
          <w:lang w:eastAsia="it-IT"/>
        </w:rPr>
        <w:t xml:space="preserve"> </w:t>
      </w:r>
      <w:r w:rsidRPr="00545BEB">
        <w:rPr>
          <w:rFonts w:ascii="Lato" w:eastAsia="Times New Roman" w:hAnsi="Lato" w:cs="Times New Roman"/>
          <w:b/>
          <w:bCs/>
          <w:color w:val="000000"/>
          <w:spacing w:val="5"/>
          <w:sz w:val="24"/>
          <w:szCs w:val="24"/>
          <w:lang w:eastAsia="it-IT"/>
        </w:rPr>
        <w:t>danno non può considerarsi giuridicamente riflesso quando tale possibilità non sussista, come per i danni arrecati alla sfera personale del socio [diritto all'onore o alla reputazione] o per taluni danni patrimoniali — come quelli derivanti dalla perdita di opportunità personali, economiche e lavorative, o dalla riduzione del c.d. merito creditizio — i quali vanno risarciti al socio dal terzo responsabile</w:t>
      </w:r>
      <w:r w:rsidRPr="00545BEB">
        <w:rPr>
          <w:rFonts w:ascii="Lato" w:eastAsia="Times New Roman" w:hAnsi="Lato" w:cs="Times New Roman"/>
          <w:color w:val="000000"/>
          <w:spacing w:val="5"/>
          <w:sz w:val="24"/>
          <w:szCs w:val="24"/>
          <w:lang w:eastAsia="it-IT"/>
        </w:rPr>
        <w:t xml:space="preserve">; v. pure </w:t>
      </w:r>
      <w:proofErr w:type="spellStart"/>
      <w:r w:rsidRPr="00545BEB">
        <w:rPr>
          <w:rFonts w:ascii="Lato" w:eastAsia="Times New Roman" w:hAnsi="Lato" w:cs="Times New Roman"/>
          <w:color w:val="000000"/>
          <w:spacing w:val="5"/>
          <w:sz w:val="24"/>
          <w:szCs w:val="24"/>
          <w:lang w:eastAsia="it-IT"/>
        </w:rPr>
        <w:t>Trib</w:t>
      </w:r>
      <w:proofErr w:type="spellEnd"/>
      <w:r w:rsidRPr="00545BEB">
        <w:rPr>
          <w:rFonts w:ascii="Lato" w:eastAsia="Times New Roman" w:hAnsi="Lato" w:cs="Times New Roman"/>
          <w:color w:val="000000"/>
          <w:spacing w:val="5"/>
          <w:sz w:val="24"/>
          <w:szCs w:val="24"/>
          <w:lang w:eastAsia="it-IT"/>
        </w:rPr>
        <w:t>. Roma 5 giugno 2017,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2018, I, 359, con nota di richiami, annotata da I.G. Gucciardo, </w:t>
      </w:r>
      <w:r w:rsidRPr="00545BEB">
        <w:rPr>
          <w:rFonts w:ascii="Lato" w:eastAsia="Times New Roman" w:hAnsi="Lato" w:cs="Times New Roman"/>
          <w:i/>
          <w:iCs/>
          <w:color w:val="000000"/>
          <w:spacing w:val="5"/>
          <w:sz w:val="24"/>
          <w:szCs w:val="24"/>
          <w:lang w:eastAsia="it-IT"/>
        </w:rPr>
        <w:t>La responsabilità di amministratori e sindaci nei confronti del socio: il caso del falso in bilancio</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Società</w:t>
      </w:r>
      <w:r w:rsidRPr="00545BEB">
        <w:rPr>
          <w:rFonts w:ascii="Lato" w:eastAsia="Times New Roman" w:hAnsi="Lato" w:cs="Times New Roman"/>
          <w:color w:val="000000"/>
          <w:spacing w:val="5"/>
          <w:sz w:val="24"/>
          <w:szCs w:val="24"/>
          <w:lang w:eastAsia="it-IT"/>
        </w:rPr>
        <w:t>, 2018, 301); </w:t>
      </w:r>
    </w:p>
    <w:p w14:paraId="775A34D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i/>
          <w:iCs/>
          <w:color w:val="000000"/>
          <w:spacing w:val="5"/>
          <w:sz w:val="24"/>
          <w:szCs w:val="24"/>
          <w:lang w:eastAsia="it-IT"/>
        </w:rPr>
        <w:t>b</w:t>
      </w:r>
      <w:r w:rsidRPr="00545BEB">
        <w:rPr>
          <w:rFonts w:ascii="Lato" w:eastAsia="Times New Roman" w:hAnsi="Lato" w:cs="Times New Roman"/>
          <w:color w:val="000000"/>
          <w:spacing w:val="5"/>
          <w:sz w:val="24"/>
          <w:szCs w:val="24"/>
          <w:lang w:eastAsia="it-IT"/>
        </w:rPr>
        <w:t>2)sempre al di fuori dell'ipotesi </w:t>
      </w:r>
      <w:r w:rsidRPr="00545BEB">
        <w:rPr>
          <w:rFonts w:ascii="Lato" w:eastAsia="Times New Roman" w:hAnsi="Lato" w:cs="Times New Roman"/>
          <w:i/>
          <w:iCs/>
          <w:color w:val="000000"/>
          <w:spacing w:val="5"/>
          <w:sz w:val="24"/>
          <w:szCs w:val="24"/>
          <w:lang w:eastAsia="it-IT"/>
        </w:rPr>
        <w:t>sub a1</w:t>
      </w:r>
      <w:r w:rsidRPr="00545BEB">
        <w:rPr>
          <w:rFonts w:ascii="Lato" w:eastAsia="Times New Roman" w:hAnsi="Lato" w:cs="Times New Roman"/>
          <w:color w:val="000000"/>
          <w:spacing w:val="5"/>
          <w:sz w:val="24"/>
          <w:szCs w:val="24"/>
          <w:lang w:eastAsia="it-IT"/>
        </w:rPr>
        <w:t xml:space="preserve">), </w:t>
      </w:r>
      <w:r w:rsidRPr="00545BEB">
        <w:rPr>
          <w:rFonts w:ascii="Lato" w:eastAsia="Times New Roman" w:hAnsi="Lato" w:cs="Times New Roman"/>
          <w:b/>
          <w:bCs/>
          <w:color w:val="000000"/>
          <w:spacing w:val="5"/>
          <w:sz w:val="24"/>
          <w:szCs w:val="24"/>
          <w:lang w:eastAsia="it-IT"/>
        </w:rPr>
        <w:t>laddove il danno venga recato dai titolari degli organi sociali alla società, l'inesistenza di un «rapporto di servizio» fra i primi e l'ente pubblico socio rende impossibile configurare come danno «erariale» il danno cagionato alla società dalla </w:t>
      </w:r>
      <w:r w:rsidRPr="00545BEB">
        <w:rPr>
          <w:rFonts w:ascii="Lato" w:eastAsia="Times New Roman" w:hAnsi="Lato" w:cs="Times New Roman"/>
          <w:b/>
          <w:bCs/>
          <w:i/>
          <w:iCs/>
          <w:color w:val="000000"/>
          <w:spacing w:val="5"/>
          <w:sz w:val="24"/>
          <w:szCs w:val="24"/>
          <w:lang w:eastAsia="it-IT"/>
        </w:rPr>
        <w:t xml:space="preserve">mala </w:t>
      </w:r>
      <w:proofErr w:type="spellStart"/>
      <w:r w:rsidRPr="00545BEB">
        <w:rPr>
          <w:rFonts w:ascii="Lato" w:eastAsia="Times New Roman" w:hAnsi="Lato" w:cs="Times New Roman"/>
          <w:b/>
          <w:bCs/>
          <w:i/>
          <w:iCs/>
          <w:color w:val="000000"/>
          <w:spacing w:val="5"/>
          <w:sz w:val="24"/>
          <w:szCs w:val="24"/>
          <w:lang w:eastAsia="it-IT"/>
        </w:rPr>
        <w:t>gestio</w:t>
      </w:r>
      <w:proofErr w:type="spellEnd"/>
      <w:r w:rsidRPr="00545BEB">
        <w:rPr>
          <w:rFonts w:ascii="Lato" w:eastAsia="Times New Roman" w:hAnsi="Lato" w:cs="Times New Roman"/>
          <w:b/>
          <w:bCs/>
          <w:color w:val="000000"/>
          <w:spacing w:val="5"/>
          <w:sz w:val="24"/>
          <w:szCs w:val="24"/>
          <w:lang w:eastAsia="it-IT"/>
        </w:rPr>
        <w:t> degli amministratori, e la relativa responsabilità è disciplinata dalle regole generali sulla responsabilità degli amministratori di società (art. 2393 ss. c.c. per le s.p.a.; art. 2476 c.c. per le s.r.l.), da azionare davanti al giudice ordinario</w:t>
      </w:r>
      <w:r w:rsidRPr="00545BEB">
        <w:rPr>
          <w:rFonts w:ascii="Lato" w:eastAsia="Times New Roman" w:hAnsi="Lato" w:cs="Times New Roman"/>
          <w:color w:val="000000"/>
          <w:spacing w:val="5"/>
          <w:sz w:val="24"/>
          <w:szCs w:val="24"/>
          <w:lang w:eastAsia="it-IT"/>
        </w:rPr>
        <w:t xml:space="preserve">; è escluso, invece, che tale danno possa essere configurato «anche come danno erariale», da accertarsi ad opera </w:t>
      </w:r>
      <w:r w:rsidRPr="00545BEB">
        <w:rPr>
          <w:rFonts w:ascii="Lato" w:eastAsia="Times New Roman" w:hAnsi="Lato" w:cs="Times New Roman"/>
          <w:b/>
          <w:bCs/>
          <w:color w:val="000000"/>
          <w:spacing w:val="5"/>
          <w:sz w:val="24"/>
          <w:szCs w:val="24"/>
          <w:lang w:eastAsia="it-IT"/>
        </w:rPr>
        <w:t>della Corte dei conti, trattandosi di «un danno sofferto da un soggetto privato (la società), riferibile al patrimonio appartenente soltanto a quel soggetto e non certo ai singoli soggetti — pubblici o privati — i quali sono unicamente titolari delle rispettive quote di partecipazione ed i cui originari conferimenti» sono «confusi e assorbiti nell'unico patrimonio sociale</w:t>
      </w:r>
      <w:r w:rsidRPr="00545BEB">
        <w:rPr>
          <w:rFonts w:ascii="Lato" w:eastAsia="Times New Roman" w:hAnsi="Lato" w:cs="Times New Roman"/>
          <w:color w:val="000000"/>
          <w:spacing w:val="5"/>
          <w:sz w:val="24"/>
          <w:szCs w:val="24"/>
          <w:lang w:eastAsia="it-IT"/>
        </w:rPr>
        <w:t>» (così le ordinanze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III [22713/19] 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IV [22712/19], in epigrafe, richiamandosi a Cass. 26806/09 cit.). </w:t>
      </w:r>
    </w:p>
    <w:p w14:paraId="5AA9FA1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lastRenderedPageBreak/>
        <w:t xml:space="preserve">II.3. - Eccezioni a questa disciplina (peraltro apparenti, come si dirà) discendono, per un verso, da ragioni di carattere organizzativo, vale a dire dal particolare rapporto che lega talune società all'ente o agli enti pubblici soci per l'esercizio di determinate attività o servizi; </w:t>
      </w:r>
      <w:r w:rsidRPr="00545BEB">
        <w:rPr>
          <w:rFonts w:ascii="Lato" w:eastAsia="Times New Roman" w:hAnsi="Lato" w:cs="Times New Roman"/>
          <w:color w:val="000000"/>
          <w:spacing w:val="5"/>
          <w:sz w:val="24"/>
          <w:szCs w:val="24"/>
          <w:u w:val="single"/>
          <w:lang w:eastAsia="it-IT"/>
        </w:rPr>
        <w:t>per altro verso, da ragioni inerenti al soggetto che ha realmente subìto gli effetti della condotta illecita posta in essere — indifferentemente — dagli amministratori (dai sindaci o dai dipendenti) della società o da altri soggetti; nell'uno e nell'altro caso, perché il danno prodotto dagli amministratori, ecc. risulta inferto non alla società, ma direttamente al patrimonio dell'ente pubblico socio</w:t>
      </w:r>
      <w:r w:rsidRPr="00545BEB">
        <w:rPr>
          <w:rFonts w:ascii="Lato" w:eastAsia="Times New Roman" w:hAnsi="Lato" w:cs="Times New Roman"/>
          <w:color w:val="000000"/>
          <w:spacing w:val="5"/>
          <w:sz w:val="24"/>
          <w:szCs w:val="24"/>
          <w:lang w:eastAsia="it-IT"/>
        </w:rPr>
        <w:t>.</w:t>
      </w:r>
    </w:p>
    <w:p w14:paraId="45EB2F9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6A8ED19B"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b/>
          <w:bCs/>
          <w:color w:val="000000"/>
          <w:spacing w:val="5"/>
          <w:sz w:val="24"/>
          <w:szCs w:val="24"/>
          <w:lang w:eastAsia="it-IT"/>
        </w:rPr>
        <w:t xml:space="preserve">Quanto al primo aspetto, le eccezioni riguardano due tipologie di società partecipate (Cass., </w:t>
      </w:r>
      <w:proofErr w:type="spellStart"/>
      <w:r w:rsidRPr="00545BEB">
        <w:rPr>
          <w:rFonts w:ascii="Lato" w:eastAsia="Times New Roman" w:hAnsi="Lato" w:cs="Times New Roman"/>
          <w:b/>
          <w:bCs/>
          <w:color w:val="000000"/>
          <w:spacing w:val="5"/>
          <w:sz w:val="24"/>
          <w:szCs w:val="24"/>
          <w:lang w:eastAsia="it-IT"/>
        </w:rPr>
        <w:t>ord</w:t>
      </w:r>
      <w:proofErr w:type="spellEnd"/>
      <w:r w:rsidRPr="00545BEB">
        <w:rPr>
          <w:rFonts w:ascii="Lato" w:eastAsia="Times New Roman" w:hAnsi="Lato" w:cs="Times New Roman"/>
          <w:b/>
          <w:bCs/>
          <w:color w:val="000000"/>
          <w:spacing w:val="5"/>
          <w:sz w:val="24"/>
          <w:szCs w:val="24"/>
          <w:lang w:eastAsia="it-IT"/>
        </w:rPr>
        <w:t>. 27 dicembre 2017, n. 30978, </w:t>
      </w:r>
      <w:r w:rsidRPr="00545BEB">
        <w:rPr>
          <w:rFonts w:ascii="Lato" w:eastAsia="Times New Roman" w:hAnsi="Lato" w:cs="Times New Roman"/>
          <w:b/>
          <w:bCs/>
          <w:i/>
          <w:iCs/>
          <w:color w:val="000000"/>
          <w:spacing w:val="5"/>
          <w:sz w:val="24"/>
          <w:szCs w:val="24"/>
          <w:lang w:eastAsia="it-IT"/>
        </w:rPr>
        <w:t xml:space="preserve">Foro </w:t>
      </w:r>
      <w:proofErr w:type="spellStart"/>
      <w:r w:rsidRPr="00545BEB">
        <w:rPr>
          <w:rFonts w:ascii="Lato" w:eastAsia="Times New Roman" w:hAnsi="Lato" w:cs="Times New Roman"/>
          <w:b/>
          <w:bCs/>
          <w:i/>
          <w:iCs/>
          <w:color w:val="000000"/>
          <w:spacing w:val="5"/>
          <w:sz w:val="24"/>
          <w:szCs w:val="24"/>
          <w:lang w:eastAsia="it-IT"/>
        </w:rPr>
        <w:t>it</w:t>
      </w:r>
      <w:proofErr w:type="spellEnd"/>
      <w:r w:rsidRPr="00545BEB">
        <w:rPr>
          <w:rFonts w:ascii="Lato" w:eastAsia="Times New Roman" w:hAnsi="Lato" w:cs="Times New Roman"/>
          <w:b/>
          <w:bCs/>
          <w:color w:val="000000"/>
          <w:spacing w:val="5"/>
          <w:sz w:val="24"/>
          <w:szCs w:val="24"/>
          <w:lang w:eastAsia="it-IT"/>
        </w:rPr>
        <w:t>., Rep. 2017, voce </w:t>
      </w:r>
      <w:r w:rsidRPr="00545BEB">
        <w:rPr>
          <w:rFonts w:ascii="Lato" w:eastAsia="Times New Roman" w:hAnsi="Lato" w:cs="Times New Roman"/>
          <w:b/>
          <w:bCs/>
          <w:i/>
          <w:iCs/>
          <w:color w:val="000000"/>
          <w:spacing w:val="5"/>
          <w:sz w:val="24"/>
          <w:szCs w:val="24"/>
          <w:lang w:eastAsia="it-IT"/>
        </w:rPr>
        <w:t>Responsabilità contabile</w:t>
      </w:r>
      <w:r w:rsidRPr="00545BEB">
        <w:rPr>
          <w:rFonts w:ascii="Lato" w:eastAsia="Times New Roman" w:hAnsi="Lato" w:cs="Times New Roman"/>
          <w:b/>
          <w:bCs/>
          <w:color w:val="000000"/>
          <w:spacing w:val="5"/>
          <w:sz w:val="24"/>
          <w:szCs w:val="24"/>
          <w:lang w:eastAsia="it-IT"/>
        </w:rPr>
        <w:t xml:space="preserve">, n. 43): le società in house e le c.d. società legali. Secondo la giurisprudenza (e, ora, secondo l'art. 12 </w:t>
      </w:r>
      <w:proofErr w:type="spellStart"/>
      <w:r w:rsidRPr="00545BEB">
        <w:rPr>
          <w:rFonts w:ascii="Lato" w:eastAsia="Times New Roman" w:hAnsi="Lato" w:cs="Times New Roman"/>
          <w:b/>
          <w:bCs/>
          <w:color w:val="000000"/>
          <w:spacing w:val="5"/>
          <w:sz w:val="24"/>
          <w:szCs w:val="24"/>
          <w:lang w:eastAsia="it-IT"/>
        </w:rPr>
        <w:t>t.u.</w:t>
      </w:r>
      <w:proofErr w:type="spellEnd"/>
      <w:r w:rsidRPr="00545BEB">
        <w:rPr>
          <w:rFonts w:ascii="Lato" w:eastAsia="Times New Roman" w:hAnsi="Lato" w:cs="Times New Roman"/>
          <w:b/>
          <w:bCs/>
          <w:color w:val="000000"/>
          <w:spacing w:val="5"/>
          <w:sz w:val="24"/>
          <w:szCs w:val="24"/>
          <w:lang w:eastAsia="it-IT"/>
        </w:rPr>
        <w:t xml:space="preserve"> società partecipate), infatti, il danno eventualmente cagionato a tali società dai loro amministratori (sindaci o dipendenti) è inferto, sotto il profilo sostanziale, direttamente (e non come conseguenza del pregiudizio arrecato al patrimonio sociale) all'ente pubblico socio</w:t>
      </w:r>
      <w:r w:rsidRPr="00545BEB">
        <w:rPr>
          <w:rFonts w:ascii="Lato" w:eastAsia="Times New Roman" w:hAnsi="Lato" w:cs="Times New Roman"/>
          <w:color w:val="000000"/>
          <w:spacing w:val="5"/>
          <w:sz w:val="24"/>
          <w:szCs w:val="24"/>
          <w:lang w:eastAsia="it-IT"/>
        </w:rPr>
        <w:t>: </w:t>
      </w:r>
    </w:p>
    <w:p w14:paraId="040C284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w:t>
      </w:r>
      <w:r w:rsidRPr="00545BEB">
        <w:rPr>
          <w:rFonts w:ascii="Lato" w:eastAsia="Times New Roman" w:hAnsi="Lato" w:cs="Times New Roman"/>
          <w:b/>
          <w:bCs/>
          <w:color w:val="000000"/>
          <w:spacing w:val="5"/>
          <w:sz w:val="24"/>
          <w:szCs w:val="24"/>
          <w:lang w:eastAsia="it-IT"/>
        </w:rPr>
        <w:t>nel primo caso, perché le società in house, in quanto mere articolazioni interne dell'ente pubblico (alla stessa stregua dei suoi uffici operativi), svolgono attività direttamente imputabili all'ente (né più né meno delle attività svolte dai dirigenti e dipendenti dell'ente), onde i loro amministratori (o sindaci, o dipendenti) sono «personalmente legati [alla pubblica amministrazione] da un vero e proprio rapporto di servizio» (come si legge nelle ordinanze </w:t>
      </w:r>
      <w:r w:rsidRPr="00545BEB">
        <w:rPr>
          <w:rFonts w:ascii="Lato" w:eastAsia="Times New Roman" w:hAnsi="Lato" w:cs="Times New Roman"/>
          <w:b/>
          <w:bCs/>
          <w:i/>
          <w:iCs/>
          <w:color w:val="000000"/>
          <w:spacing w:val="5"/>
          <w:sz w:val="24"/>
          <w:szCs w:val="24"/>
          <w:lang w:eastAsia="it-IT"/>
        </w:rPr>
        <w:t>sub</w:t>
      </w:r>
      <w:r w:rsidRPr="00545BEB">
        <w:rPr>
          <w:rFonts w:ascii="Lato" w:eastAsia="Times New Roman" w:hAnsi="Lato" w:cs="Times New Roman"/>
          <w:b/>
          <w:bCs/>
          <w:color w:val="000000"/>
          <w:spacing w:val="5"/>
          <w:sz w:val="24"/>
          <w:szCs w:val="24"/>
          <w:lang w:eastAsia="it-IT"/>
        </w:rPr>
        <w:t> III e </w:t>
      </w:r>
      <w:r w:rsidRPr="00545BEB">
        <w:rPr>
          <w:rFonts w:ascii="Lato" w:eastAsia="Times New Roman" w:hAnsi="Lato" w:cs="Times New Roman"/>
          <w:b/>
          <w:bCs/>
          <w:i/>
          <w:iCs/>
          <w:color w:val="000000"/>
          <w:spacing w:val="5"/>
          <w:sz w:val="24"/>
          <w:szCs w:val="24"/>
          <w:lang w:eastAsia="it-IT"/>
        </w:rPr>
        <w:t>sub</w:t>
      </w:r>
      <w:r w:rsidRPr="00545BEB">
        <w:rPr>
          <w:rFonts w:ascii="Lato" w:eastAsia="Times New Roman" w:hAnsi="Lato" w:cs="Times New Roman"/>
          <w:b/>
          <w:bCs/>
          <w:color w:val="000000"/>
          <w:spacing w:val="5"/>
          <w:sz w:val="24"/>
          <w:szCs w:val="24"/>
          <w:lang w:eastAsia="it-IT"/>
        </w:rPr>
        <w:t> IV e già in Cass. 30978/17</w:t>
      </w:r>
      <w:r w:rsidRPr="00545BEB">
        <w:rPr>
          <w:rFonts w:ascii="Lato" w:eastAsia="Times New Roman" w:hAnsi="Lato" w:cs="Times New Roman"/>
          <w:color w:val="000000"/>
          <w:spacing w:val="5"/>
          <w:sz w:val="24"/>
          <w:szCs w:val="24"/>
          <w:lang w:eastAsia="it-IT"/>
        </w:rPr>
        <w:t>, appena cit., «</w:t>
      </w:r>
      <w:r w:rsidRPr="00545BEB">
        <w:rPr>
          <w:rFonts w:ascii="Lato" w:eastAsia="Times New Roman" w:hAnsi="Lato" w:cs="Times New Roman"/>
          <w:b/>
          <w:bCs/>
          <w:color w:val="000000"/>
          <w:spacing w:val="5"/>
          <w:sz w:val="24"/>
          <w:szCs w:val="24"/>
          <w:lang w:eastAsia="it-IT"/>
        </w:rPr>
        <w:t xml:space="preserve">se l'attività dell'ente che opera in house e dei suoi organi non è riconducibile a un soggetto privato dotato di una autonoma soggettività ma resta sostanzialmente imputabile alla pubblica amministrazione, il rapporto di servizio con l'ente pubblico è immanente alla formula organizzativa </w:t>
      </w:r>
      <w:proofErr w:type="spellStart"/>
      <w:r w:rsidRPr="00545BEB">
        <w:rPr>
          <w:rFonts w:ascii="Lato" w:eastAsia="Times New Roman" w:hAnsi="Lato" w:cs="Times New Roman"/>
          <w:b/>
          <w:bCs/>
          <w:color w:val="000000"/>
          <w:spacing w:val="5"/>
          <w:sz w:val="24"/>
          <w:szCs w:val="24"/>
          <w:lang w:eastAsia="it-IT"/>
        </w:rPr>
        <w:t>dell'in</w:t>
      </w:r>
      <w:proofErr w:type="spellEnd"/>
      <w:r w:rsidRPr="00545BEB">
        <w:rPr>
          <w:rFonts w:ascii="Lato" w:eastAsia="Times New Roman" w:hAnsi="Lato" w:cs="Times New Roman"/>
          <w:b/>
          <w:bCs/>
          <w:color w:val="000000"/>
          <w:spacing w:val="5"/>
          <w:sz w:val="24"/>
          <w:szCs w:val="24"/>
          <w:lang w:eastAsia="it-IT"/>
        </w:rPr>
        <w:t xml:space="preserve"> house </w:t>
      </w:r>
      <w:proofErr w:type="spellStart"/>
      <w:r w:rsidRPr="00545BEB">
        <w:rPr>
          <w:rFonts w:ascii="Lato" w:eastAsia="Times New Roman" w:hAnsi="Lato" w:cs="Times New Roman"/>
          <w:b/>
          <w:bCs/>
          <w:color w:val="000000"/>
          <w:spacing w:val="5"/>
          <w:sz w:val="24"/>
          <w:szCs w:val="24"/>
          <w:lang w:eastAsia="it-IT"/>
        </w:rPr>
        <w:t>providing</w:t>
      </w:r>
      <w:proofErr w:type="spellEnd"/>
      <w:r w:rsidRPr="00545BEB">
        <w:rPr>
          <w:rFonts w:ascii="Lato" w:eastAsia="Times New Roman" w:hAnsi="Lato" w:cs="Times New Roman"/>
          <w:color w:val="000000"/>
          <w:spacing w:val="5"/>
          <w:sz w:val="24"/>
          <w:szCs w:val="24"/>
          <w:lang w:eastAsia="it-IT"/>
        </w:rPr>
        <w:t xml:space="preserve">»); </w:t>
      </w:r>
      <w:r w:rsidRPr="00545BEB">
        <w:rPr>
          <w:rFonts w:ascii="Lato" w:eastAsia="Times New Roman" w:hAnsi="Lato" w:cs="Times New Roman"/>
          <w:b/>
          <w:bCs/>
          <w:color w:val="000000"/>
          <w:spacing w:val="5"/>
          <w:sz w:val="24"/>
          <w:szCs w:val="24"/>
          <w:lang w:eastAsia="it-IT"/>
        </w:rPr>
        <w:t>con la conseguenza che il danno da costoro arrecato alla società «rileva come danno [diretto] al patrimonio dell'ente pubblico, seppure formalmente separato dallo schermo societario», e la relativa azione di responsabilità rientra nella giurisdizione della Corte dei conti (così le ordinanze in epigrafe, richiamando, fra le altre, Cass. 21 giugno 2019, n. 16741</w:t>
      </w:r>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Le banche dati</w:t>
      </w:r>
      <w:r w:rsidRPr="00545BEB">
        <w:rPr>
          <w:rFonts w:ascii="Lato" w:eastAsia="Times New Roman" w:hAnsi="Lato" w:cs="Times New Roman"/>
          <w:color w:val="000000"/>
          <w:spacing w:val="5"/>
          <w:sz w:val="24"/>
          <w:szCs w:val="24"/>
          <w:lang w:eastAsia="it-IT"/>
        </w:rPr>
        <w:t>, archivio cit.; 22409/18, cit.; 30978/17, cit.); </w:t>
      </w:r>
    </w:p>
    <w:p w14:paraId="61715CF7"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w:t>
      </w:r>
      <w:r w:rsidRPr="00545BEB">
        <w:rPr>
          <w:rFonts w:ascii="Lato" w:eastAsia="Times New Roman" w:hAnsi="Lato" w:cs="Times New Roman"/>
          <w:b/>
          <w:bCs/>
          <w:color w:val="000000"/>
          <w:spacing w:val="5"/>
          <w:sz w:val="24"/>
          <w:szCs w:val="24"/>
          <w:lang w:eastAsia="it-IT"/>
        </w:rPr>
        <w:t xml:space="preserve">nel caso delle c.d. società legali, a causa della presenza in esse di elementi che le collocano — per ragioni diverse, riferibili a ciascuna di loro — nell'area delle pubbliche amministrazioni, talché il danno cagionato dagli amministratori alla società è provocato al patrimonio dell'ente pubblico e quindi ha natura di danno erariale (sul punto, v. Cass. 30978/17, cit.; </w:t>
      </w:r>
      <w:proofErr w:type="spellStart"/>
      <w:r w:rsidRPr="00545BEB">
        <w:rPr>
          <w:rFonts w:ascii="Lato" w:eastAsia="Times New Roman" w:hAnsi="Lato" w:cs="Times New Roman"/>
          <w:b/>
          <w:bCs/>
          <w:color w:val="000000"/>
          <w:spacing w:val="5"/>
          <w:sz w:val="24"/>
          <w:szCs w:val="24"/>
          <w:lang w:eastAsia="it-IT"/>
        </w:rPr>
        <w:t>ord</w:t>
      </w:r>
      <w:proofErr w:type="spellEnd"/>
      <w:r w:rsidRPr="00545BEB">
        <w:rPr>
          <w:rFonts w:ascii="Lato" w:eastAsia="Times New Roman" w:hAnsi="Lato" w:cs="Times New Roman"/>
          <w:b/>
          <w:bCs/>
          <w:color w:val="000000"/>
          <w:spacing w:val="5"/>
          <w:sz w:val="24"/>
          <w:szCs w:val="24"/>
          <w:lang w:eastAsia="it-IT"/>
        </w:rPr>
        <w:t>. 15 maggio 2017, n. 11983, </w:t>
      </w:r>
      <w:r w:rsidRPr="00545BEB">
        <w:rPr>
          <w:rFonts w:ascii="Lato" w:eastAsia="Times New Roman" w:hAnsi="Lato" w:cs="Times New Roman"/>
          <w:b/>
          <w:bCs/>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2017, voce cit., n. 44; 11139/17 e altre, citate nel par. prec., e la relativa nota). </w:t>
      </w:r>
    </w:p>
    <w:p w14:paraId="55086CA3"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Quanto al secondo aspetto (che riflette, in realtà, la configurazione stessa del danno erariale), </w:t>
      </w:r>
      <w:r w:rsidRPr="00545BEB">
        <w:rPr>
          <w:rFonts w:ascii="Lato" w:eastAsia="Times New Roman" w:hAnsi="Lato" w:cs="Times New Roman"/>
          <w:b/>
          <w:bCs/>
          <w:color w:val="000000"/>
          <w:spacing w:val="5"/>
          <w:sz w:val="24"/>
          <w:szCs w:val="24"/>
          <w:lang w:eastAsia="it-IT"/>
        </w:rPr>
        <w:t>rilevano le situazioni in cui la condotta dannosa degli amministratori (sindaci o dipendenti) e di altri soggetti abbia prodotto i suoi effetti dannosi direttamente (e non come conseguenza del pregiudizio arrecato al patrimonio sociale) nella sfera patrimoniale degli enti soci, onde il danno è — come detto — di natura propriamente erariale, con conseguente giurisdizione di responsabilità della Corte dei conti</w:t>
      </w:r>
      <w:r w:rsidRPr="00545BEB">
        <w:rPr>
          <w:rFonts w:ascii="Lato" w:eastAsia="Times New Roman" w:hAnsi="Lato" w:cs="Times New Roman"/>
          <w:color w:val="000000"/>
          <w:spacing w:val="5"/>
          <w:sz w:val="24"/>
          <w:szCs w:val="24"/>
          <w:lang w:eastAsia="it-IT"/>
        </w:rPr>
        <w:t>. I casi sono:</w:t>
      </w:r>
    </w:p>
    <w:p w14:paraId="3F3C7B3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0E4EAF57"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w:t>
      </w:r>
      <w:r w:rsidRPr="00545BEB">
        <w:rPr>
          <w:rFonts w:ascii="Lato" w:eastAsia="Times New Roman" w:hAnsi="Lato" w:cs="Times New Roman"/>
          <w:b/>
          <w:bCs/>
          <w:color w:val="000000"/>
          <w:spacing w:val="5"/>
          <w:sz w:val="24"/>
          <w:szCs w:val="24"/>
          <w:lang w:eastAsia="it-IT"/>
        </w:rPr>
        <w:t>quello del danno all'immagine della pubblica amministrazione, prodotto da atti illegittimi posti in essere dagli organi e dai dipendenti della società partecipata, sempre che il danno non costituisca — come detto — «il mero riflesso di un pregiudizio arrecato al patrimonio sociale</w:t>
      </w:r>
      <w:r w:rsidRPr="00545BEB">
        <w:rPr>
          <w:rFonts w:ascii="Lato" w:eastAsia="Times New Roman" w:hAnsi="Lato" w:cs="Times New Roman"/>
          <w:color w:val="000000"/>
          <w:spacing w:val="5"/>
          <w:sz w:val="24"/>
          <w:szCs w:val="24"/>
          <w:lang w:eastAsia="it-IT"/>
        </w:rPr>
        <w:t xml:space="preserve">» (così le ordinanze in epigrafe, richiamando Cass. 26806/09 cit., </w:t>
      </w:r>
      <w:r w:rsidRPr="00545BEB">
        <w:rPr>
          <w:rFonts w:ascii="Lato" w:eastAsia="Times New Roman" w:hAnsi="Lato" w:cs="Times New Roman"/>
          <w:color w:val="000000"/>
          <w:spacing w:val="5"/>
          <w:sz w:val="24"/>
          <w:szCs w:val="24"/>
          <w:lang w:eastAsia="it-IT"/>
        </w:rPr>
        <w:lastRenderedPageBreak/>
        <w:t>sulla quale v. le perplessità espresse nel par. 2.2 della nota; 20 giugno 2007, n. 14297,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2008, I, 188, con nota di richiami); </w:t>
      </w:r>
    </w:p>
    <w:p w14:paraId="7BA95A58"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—quello del danno (asseritamente) cagionato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xml:space="preserve">) da </w:t>
      </w:r>
      <w:r w:rsidRPr="00545BEB">
        <w:rPr>
          <w:rFonts w:ascii="Lato" w:eastAsia="Times New Roman" w:hAnsi="Lato" w:cs="Times New Roman"/>
          <w:color w:val="000000"/>
          <w:spacing w:val="5"/>
          <w:sz w:val="24"/>
          <w:szCs w:val="24"/>
          <w:u w:val="single"/>
          <w:lang w:eastAsia="it-IT"/>
        </w:rPr>
        <w:t>chi, quale rappresentante dell'ente partecipante o comunque titolare del potere di decidere per esso, abbia colpevolmente trascurato di esercitare i propri diritti di socio (ad esempio, omettendo di esercitare le azioni di responsabilità cui il socio sia direttamente legittimato), così pregiudicando il valore della partecipazione, ovvero</w:t>
      </w:r>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b</w:t>
      </w:r>
      <w:r w:rsidRPr="00545BEB">
        <w:rPr>
          <w:rFonts w:ascii="Lato" w:eastAsia="Times New Roman" w:hAnsi="Lato" w:cs="Times New Roman"/>
          <w:color w:val="000000"/>
          <w:spacing w:val="5"/>
          <w:sz w:val="24"/>
          <w:szCs w:val="24"/>
          <w:lang w:eastAsia="it-IT"/>
        </w:rPr>
        <w:t xml:space="preserve">) da chi abbia compromesso, con i propri comportamenti, </w:t>
      </w:r>
      <w:r w:rsidRPr="00545BEB">
        <w:rPr>
          <w:rFonts w:ascii="Lato" w:eastAsia="Times New Roman" w:hAnsi="Lato" w:cs="Times New Roman"/>
          <w:color w:val="000000"/>
          <w:spacing w:val="5"/>
          <w:sz w:val="24"/>
          <w:szCs w:val="24"/>
          <w:u w:val="single"/>
          <w:lang w:eastAsia="it-IT"/>
        </w:rPr>
        <w:t xml:space="preserve">la ragione stessa della partecipazione sociale dell'ente pubblico, strumentale al perseguimento di finalità pubbliche ed implicante l'impiego di risorse pubbliche, o abbia arrecato direttamente pregiudizio al suo patrimonio (in proposito, le ordinanze in epigrafe richiamano Cass. 30978/17, 26806/09 e 14297/07, citate), sempre — è da intendere — sul presupposto di un rapporto di servizio, di fatto instaurato con l'ente pubblico (ad esempio, inserendosi nei meccanismi decisionali dell'ente per realizzare illeciti profitti personali ai danni dell'ente stesso: è il caso esaminato da Cass., </w:t>
      </w:r>
      <w:proofErr w:type="spellStart"/>
      <w:r w:rsidRPr="00545BEB">
        <w:rPr>
          <w:rFonts w:ascii="Lato" w:eastAsia="Times New Roman" w:hAnsi="Lato" w:cs="Times New Roman"/>
          <w:color w:val="000000"/>
          <w:spacing w:val="5"/>
          <w:sz w:val="24"/>
          <w:szCs w:val="24"/>
          <w:u w:val="single"/>
          <w:lang w:eastAsia="it-IT"/>
        </w:rPr>
        <w:t>ord</w:t>
      </w:r>
      <w:proofErr w:type="spellEnd"/>
      <w:r w:rsidRPr="00545BEB">
        <w:rPr>
          <w:rFonts w:ascii="Lato" w:eastAsia="Times New Roman" w:hAnsi="Lato" w:cs="Times New Roman"/>
          <w:color w:val="000000"/>
          <w:spacing w:val="5"/>
          <w:sz w:val="24"/>
          <w:szCs w:val="24"/>
          <w:u w:val="single"/>
          <w:lang w:eastAsia="it-IT"/>
        </w:rPr>
        <w:t>. 4 novembre 2009, n. 23332, </w:t>
      </w:r>
      <w:r w:rsidRPr="00545BEB">
        <w:rPr>
          <w:rFonts w:ascii="Lato" w:eastAsia="Times New Roman" w:hAnsi="Lato" w:cs="Times New Roman"/>
          <w:i/>
          <w:iCs/>
          <w:color w:val="000000"/>
          <w:spacing w:val="5"/>
          <w:sz w:val="24"/>
          <w:szCs w:val="24"/>
          <w:u w:val="single"/>
          <w:lang w:eastAsia="it-IT"/>
        </w:rPr>
        <w:t>id</w:t>
      </w:r>
      <w:r w:rsidRPr="00545BEB">
        <w:rPr>
          <w:rFonts w:ascii="Lato" w:eastAsia="Times New Roman" w:hAnsi="Lato" w:cs="Times New Roman"/>
          <w:color w:val="000000"/>
          <w:spacing w:val="5"/>
          <w:sz w:val="24"/>
          <w:szCs w:val="24"/>
          <w:u w:val="single"/>
          <w:lang w:eastAsia="it-IT"/>
        </w:rPr>
        <w:t>., 2010, I, 1534, con nota di richiami), e delle risorse finanziarie pubbliche adoperate dall'agente</w:t>
      </w:r>
      <w:r w:rsidRPr="00545BEB">
        <w:rPr>
          <w:rFonts w:ascii="Lato" w:eastAsia="Times New Roman" w:hAnsi="Lato" w:cs="Times New Roman"/>
          <w:color w:val="000000"/>
          <w:spacing w:val="5"/>
          <w:sz w:val="24"/>
          <w:szCs w:val="24"/>
          <w:lang w:eastAsia="it-IT"/>
        </w:rPr>
        <w:t>. </w:t>
      </w:r>
    </w:p>
    <w:p w14:paraId="2AFBD59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Come accennato, i casi fin qui richiamati non rappresentano, tuttavia (al di là di quanto ritenuto dalla Suprema corte), vere e proprie eccezioni ai criteri di attribuzione della giurisdizione per i danni che agli enti soci vengano cagionati dagli amministratori (dai sindaci e dai dipendenti) nella gestione di società partecipate da enti pubblici. </w:t>
      </w:r>
      <w:r w:rsidRPr="00545BEB">
        <w:rPr>
          <w:rFonts w:ascii="Lato" w:eastAsia="Times New Roman" w:hAnsi="Lato" w:cs="Times New Roman"/>
          <w:b/>
          <w:bCs/>
          <w:color w:val="000000"/>
          <w:spacing w:val="5"/>
          <w:sz w:val="24"/>
          <w:szCs w:val="24"/>
          <w:lang w:eastAsia="it-IT"/>
        </w:rPr>
        <w:t>Da un lato, infatti, le società in house e le c.d. società legali non sono, ai fini che qui interessano, vere e proprie società, ma «componenti» o «articolazioni» dell'organizzazione interna degli stessi enti soci, sicché esse non si distinguono dai loro uffici, i cui titolari sono legati da un rapporto d'impiego o di servizio con l'amministrazione</w:t>
      </w:r>
      <w:r w:rsidRPr="00545BEB">
        <w:rPr>
          <w:rFonts w:ascii="Lato" w:eastAsia="Times New Roman" w:hAnsi="Lato" w:cs="Times New Roman"/>
          <w:color w:val="000000"/>
          <w:spacing w:val="5"/>
          <w:sz w:val="24"/>
          <w:szCs w:val="24"/>
          <w:lang w:eastAsia="it-IT"/>
        </w:rPr>
        <w:t xml:space="preserve">; dall'altro lato, la </w:t>
      </w:r>
      <w:r w:rsidRPr="00545BEB">
        <w:rPr>
          <w:rFonts w:ascii="Lato" w:eastAsia="Times New Roman" w:hAnsi="Lato" w:cs="Times New Roman"/>
          <w:b/>
          <w:bCs/>
          <w:color w:val="000000"/>
          <w:spacing w:val="5"/>
          <w:sz w:val="24"/>
          <w:szCs w:val="24"/>
          <w:lang w:eastAsia="it-IT"/>
        </w:rPr>
        <w:t>sussistenza del danno erariale viene fatta discendere o da comportamenti (come quelli che ledono il diritto all'immagine) che la giurisprudenza e la legge riconducono (peraltro discutibilmente) a un rapporto di servizio con l'ente socio, ovvero da comportamenti di soggetti (diversi dagli amministratori della società partecipata) che, in virtù del loro rapporto d'impiego o di servizio con l'ente, abbiano omesso di contrastare gli atti dannosi illegittimamente compiuti dagli amministratori (o dai sindaci, o dai dipendenti) della società, o abbiano trascurato di agire nei loro confronti per il pregiudizio da essi inferto al valore della partecipazione</w:t>
      </w:r>
      <w:r w:rsidRPr="00545BEB">
        <w:rPr>
          <w:rFonts w:ascii="Lato" w:eastAsia="Times New Roman" w:hAnsi="Lato" w:cs="Times New Roman"/>
          <w:color w:val="000000"/>
          <w:spacing w:val="5"/>
          <w:sz w:val="24"/>
          <w:szCs w:val="24"/>
          <w:lang w:eastAsia="it-IT"/>
        </w:rPr>
        <w:t>. In quest’ultimo caso, in particolare, si tratta di una responsabilità la cui natura erariale discende — secondo le regole generali — da comportamenti illeciti di soggetti interni all'amministrazione o ad essa legati da un rapporto di servizio, «chiamati a controllare e vigilare l'uso del denaro pubblico impiegato dai soggetti privati di cui l'amministrazione si avvale» (secondo l'espressione di Cass. 30978/17, cit.).</w:t>
      </w:r>
    </w:p>
    <w:p w14:paraId="1A3D997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4834FFA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III. - Nell'applicare i criteri appena esposti, le ordinanze in epigrafe si prestano a talune osservazioni, in ragione delle diverse fattispecie esaminate.</w:t>
      </w:r>
    </w:p>
    <w:p w14:paraId="3440CE4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3536A2D5"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III.1. - L'ordinanza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xml:space="preserve"> I (34471/19), esclusa la natura di società in house della s.p.a. Casoria ambiente (annoverando essa tra i propri soci anche soggetti privati; non essendo imposto alla società di operare esclusivamente in favore degli enti pubblici titolari delle rispettive partecipazioni; essendo previsto che essa potesse svolgere la propria attività anche al di fuori del territorio comunale ed in favore di enti pubblici o privati anche non aventi la qualità di soci; non essendo, infine, previsto l'assoggettamento della società e dei suoi organi ad alcuna forma di controllo analogo a quello esercitato dal comune nei confronti delle proprie articolazioni organizzative interne), </w:t>
      </w:r>
      <w:r w:rsidRPr="00545BEB">
        <w:rPr>
          <w:rFonts w:ascii="Lato" w:eastAsia="Times New Roman" w:hAnsi="Lato" w:cs="Times New Roman"/>
          <w:color w:val="000000"/>
          <w:spacing w:val="5"/>
          <w:sz w:val="24"/>
          <w:szCs w:val="24"/>
          <w:u w:val="single"/>
          <w:lang w:eastAsia="it-IT"/>
        </w:rPr>
        <w:t xml:space="preserve">reputa, da un lato, che la </w:t>
      </w:r>
      <w:r w:rsidRPr="00545BEB">
        <w:rPr>
          <w:rFonts w:ascii="Lato" w:eastAsia="Times New Roman" w:hAnsi="Lato" w:cs="Times New Roman"/>
          <w:color w:val="000000"/>
          <w:spacing w:val="5"/>
          <w:sz w:val="24"/>
          <w:szCs w:val="24"/>
          <w:u w:val="single"/>
          <w:lang w:eastAsia="it-IT"/>
        </w:rPr>
        <w:lastRenderedPageBreak/>
        <w:t>soggettività giuridica della società sia nettamente separata da quella degli enti soci, con conseguente autonomia del patrimonio sociale rispetto a quello degli stessi enti; dall'altro lato, che gli effetti degli atti illegittimi compiuti dagli amministratori della società (nel caso, per il conferimento di incarichi di consulenza a professionisti esterni) non possono che ricadere esclusivamente su quest’ultima</w:t>
      </w:r>
      <w:r w:rsidRPr="00545BEB">
        <w:rPr>
          <w:rFonts w:ascii="Lato" w:eastAsia="Times New Roman" w:hAnsi="Lato" w:cs="Times New Roman"/>
          <w:color w:val="000000"/>
          <w:spacing w:val="5"/>
          <w:sz w:val="24"/>
          <w:szCs w:val="24"/>
          <w:lang w:eastAsia="it-IT"/>
        </w:rPr>
        <w:t>; cosicché compete agli enti soci di esercitare, davanti al giudice ordinario, i poteri e le facoltà che la disciplina civilistica riconosce ordinariamente ai soci per far valere la responsabilità degli organi amministrativi e di controllo delle società operanti sul mercato in regime di concorrenza. Né rileva, secondo la Suprema corte,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che al mancato assolvimento delle obbligazioni illegittimamente contratte (secondo la sentenza cassata) dalla società abbia fatto seguito l'assunzione del relativo onere da parte del comune per effetto della scelta, da quest’ultimo compiuta, di farsi carico delle esigenze finanziarie della società, attraverso il ripiano dello squilibrio determinato dalle relative spese (essendosi trattato, invece, di un mero conferimento di denaro in favore della società, posto in essere dal comune nella sua qualità di socio, per consentire alla società stessa di far fronte ai propri debiti); </w:t>
      </w:r>
      <w:r w:rsidRPr="00545BEB">
        <w:rPr>
          <w:rFonts w:ascii="Lato" w:eastAsia="Times New Roman" w:hAnsi="Lato" w:cs="Times New Roman"/>
          <w:i/>
          <w:iCs/>
          <w:color w:val="000000"/>
          <w:spacing w:val="5"/>
          <w:sz w:val="24"/>
          <w:szCs w:val="24"/>
          <w:lang w:eastAsia="it-IT"/>
        </w:rPr>
        <w:t>b</w:t>
      </w:r>
      <w:r w:rsidRPr="00545BEB">
        <w:rPr>
          <w:rFonts w:ascii="Lato" w:eastAsia="Times New Roman" w:hAnsi="Lato" w:cs="Times New Roman"/>
          <w:color w:val="000000"/>
          <w:spacing w:val="5"/>
          <w:sz w:val="24"/>
          <w:szCs w:val="24"/>
          <w:lang w:eastAsia="it-IT"/>
        </w:rPr>
        <w:t>) che alla società fosse affidato lo svolgimento di servizi di interesse pubblico (l'organizzazione e la gestione dei servizi di nettezza urbana; la costruzione e la gestione di inceneritori e discariche pubbliche), «trattandosi di un elemento di per sé inidoneo a rendere configurabile un rapporto di servizio tra l'amministrazione e gli organi amministrativi e di controllo della società, e a giustificare pertanto la devoluzione dell'azione risarcitoria alla giurisdizione della Corte dei conti». </w:t>
      </w:r>
    </w:p>
    <w:p w14:paraId="0C1196D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u w:val="single"/>
          <w:lang w:eastAsia="it-IT"/>
        </w:rPr>
      </w:pPr>
      <w:r w:rsidRPr="00545BEB">
        <w:rPr>
          <w:rFonts w:ascii="Lato" w:eastAsia="Times New Roman" w:hAnsi="Lato" w:cs="Times New Roman"/>
          <w:color w:val="000000"/>
          <w:spacing w:val="5"/>
          <w:sz w:val="24"/>
          <w:szCs w:val="24"/>
          <w:lang w:eastAsia="it-IT"/>
        </w:rPr>
        <w:t xml:space="preserve">In sostanza, come si legge in un'altra importante pronuncia della Suprema corte (30978/17, cit.), </w:t>
      </w:r>
      <w:r w:rsidRPr="00545BEB">
        <w:rPr>
          <w:rFonts w:ascii="Lato" w:eastAsia="Times New Roman" w:hAnsi="Lato" w:cs="Times New Roman"/>
          <w:color w:val="000000"/>
          <w:spacing w:val="5"/>
          <w:sz w:val="24"/>
          <w:szCs w:val="24"/>
          <w:u w:val="single"/>
          <w:lang w:eastAsia="it-IT"/>
        </w:rPr>
        <w:t xml:space="preserve">sebbene l'art. 4 </w:t>
      </w:r>
      <w:proofErr w:type="spellStart"/>
      <w:r w:rsidRPr="00545BEB">
        <w:rPr>
          <w:rFonts w:ascii="Lato" w:eastAsia="Times New Roman" w:hAnsi="Lato" w:cs="Times New Roman"/>
          <w:color w:val="000000"/>
          <w:spacing w:val="5"/>
          <w:sz w:val="24"/>
          <w:szCs w:val="24"/>
          <w:u w:val="single"/>
          <w:lang w:eastAsia="it-IT"/>
        </w:rPr>
        <w:t>t.u.</w:t>
      </w:r>
      <w:proofErr w:type="spellEnd"/>
      <w:r w:rsidRPr="00545BEB">
        <w:rPr>
          <w:rFonts w:ascii="Lato" w:eastAsia="Times New Roman" w:hAnsi="Lato" w:cs="Times New Roman"/>
          <w:color w:val="000000"/>
          <w:spacing w:val="5"/>
          <w:sz w:val="24"/>
          <w:szCs w:val="24"/>
          <w:u w:val="single"/>
          <w:lang w:eastAsia="it-IT"/>
        </w:rPr>
        <w:t xml:space="preserve"> società pubbliche abbia previsto, per le società a partecipazione pubblica, precisi vincoli di scopo e di attività, «la compartecipazione di soggetti privati alla realizzazione di scopi pubblici non è elemento sufficiente a tramutare la forma e la natura dell'ente [societario] e [...] a radicare la giurisdizione contabile», stante la regola generale, posta dallo stesso </w:t>
      </w:r>
      <w:proofErr w:type="spellStart"/>
      <w:r w:rsidRPr="00545BEB">
        <w:rPr>
          <w:rFonts w:ascii="Lato" w:eastAsia="Times New Roman" w:hAnsi="Lato" w:cs="Times New Roman"/>
          <w:color w:val="000000"/>
          <w:spacing w:val="5"/>
          <w:sz w:val="24"/>
          <w:szCs w:val="24"/>
          <w:u w:val="single"/>
          <w:lang w:eastAsia="it-IT"/>
        </w:rPr>
        <w:t>t.u.</w:t>
      </w:r>
      <w:proofErr w:type="spellEnd"/>
      <w:r w:rsidRPr="00545BEB">
        <w:rPr>
          <w:rFonts w:ascii="Lato" w:eastAsia="Times New Roman" w:hAnsi="Lato" w:cs="Times New Roman"/>
          <w:color w:val="000000"/>
          <w:spacing w:val="5"/>
          <w:sz w:val="24"/>
          <w:szCs w:val="24"/>
          <w:u w:val="single"/>
          <w:lang w:eastAsia="it-IT"/>
        </w:rPr>
        <w:t xml:space="preserve"> (art. 1, 3° comma), per cui — come si afferma nella stessa pronuncia — «anche quando l'attività svolta si connoti in senso marcatamente pubblicistico, in termini di servizio pubblico o in relazione agli appalti pubblici, l'ente societario, pur sempre dotato di autonoma soggettività giuridica, va ricondotto nell'alveo della disciplina privatistica, salve le deroghe, eccezionali, previste dal medesimo testo unico».</w:t>
      </w:r>
    </w:p>
    <w:p w14:paraId="19D40781"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7630941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Resta, in fatto, il problema di assicurare la continuità nel tempo di servizi pubblici affidati a società partecipate, poi rivelatesi incapaci di gestirli secondo le regole privatistiche.</w:t>
      </w:r>
    </w:p>
    <w:p w14:paraId="40AE00F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6E689A1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III.1.1. - Circa i limiti di ammissibilità, dopo il </w:t>
      </w:r>
      <w:proofErr w:type="spellStart"/>
      <w:r w:rsidRPr="00545BEB">
        <w:rPr>
          <w:rFonts w:ascii="Lato" w:eastAsia="Times New Roman" w:hAnsi="Lato" w:cs="Times New Roman"/>
          <w:color w:val="000000"/>
          <w:spacing w:val="5"/>
          <w:sz w:val="24"/>
          <w:szCs w:val="24"/>
          <w:lang w:eastAsia="it-IT"/>
        </w:rPr>
        <w:t>t.u.</w:t>
      </w:r>
      <w:proofErr w:type="spellEnd"/>
      <w:r w:rsidRPr="00545BEB">
        <w:rPr>
          <w:rFonts w:ascii="Lato" w:eastAsia="Times New Roman" w:hAnsi="Lato" w:cs="Times New Roman"/>
          <w:color w:val="000000"/>
          <w:spacing w:val="5"/>
          <w:sz w:val="24"/>
          <w:szCs w:val="24"/>
          <w:lang w:eastAsia="it-IT"/>
        </w:rPr>
        <w:t xml:space="preserve"> società partecipate, del c.d. «soccorso finanziario» degli enti pubblici nei confronti di società partecipate in crisi economico-finanziaria, v. Corte conti, sez. II giur. </w:t>
      </w:r>
      <w:proofErr w:type="spellStart"/>
      <w:r w:rsidRPr="00545BEB">
        <w:rPr>
          <w:rFonts w:ascii="Lato" w:eastAsia="Times New Roman" w:hAnsi="Lato" w:cs="Times New Roman"/>
          <w:color w:val="000000"/>
          <w:spacing w:val="5"/>
          <w:sz w:val="24"/>
          <w:szCs w:val="24"/>
          <w:lang w:eastAsia="it-IT"/>
        </w:rPr>
        <w:t>centr</w:t>
      </w:r>
      <w:proofErr w:type="spellEnd"/>
      <w:r w:rsidRPr="00545BEB">
        <w:rPr>
          <w:rFonts w:ascii="Lato" w:eastAsia="Times New Roman" w:hAnsi="Lato" w:cs="Times New Roman"/>
          <w:color w:val="000000"/>
          <w:spacing w:val="5"/>
          <w:sz w:val="24"/>
          <w:szCs w:val="24"/>
          <w:lang w:eastAsia="it-IT"/>
        </w:rPr>
        <w:t>. app., 19 agosto 2019, n. 291, e sez. reg. contr. Lombardia, parere 17 luglio 2019, n. 296/18/Par,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2020, III, 32, con nota di richiami di L. Fruscione. </w:t>
      </w:r>
    </w:p>
    <w:p w14:paraId="3DEC365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III.2. - L'ordinanza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II (32608/19) esclude la giurisdizione della Corte dei conti sull'azione di responsabilità che il pubblico ministero presso la stessa corte aveva intentato nei confronti degli amministratori di una società, istituita dalla «fondazione Enpam» (unico azionista della società stessa) per lo svolgimento di alcune attività inerenti ai suoi fini previdenziali-assistenziali. </w:t>
      </w:r>
    </w:p>
    <w:p w14:paraId="29ED0391"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È il caso di rammentare che la fondazione Enpam costituisce un ente senza scopo di lucro con personalità giuridica di diritto privato, risultante dalla trasformazione — ex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509/94 — dell'ente (pubblico) di previdenza e assistenza dei medici e degli odontoiatri; </w:t>
      </w:r>
      <w:r w:rsidRPr="00545BEB">
        <w:rPr>
          <w:rFonts w:ascii="Lato" w:eastAsia="Times New Roman" w:hAnsi="Lato" w:cs="Times New Roman"/>
          <w:color w:val="000000"/>
          <w:spacing w:val="5"/>
          <w:sz w:val="24"/>
          <w:szCs w:val="24"/>
          <w:lang w:eastAsia="it-IT"/>
        </w:rPr>
        <w:lastRenderedPageBreak/>
        <w:t>trasformazione — ricorda l'ordinanza in epigrafe — che si fonda, a un tempo, sull'assenza di finanziamenti pubblici e sull'obbligatorietà dell'iscrizione e della contribuzione; quindi, con assoluta «continuità della collocazione dell'ente nel sistema» previdenziale. In sostanza, la trasformazione dell'Enpam, come chiarito anche dalla Corte costituzionale (</w:t>
      </w:r>
      <w:proofErr w:type="spellStart"/>
      <w:r w:rsidRPr="00545BEB">
        <w:rPr>
          <w:rFonts w:ascii="Lato" w:eastAsia="Times New Roman" w:hAnsi="Lato" w:cs="Times New Roman"/>
          <w:color w:val="000000"/>
          <w:spacing w:val="5"/>
          <w:sz w:val="24"/>
          <w:szCs w:val="24"/>
          <w:lang w:eastAsia="it-IT"/>
        </w:rPr>
        <w:t>sent</w:t>
      </w:r>
      <w:proofErr w:type="spellEnd"/>
      <w:r w:rsidRPr="00545BEB">
        <w:rPr>
          <w:rFonts w:ascii="Lato" w:eastAsia="Times New Roman" w:hAnsi="Lato" w:cs="Times New Roman"/>
          <w:color w:val="000000"/>
          <w:spacing w:val="5"/>
          <w:sz w:val="24"/>
          <w:szCs w:val="24"/>
          <w:lang w:eastAsia="it-IT"/>
        </w:rPr>
        <w:t>. 11 gennaio 2017, n. 7,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2017, voce </w:t>
      </w:r>
      <w:r w:rsidRPr="00545BEB">
        <w:rPr>
          <w:rFonts w:ascii="Lato" w:eastAsia="Times New Roman" w:hAnsi="Lato" w:cs="Times New Roman"/>
          <w:i/>
          <w:iCs/>
          <w:color w:val="000000"/>
          <w:spacing w:val="5"/>
          <w:sz w:val="24"/>
          <w:szCs w:val="24"/>
          <w:lang w:eastAsia="it-IT"/>
        </w:rPr>
        <w:t>Amministrazione dello Stato</w:t>
      </w:r>
      <w:r w:rsidRPr="00545BEB">
        <w:rPr>
          <w:rFonts w:ascii="Lato" w:eastAsia="Times New Roman" w:hAnsi="Lato" w:cs="Times New Roman"/>
          <w:color w:val="000000"/>
          <w:spacing w:val="5"/>
          <w:sz w:val="24"/>
          <w:szCs w:val="24"/>
          <w:lang w:eastAsia="it-IT"/>
        </w:rPr>
        <w:t>, n. 345, annotata da G. Beretta, </w:t>
      </w:r>
      <w:r w:rsidRPr="00545BEB">
        <w:rPr>
          <w:rFonts w:ascii="Lato" w:eastAsia="Times New Roman" w:hAnsi="Lato" w:cs="Times New Roman"/>
          <w:i/>
          <w:iCs/>
          <w:color w:val="000000"/>
          <w:spacing w:val="5"/>
          <w:sz w:val="24"/>
          <w:szCs w:val="24"/>
          <w:lang w:eastAsia="it-IT"/>
        </w:rPr>
        <w:t>La Corte costituzionale boccia il «prelievo forzoso» statale a carico degli enti previdenziali privatizzati</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 xml:space="preserve">Giur.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2017, 702; P. De Ioanna, </w:t>
      </w:r>
      <w:r w:rsidRPr="00545BEB">
        <w:rPr>
          <w:rFonts w:ascii="Lato" w:eastAsia="Times New Roman" w:hAnsi="Lato" w:cs="Times New Roman"/>
          <w:i/>
          <w:iCs/>
          <w:color w:val="000000"/>
          <w:spacing w:val="5"/>
          <w:sz w:val="24"/>
          <w:szCs w:val="24"/>
          <w:lang w:eastAsia="it-IT"/>
        </w:rPr>
        <w:t>Illegittimo il prelievo statale sui risparmi delle casse previdenziali private</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Riv. giur. lav</w:t>
      </w:r>
      <w:r w:rsidRPr="00545BEB">
        <w:rPr>
          <w:rFonts w:ascii="Lato" w:eastAsia="Times New Roman" w:hAnsi="Lato" w:cs="Times New Roman"/>
          <w:color w:val="000000"/>
          <w:spacing w:val="5"/>
          <w:sz w:val="24"/>
          <w:szCs w:val="24"/>
          <w:lang w:eastAsia="it-IT"/>
        </w:rPr>
        <w:t xml:space="preserve">., 2017, II, 497; V. </w:t>
      </w:r>
      <w:proofErr w:type="spellStart"/>
      <w:r w:rsidRPr="00545BEB">
        <w:rPr>
          <w:rFonts w:ascii="Lato" w:eastAsia="Times New Roman" w:hAnsi="Lato" w:cs="Times New Roman"/>
          <w:color w:val="000000"/>
          <w:spacing w:val="5"/>
          <w:sz w:val="24"/>
          <w:szCs w:val="24"/>
          <w:lang w:eastAsia="it-IT"/>
        </w:rPr>
        <w:t>Mastroiacovo</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Le differenti ragioni dell'irragionevolezza di un prelievo forzoso a favore dell'erario</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 xml:space="preserve">Giur. </w:t>
      </w:r>
      <w:proofErr w:type="spellStart"/>
      <w:r w:rsidRPr="00545BEB">
        <w:rPr>
          <w:rFonts w:ascii="Lato" w:eastAsia="Times New Roman" w:hAnsi="Lato" w:cs="Times New Roman"/>
          <w:i/>
          <w:iCs/>
          <w:color w:val="000000"/>
          <w:spacing w:val="5"/>
          <w:sz w:val="24"/>
          <w:szCs w:val="24"/>
          <w:lang w:eastAsia="it-IT"/>
        </w:rPr>
        <w:t>costit</w:t>
      </w:r>
      <w:proofErr w:type="spellEnd"/>
      <w:r w:rsidRPr="00545BEB">
        <w:rPr>
          <w:rFonts w:ascii="Lato" w:eastAsia="Times New Roman" w:hAnsi="Lato" w:cs="Times New Roman"/>
          <w:color w:val="000000"/>
          <w:spacing w:val="5"/>
          <w:sz w:val="24"/>
          <w:szCs w:val="24"/>
          <w:lang w:eastAsia="it-IT"/>
        </w:rPr>
        <w:t>., 2017, 52, e P. Boria, </w:t>
      </w:r>
      <w:r w:rsidRPr="00545BEB">
        <w:rPr>
          <w:rFonts w:ascii="Lato" w:eastAsia="Times New Roman" w:hAnsi="Lato" w:cs="Times New Roman"/>
          <w:i/>
          <w:iCs/>
          <w:color w:val="000000"/>
          <w:spacing w:val="5"/>
          <w:sz w:val="24"/>
          <w:szCs w:val="24"/>
          <w:lang w:eastAsia="it-IT"/>
        </w:rPr>
        <w:t>L'illegittimità costituzionale del tributo da spending review</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 xml:space="preserve">Riv. dir. </w:t>
      </w:r>
      <w:proofErr w:type="spellStart"/>
      <w:r w:rsidRPr="00545BEB">
        <w:rPr>
          <w:rFonts w:ascii="Lato" w:eastAsia="Times New Roman" w:hAnsi="Lato" w:cs="Times New Roman"/>
          <w:i/>
          <w:iCs/>
          <w:color w:val="000000"/>
          <w:spacing w:val="5"/>
          <w:sz w:val="24"/>
          <w:szCs w:val="24"/>
          <w:lang w:eastAsia="it-IT"/>
        </w:rPr>
        <w:t>trib</w:t>
      </w:r>
      <w:proofErr w:type="spellEnd"/>
      <w:r w:rsidRPr="00545BEB">
        <w:rPr>
          <w:rFonts w:ascii="Lato" w:eastAsia="Times New Roman" w:hAnsi="Lato" w:cs="Times New Roman"/>
          <w:color w:val="000000"/>
          <w:spacing w:val="5"/>
          <w:sz w:val="24"/>
          <w:szCs w:val="24"/>
          <w:lang w:eastAsia="it-IT"/>
        </w:rPr>
        <w:t>., 2017, II, 196; e già Corte cost. 18 luglio 1997, n. 248,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1997, I, 2755, con nota di richiami, annotata da L. Fassina, </w:t>
      </w:r>
      <w:r w:rsidRPr="00545BEB">
        <w:rPr>
          <w:rFonts w:ascii="Lato" w:eastAsia="Times New Roman" w:hAnsi="Lato" w:cs="Times New Roman"/>
          <w:i/>
          <w:iCs/>
          <w:color w:val="000000"/>
          <w:spacing w:val="5"/>
          <w:sz w:val="24"/>
          <w:szCs w:val="24"/>
          <w:lang w:eastAsia="it-IT"/>
        </w:rPr>
        <w:t>La Corte costituzionale e la privatizzazione degli enti previdenziali</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Riv. giur. lav</w:t>
      </w:r>
      <w:r w:rsidRPr="00545BEB">
        <w:rPr>
          <w:rFonts w:ascii="Lato" w:eastAsia="Times New Roman" w:hAnsi="Lato" w:cs="Times New Roman"/>
          <w:color w:val="000000"/>
          <w:spacing w:val="5"/>
          <w:sz w:val="24"/>
          <w:szCs w:val="24"/>
          <w:lang w:eastAsia="it-IT"/>
        </w:rPr>
        <w:t xml:space="preserve">., 1998, II, 181), «pur avendo inciso sulla forma giuridica dell'ente e sulle modalità organizzative delle sue funzioni», «ha lasciato immutato il carattere pubblicistico dell'attività istituzionale di previdenza e assistenza svolta dagli enti» nei confronti di particolari categorie di lavoratori: «l'obbligo contributivo costituisce un corollario, appunto, della rilevanza pubblicistica dell'inalterato fine previdenziale» (così, specificamente, Corte cost. 248/97, cit.). Di qui, l'estensione e la profondità dei poteri assegnati a organi pubblici (v., in particolare, l'art. 3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509/94, intestato «vigilanza») in ordine alla gestione amministrativa e finanziaria degli enti previdenziali «privatizzati» (associazioni o fondazioni): poteri che vanno dall'approvazione dei loro statuti e regolamenti, nonché delle delibere in materia di contributi e prestazioni, ad opera dei ministeri vigilanti (ministero del lavoro e ministero dell'economia) alla necessaria presenza di rappresentanti ministeriali nei collegi sindacali degli enti, al controllo di «legalità» ed «efficacia» della Corte dei conti «sulla gestione [da parte loro] delle assicurazioni obbligatorie», per riferirne annualmente al parlamento. </w:t>
      </w:r>
    </w:p>
    <w:p w14:paraId="04AE9D5B"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Aggiunge la Suprema corte che «il permanere [in capo all'Enpam, come a tutti gli enti previdenziali privatizzati] dei connotati pubblicistici è avvalorato dal [loro] inserimento nell'elenco delle amministrazioni pubbliche comprese nel conto economico consolidato, individuate ai sensi dell'art. 1, 3° comma, l. 196/09 [legge di contabilità e finanza pubblica], e successive modificazioni», cosicché tali enti rientrano tra quelli i cui bilanci costituiscono, nel loro insieme, il riferimento dell'Unione europea allo scopo di valutare il contributo all'economia nazionale e, soprattutto, la sostenibilità dell'indebitamento netto delle pubbliche amministrazioni (cioè del saldo fra entrate e spese risultante dal conto consolidato), sulla base dei criteri di convergenza stabiliti dall'Unione, rispetto al reddito da esse prodotto. Di qui, una dimensione sicuramente pubblicistica dell'attività svolta dagli enti previdenziali privatizzati, tanto più che, rispetto ai soggetti obbligatoriamente iscritti a tali enti, è lo Stato — ove l'ente dovesse risultare inadempiente — il «garante di ultima istanza» del loro diritto alle prestazioni previdenziali (si tratta, però, di un aspetto che non emerge dall'ordinanza che si riporta).</w:t>
      </w:r>
    </w:p>
    <w:p w14:paraId="39D77111"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19197E2F"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La rilevanza di questi elementi di natura pubblicistica avrebbe forse dovuto suggerire che, ai limitati fini dell'applicazione della disciplina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175/16) in materia di società a partecipazione pubblica e, in particolare, del regime delle responsabilità amministrative,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la fondazione Enpam fosse da equiparare a un ente pubblico e </w:t>
      </w:r>
      <w:r w:rsidRPr="00545BEB">
        <w:rPr>
          <w:rFonts w:ascii="Lato" w:eastAsia="Times New Roman" w:hAnsi="Lato" w:cs="Times New Roman"/>
          <w:i/>
          <w:iCs/>
          <w:color w:val="000000"/>
          <w:spacing w:val="5"/>
          <w:sz w:val="24"/>
          <w:szCs w:val="24"/>
          <w:lang w:eastAsia="it-IT"/>
        </w:rPr>
        <w:t>b</w:t>
      </w:r>
      <w:r w:rsidRPr="00545BEB">
        <w:rPr>
          <w:rFonts w:ascii="Lato" w:eastAsia="Times New Roman" w:hAnsi="Lato" w:cs="Times New Roman"/>
          <w:color w:val="000000"/>
          <w:spacing w:val="5"/>
          <w:sz w:val="24"/>
          <w:szCs w:val="24"/>
          <w:lang w:eastAsia="it-IT"/>
        </w:rPr>
        <w:t>) gli amministratori della società da essa costituita (e interamente partecipata) per lo svolgimento di talune sue finalità istituzionali dovessero essere considerati alla stregua di amministratori di una società in house della fondazione-ente pubblico. </w:t>
      </w:r>
    </w:p>
    <w:p w14:paraId="020A7ED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lastRenderedPageBreak/>
        <w:t>L'ordinanza in epigrafe ha, invece, ritenuto che la fondazione Enpam, malgrado la persistenza dei menzionati «indici pubblicistici, derivanti dalla funzione che è chiamata a svolgere», risulta estranea, sul piano del diritto positivo, al perimetro soggettivo delle pubbliche amministrazioni, ai fini dell'applicazione della disciplina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175/16) sulle società a partecipazione pubblica; perimetro nel quale sono unicamente comprese (art. 2, 1° comma, lett.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xml:space="preserve">,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n. 175 cit.), da un lato, le amministrazioni cui si applica la disciplina in materia di lavoro pubblico (art. 1, 2° comma,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165/01), nonché i loro consorzi e associazioni, dall'altro gli enti pubblici economici e gli enti del sistema portuale. </w:t>
      </w:r>
      <w:r w:rsidRPr="00545BEB">
        <w:rPr>
          <w:rFonts w:ascii="Lato" w:eastAsia="Times New Roman" w:hAnsi="Lato" w:cs="Times New Roman"/>
          <w:color w:val="000000"/>
          <w:spacing w:val="5"/>
          <w:sz w:val="24"/>
          <w:szCs w:val="24"/>
          <w:u w:val="single"/>
          <w:lang w:eastAsia="it-IT"/>
        </w:rPr>
        <w:t xml:space="preserve">Detto altrimenti, poiché la fondazione «costituisce pur sempre un soggetto cui è formalmente attribuita natura di ente privato», ciò non consente di ricomprenderla nella definizione di amministrazione pubblica adottata dal </w:t>
      </w:r>
      <w:proofErr w:type="spellStart"/>
      <w:r w:rsidRPr="00545BEB">
        <w:rPr>
          <w:rFonts w:ascii="Lato" w:eastAsia="Times New Roman" w:hAnsi="Lato" w:cs="Times New Roman"/>
          <w:color w:val="000000"/>
          <w:spacing w:val="5"/>
          <w:sz w:val="24"/>
          <w:szCs w:val="24"/>
          <w:u w:val="single"/>
          <w:lang w:eastAsia="it-IT"/>
        </w:rPr>
        <w:t>t.u.</w:t>
      </w:r>
      <w:proofErr w:type="spellEnd"/>
      <w:r w:rsidRPr="00545BEB">
        <w:rPr>
          <w:rFonts w:ascii="Lato" w:eastAsia="Times New Roman" w:hAnsi="Lato" w:cs="Times New Roman"/>
          <w:color w:val="000000"/>
          <w:spacing w:val="5"/>
          <w:sz w:val="24"/>
          <w:szCs w:val="24"/>
          <w:u w:val="single"/>
          <w:lang w:eastAsia="it-IT"/>
        </w:rPr>
        <w:t xml:space="preserve"> società pubbliche; di conseguenza, non vi sono margini — secondo la Suprema corte — per ritenere che la società partecipata dall'Enpam, i cui amministratori abbiano recato danno alla fondazione, possa essere qualificata come «società in house di una pubblica amministrazione», tale nozione non potendo «spingersi sino a ricomprendere società partecipate, non già da una pubblica amministrazione [...], bensì da un soggetto — la fondazione Enpam, appunto — che, pur svolgendo un'attività pubblicistica ed essendo conseguenzialmente sottoposto alla vigilanza ministeriale e al controllo della Corte dei conti, ha la qualificazione giuridica di ente privato e come tale si presenta all'esterno».</w:t>
      </w:r>
      <w:r w:rsidRPr="00545BEB">
        <w:rPr>
          <w:rFonts w:ascii="Lato" w:eastAsia="Times New Roman" w:hAnsi="Lato" w:cs="Times New Roman"/>
          <w:color w:val="000000"/>
          <w:spacing w:val="5"/>
          <w:sz w:val="24"/>
          <w:szCs w:val="24"/>
          <w:lang w:eastAsia="it-IT"/>
        </w:rPr>
        <w:t xml:space="preserve"> Ne derivano l'assenza dei presupposti per l'esistenza di un danno erariale da addebitare agli amministratori e l'appartenenza all'autorità giudiziaria ordinaria della giurisdizione sulla responsabilità (civile) per i danni da essi arrecati alla fondazione mediante la gestione della società. </w:t>
      </w:r>
    </w:p>
    <w:p w14:paraId="67B170B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III.2.1. - Nel senso che, con la trasformazione dell'Enpam da ente pubblico non economico in ente di diritto privato, ai sensi dell'art. 1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509/94, tutti i rapporti di lavoro subordinati in atto sono stati sottratti alla disciplina, anche previdenziale e assistenziale, propria del regime pubblicistico a far data dalla scadenza del trimestre successivo alla stipulazione del primo contratto collettivo, a nulla valendo la permanenza della disciplina pubblicistica per il personale dirigenziale, in difetto di stipulazione del contratto collettivo, e la previsione del diritto di opzione per la «permanenza» nel pubblico impiego; una volta intervenuta la citata trasformazione, infatti, l'ente non è più compreso nell'ambito delle pubbliche amministrazioni, come definito dall'art. 1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165/01, con la conseguente giuridica impossibilità di considerarlo parte di un rapporto di pubblico impiego, v. Cass. 7 aprile 2008, n. 8986,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Rep. 2008, voce </w:t>
      </w:r>
      <w:r w:rsidRPr="00545BEB">
        <w:rPr>
          <w:rFonts w:ascii="Lato" w:eastAsia="Times New Roman" w:hAnsi="Lato" w:cs="Times New Roman"/>
          <w:i/>
          <w:iCs/>
          <w:color w:val="000000"/>
          <w:spacing w:val="5"/>
          <w:sz w:val="24"/>
          <w:szCs w:val="24"/>
          <w:lang w:eastAsia="it-IT"/>
        </w:rPr>
        <w:t>Impiegato dello Stato</w:t>
      </w:r>
      <w:r w:rsidRPr="00545BEB">
        <w:rPr>
          <w:rFonts w:ascii="Lato" w:eastAsia="Times New Roman" w:hAnsi="Lato" w:cs="Times New Roman"/>
          <w:color w:val="000000"/>
          <w:spacing w:val="5"/>
          <w:sz w:val="24"/>
          <w:szCs w:val="24"/>
          <w:lang w:eastAsia="it-IT"/>
        </w:rPr>
        <w:t>, n. 378. </w:t>
      </w:r>
    </w:p>
    <w:p w14:paraId="1D3E48E5"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III.2.2. - Circa la giurisdizione in ordine alla responsabilità degli amministratori di fondazioni costituite da enti pubblici, v. Cass. 2584/18, cit., che ha riconosciuto la giurisdizione del giudice ordinario sulla controversia avente ad oggetto il risarcimento del danno che il presidente di una fondazione privata, creata da un comune, aveva cagionato alla stessa fondazione per aver affidato a un privato un incarico di consulenza professionale senza adottare procedure di evidenza pubblica, che avrebbero comportato, per la fondazione, un minor onere di spesa, con riguardo sia al costo della consulenza, sia al compenso del professionista; 2 settembre 2013, n. 20075,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2013, voce </w:t>
      </w:r>
      <w:r w:rsidRPr="00545BEB">
        <w:rPr>
          <w:rFonts w:ascii="Lato" w:eastAsia="Times New Roman" w:hAnsi="Lato" w:cs="Times New Roman"/>
          <w:i/>
          <w:iCs/>
          <w:color w:val="000000"/>
          <w:spacing w:val="5"/>
          <w:sz w:val="24"/>
          <w:szCs w:val="24"/>
          <w:lang w:eastAsia="it-IT"/>
        </w:rPr>
        <w:t>Responsabilità contabile</w:t>
      </w:r>
      <w:r w:rsidRPr="00545BEB">
        <w:rPr>
          <w:rFonts w:ascii="Lato" w:eastAsia="Times New Roman" w:hAnsi="Lato" w:cs="Times New Roman"/>
          <w:color w:val="000000"/>
          <w:spacing w:val="5"/>
          <w:sz w:val="24"/>
          <w:szCs w:val="24"/>
          <w:lang w:eastAsia="it-IT"/>
        </w:rPr>
        <w:t xml:space="preserve">, n. 45, per cui appartiene alla giurisdizione del giudice ordinario e non a quella contabile la controversia riguardante l'azione di responsabilità a carico del direttore generale di una fondazione (istituita con legge regionale per la diffusione e la conoscenza dei valori e del patrimonio culturale della Sicilia e finanziata, fra l'altro, con risorse provenienti dalla valorizzazione di beni del patrimonio indisponibile della regione) avente natura di persona giuridica privata, per l'improprio utilizzo di carte </w:t>
      </w:r>
      <w:r w:rsidRPr="00545BEB">
        <w:rPr>
          <w:rFonts w:ascii="Lato" w:eastAsia="Times New Roman" w:hAnsi="Lato" w:cs="Times New Roman"/>
          <w:color w:val="000000"/>
          <w:spacing w:val="5"/>
          <w:sz w:val="24"/>
          <w:szCs w:val="24"/>
          <w:lang w:eastAsia="it-IT"/>
        </w:rPr>
        <w:lastRenderedPageBreak/>
        <w:t>di credito e prelievi di denaro non riconducibili ad attività istituzionali, non assumendo rilievo la circostanza che nel patrimonio dell'ente privato siano confluite risorse pubbliche, attesa l'autonomia giuridica e patrimoniale della fondazione, nonché l'incidenza del danno derivante dall'illecito direttamente solo sul patrimonio di quest’ultima, comunque separato da quello dell'ente conferente le risorse finanziarie (nella specie, le sezioni unite, nel cassare la decisione del giudice contabile, hanno altresì posto in evidenza che la fondazione Federico II perseguiva bensì finalità di interesse pubblico — la diffusione e la conoscenza dei valori e del patrimonio culturale della Sicilia —, ma queste non costituivano delega di funzioni istituzionali; dal sito della fondazione e dal suo statuto — &lt;www.federicosecondo.org/statuto&gt; — si apprende, peraltro, che la fondazione Federico II, istituita con l. reg. 9 dicembre 1996 n. 44, è un ente di diritto pubblico, la cui personalità giuridica è stata riconosciuta nell'agosto 1997 con decreto del presidente della regione siciliana). </w:t>
      </w:r>
    </w:p>
    <w:p w14:paraId="797F41F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III.3. - Secondo le ordinanze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III (22713/19) 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xml:space="preserve"> IV (22712/19), la s.p.a. Eur, risultante dalla trasformazione (con il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304/99) dell'ente pubblico Esposizione universale di Roma (istituito dalla l. 2174/36), svolge molteplici attività di natura economica e commerciale, senza alcuna implicazione sul piano amministrativo (quanto meno in termini di funzioni pubbliche a carattere autoritativo) e, quindi, interamente sottoposte alle regole civilistiche in materia di società. </w:t>
      </w:r>
    </w:p>
    <w:p w14:paraId="2211C911"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Va considerato, al riguardo, che il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n. 304 cit., nel prevedere la costituzione della società Eur, aveva previsto, da un lato, il trasferimento al comune di Roma (poi avvenuto) della proprietà delle strade e piazze di pubblica viabilità, della rete fognaria e delle infrastrutture di pubblici servizi già attribuite all'ente Eur (art. 4, 1° comma); dall'altro lato, la stipula di convenzioni tra il comune di Roma ed Eur s.p.a. per la gestione coordinata e integrata dei servizi relativi alle aree ed al quartiere dell'Eur (art. 4, 4° comma). Inoltre, aveva stabilito che la società avesse ad oggetto, «in particolare», «la gestione e la valorizzazione del complesso dei beni» attribuiti alla società, «compresa l'utilizzazione dei beni immobili per la promozione ovvero per l'organizzazione di iniziative nel campo congressuale espositivo, artistico, sportivo e ricreativo, ivi inclusi i servizi connessi a dette attività» (art. 3). Di qui, e dalla circostanza che la società è autorizzata, in base allo statuto (art. 4), a compiere tutte le operazioni mobiliari e immobiliari ritenute utili, nonché ad assumere partecipazioni in altre società o enti costituiti o da costituire, le ordinanze in epigrafe fanno discendere che la società agisce esclusivamente «in esplicazione della propria libertà di iniziativa economica privata, che, quand'anche orientata all'interesse generale, non rimane per ciò stesso attratta nel dominio pubblicistico» (così richiamandosi, ancora una volta, a Cass. 30978/17, cit.).</w:t>
      </w:r>
    </w:p>
    <w:p w14:paraId="1F5B573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0E2E6C45"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Aggiungono le due ordinanze (sempre sulla scorta di Cass. 30978/17, cit.) che l'attività d'impresa «non è [...] incompatibile con il perseguimento di interessi generali». In tal senso, Cass. 30978/17 richiamava, da un lato, il parere di Cons. Stato, comm. spec., 21 aprile 2016, n. 968, &lt;www.giustizia-amministrativa.it&gt;, sullo schema di decreto legislativo recante il testo unico delle società a partecipazione pubblica [poi divenuto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175/16], che aveva riconosciuto, anche con riferimento al quadro normativo previgente, la compatibilità tra «scopo pubblico» e «scopo lucrativo» di tali società; dall'altro lato, che la legislazione ben conosce la possibilità che organizzazioni private, comprese quelle in forma societaria, possano «esercita[re] in via stabile e principale un'attività economica organizzata al fine della produzione o dello scambio di beni o servizi di utilità sociale, diretta a realizzare finalità di interesse generale» (art. 1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155/06 e art. 1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112/17, in materia di impresa sociale). Di più, la circostanza che il </w:t>
      </w:r>
      <w:r w:rsidRPr="00545BEB">
        <w:rPr>
          <w:rFonts w:ascii="Lato" w:eastAsia="Times New Roman" w:hAnsi="Lato" w:cs="Times New Roman"/>
          <w:color w:val="000000"/>
          <w:spacing w:val="5"/>
          <w:sz w:val="24"/>
          <w:szCs w:val="24"/>
          <w:lang w:eastAsia="it-IT"/>
        </w:rPr>
        <w:lastRenderedPageBreak/>
        <w:t xml:space="preserve">legislatore abbia sottoposto le società a partecipazione pubblica a vincoli di attività e di scopo (art. 4 </w:t>
      </w:r>
      <w:proofErr w:type="spellStart"/>
      <w:r w:rsidRPr="00545BEB">
        <w:rPr>
          <w:rFonts w:ascii="Lato" w:eastAsia="Times New Roman" w:hAnsi="Lato" w:cs="Times New Roman"/>
          <w:color w:val="000000"/>
          <w:spacing w:val="5"/>
          <w:sz w:val="24"/>
          <w:szCs w:val="24"/>
          <w:lang w:eastAsia="it-IT"/>
        </w:rPr>
        <w:t>t.u.</w:t>
      </w:r>
      <w:proofErr w:type="spellEnd"/>
      <w:r w:rsidRPr="00545BEB">
        <w:rPr>
          <w:rFonts w:ascii="Lato" w:eastAsia="Times New Roman" w:hAnsi="Lato" w:cs="Times New Roman"/>
          <w:color w:val="000000"/>
          <w:spacing w:val="5"/>
          <w:sz w:val="24"/>
          <w:szCs w:val="24"/>
          <w:lang w:eastAsia="it-IT"/>
        </w:rPr>
        <w:t xml:space="preserve"> n. 175 cit.) e, al contempo, abbia stabilito che ad esse si applicano «le norme sulle società contenute nel codice civile e le norme generali di diritto privato» (art. 1, 3° comma, </w:t>
      </w:r>
      <w:proofErr w:type="spellStart"/>
      <w:r w:rsidRPr="00545BEB">
        <w:rPr>
          <w:rFonts w:ascii="Lato" w:eastAsia="Times New Roman" w:hAnsi="Lato" w:cs="Times New Roman"/>
          <w:color w:val="000000"/>
          <w:spacing w:val="5"/>
          <w:sz w:val="24"/>
          <w:szCs w:val="24"/>
          <w:lang w:eastAsia="it-IT"/>
        </w:rPr>
        <w:t>t.u.</w:t>
      </w:r>
      <w:proofErr w:type="spellEnd"/>
      <w:r w:rsidRPr="00545BEB">
        <w:rPr>
          <w:rFonts w:ascii="Lato" w:eastAsia="Times New Roman" w:hAnsi="Lato" w:cs="Times New Roman"/>
          <w:color w:val="000000"/>
          <w:spacing w:val="5"/>
          <w:sz w:val="24"/>
          <w:szCs w:val="24"/>
          <w:lang w:eastAsia="it-IT"/>
        </w:rPr>
        <w:t xml:space="preserve"> n. 175 cit.), pur con le deroghe previste dal medesimo testo unico, faceva ritenere alla stessa Cass. 30978/17 — come detto più sopra — che, «anche quando l'attività svolta (da una società a partecipazione pubblica) si connoti in senso marcatamente pubblicistico, in termini di servizio pubblico o in relazione agli appalti pubblici», «l'ente societario [rimane titolare] di una propria e autonoma soggettività giuridica nell'alveo della disciplina privatistica, salve le deroghe, eccezionali, previste dal medesimo testo unico». Ne discende, secondo le due ordinanze (ancora riprendendo Cass. 30978/17), che la compartecipazione di soggetti privati alla realizzazione di scopi pubblici non è «elemento sufficiente a tramutare la forma e la natura dell'ente [societario], e, conseguentemente, a radicare la giurisdizione contabile», poiché un rapporto di servizio — quale presupposto della responsabilità erariale (v. </w:t>
      </w:r>
      <w:r w:rsidRPr="00545BEB">
        <w:rPr>
          <w:rFonts w:ascii="Lato" w:eastAsia="Times New Roman" w:hAnsi="Lato" w:cs="Times New Roman"/>
          <w:i/>
          <w:iCs/>
          <w:color w:val="000000"/>
          <w:spacing w:val="5"/>
          <w:sz w:val="24"/>
          <w:szCs w:val="24"/>
          <w:lang w:eastAsia="it-IT"/>
        </w:rPr>
        <w:t>retro</w:t>
      </w:r>
      <w:r w:rsidRPr="00545BEB">
        <w:rPr>
          <w:rFonts w:ascii="Lato" w:eastAsia="Times New Roman" w:hAnsi="Lato" w:cs="Times New Roman"/>
          <w:color w:val="000000"/>
          <w:spacing w:val="5"/>
          <w:sz w:val="24"/>
          <w:szCs w:val="24"/>
          <w:lang w:eastAsia="it-IT"/>
        </w:rPr>
        <w:t>, par. II.1) — può essere senz’altro «configurabile con i soggetti chiamati a controllare e vigilare l'uso del denaro pubblico impiegato dai soggetti privati di cui l'amministrazione si avvale, ma non direttamente con questi ultimi, in specie con società di diritto privato, e tantomeno con i dirigenti o i dipendenti di esse». Non è vero, invece, il contrario e, cioè, che fra costoro e l'ente pubblico-socio non possa, in ipotesi, instaurarsi un rapporto di servizio, ove gli amministratori (o i sindaci, o i dipendenti) della società pongano in essere, nell'esercizio delle loro funzioni, comportamenti dannosi che, collocandosi nel campo dei procedimenti amministrativi dell'ente, incidano direttamente sul patrimonio di questo: v. </w:t>
      </w:r>
      <w:r w:rsidRPr="00545BEB">
        <w:rPr>
          <w:rFonts w:ascii="Lato" w:eastAsia="Times New Roman" w:hAnsi="Lato" w:cs="Times New Roman"/>
          <w:i/>
          <w:iCs/>
          <w:color w:val="000000"/>
          <w:spacing w:val="5"/>
          <w:sz w:val="24"/>
          <w:szCs w:val="24"/>
          <w:lang w:eastAsia="it-IT"/>
        </w:rPr>
        <w:t>retro</w:t>
      </w:r>
      <w:r w:rsidRPr="00545BEB">
        <w:rPr>
          <w:rFonts w:ascii="Lato" w:eastAsia="Times New Roman" w:hAnsi="Lato" w:cs="Times New Roman"/>
          <w:color w:val="000000"/>
          <w:spacing w:val="5"/>
          <w:sz w:val="24"/>
          <w:szCs w:val="24"/>
          <w:lang w:eastAsia="it-IT"/>
        </w:rPr>
        <w:t>, par. II.2,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1). </w:t>
      </w:r>
    </w:p>
    <w:p w14:paraId="25FC53E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Nella vicenda giudiziaria oggetto delle ordinanze in epigrafe non veniva, comunque, neppure ipotizzato il carattere strumentale dell'attività svolta da Eur s.p.a. rispetto a finalità di ordine pubblicistico, onde si verte — secondo la Suprema corte — in un caso di assoluta estraneità di quella attività all'area delle pubbliche amministrazioni e delle responsabilità erariali per i danni prodotti alla società dai suoi amministratori (sindaci o dipendenti). Inoltre, la natura commerciale dell'attività svolta dalla società e, pertanto, l'assenza di qualsiasi rapporto di servizio con gli enti soci per l'attuazione delle finalità pubblicistiche loro proprie impediscono di inquadrare la società, per un verso, nel novero delle società legali (cioè delle società con sostanziale natura di enti pubblici) e, per altro verso, fra le società in house (cioè delle società che, per i compiti svolti e per i poteri di gestione degli enti soci, costituiscono mere articolazioni organizzative degli enti stessi).</w:t>
      </w:r>
    </w:p>
    <w:p w14:paraId="5C2ABD2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w:t>
      </w:r>
    </w:p>
    <w:p w14:paraId="6EA72F8C"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L'ordinanza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IV (22712/19) riferisce che Corte conti, sez. giur. reg. Lazio, 304/16 avrebbe già escluso, relativamente alla società Eur s.p.a., «la ricorrenza delle caratteristiche della società in house», pur in presenza «di una partecipazione totalitaria da parte dell'ente pubblico», non essendo d'altro canto «revocabile in dubbio che quello di Eur s.p.a. sia un patrimonio distinto e separato da quello delle amministrazioni partecipanti». La sentenza non è, tuttavia, rinvenibile (neppure con altra numerazione o datazione), nella banca dati della Corte dei conti (&lt;www.corteconti.it&gt;). </w:t>
      </w:r>
    </w:p>
    <w:p w14:paraId="1ED7F86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III.3.1. - Da segnalare, altresì, che Eur s.p.a. e le società che da essa dipendono sono espressamente escluse (art. 26, 2° comma, e </w:t>
      </w:r>
      <w:proofErr w:type="spellStart"/>
      <w:r w:rsidRPr="00545BEB">
        <w:rPr>
          <w:rFonts w:ascii="Lato" w:eastAsia="Times New Roman" w:hAnsi="Lato" w:cs="Times New Roman"/>
          <w:color w:val="000000"/>
          <w:spacing w:val="5"/>
          <w:sz w:val="24"/>
          <w:szCs w:val="24"/>
          <w:lang w:eastAsia="it-IT"/>
        </w:rPr>
        <w:t>all</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xml:space="preserve">,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175/16) dall'applicazione delle limitazioni normative (consistenti nel divieto alle amministrazioni pubbliche di costituire o acquisire partecipazioni in società «aventi per oggetto attività di produzione di beni e servizi non strettamente necessarie per il perseguimento delle proprie finalità istituzionali») fissate dall'art. 4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n. 175 cit. alle finalità perseguibili dalle amministrazioni pubbliche mediante società da esse costituite o partecipate. Norma, </w:t>
      </w:r>
      <w:r w:rsidRPr="00545BEB">
        <w:rPr>
          <w:rFonts w:ascii="Lato" w:eastAsia="Times New Roman" w:hAnsi="Lato" w:cs="Times New Roman"/>
          <w:color w:val="000000"/>
          <w:spacing w:val="5"/>
          <w:sz w:val="24"/>
          <w:szCs w:val="24"/>
          <w:lang w:eastAsia="it-IT"/>
        </w:rPr>
        <w:lastRenderedPageBreak/>
        <w:t>quest’ultima, senz’altro applicabile nel giudizio di responsabilità amministrativa instaurato dalla procura contabile, ma ignorata sia dalla stessa procura, sia dalle ordinanze in epigrafe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III e IV, benché sarebbe bastato richiamarsi ad essa per argomentare che Eur s.p.a. (e, anzi, il «gruppo Eur», così indicato nell'</w:t>
      </w:r>
      <w:proofErr w:type="spellStart"/>
      <w:r w:rsidRPr="00545BEB">
        <w:rPr>
          <w:rFonts w:ascii="Lato" w:eastAsia="Times New Roman" w:hAnsi="Lato" w:cs="Times New Roman"/>
          <w:color w:val="000000"/>
          <w:spacing w:val="5"/>
          <w:sz w:val="24"/>
          <w:szCs w:val="24"/>
          <w:lang w:eastAsia="it-IT"/>
        </w:rPr>
        <w:t>all</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n. 175 cit.) è una società (in controllo pubblico) </w:t>
      </w:r>
      <w:r w:rsidRPr="00545BEB">
        <w:rPr>
          <w:rFonts w:ascii="Lato" w:eastAsia="Times New Roman" w:hAnsi="Lato" w:cs="Times New Roman"/>
          <w:i/>
          <w:iCs/>
          <w:color w:val="000000"/>
          <w:spacing w:val="5"/>
          <w:sz w:val="24"/>
          <w:szCs w:val="24"/>
          <w:lang w:eastAsia="it-IT"/>
        </w:rPr>
        <w:t>sui generis</w:t>
      </w:r>
      <w:r w:rsidRPr="00545BEB">
        <w:rPr>
          <w:rFonts w:ascii="Lato" w:eastAsia="Times New Roman" w:hAnsi="Lato" w:cs="Times New Roman"/>
          <w:color w:val="000000"/>
          <w:spacing w:val="5"/>
          <w:sz w:val="24"/>
          <w:szCs w:val="24"/>
          <w:lang w:eastAsia="it-IT"/>
        </w:rPr>
        <w:t xml:space="preserve">, operante in deroga alle regole che legittimano, in base al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xml:space="preserve">. n. 175, la costituzione e la gestione di società da parte di amministrazioni pubbliche; una società, quindi, che (come le altre indicate nel citato </w:t>
      </w:r>
      <w:proofErr w:type="spellStart"/>
      <w:r w:rsidRPr="00545BEB">
        <w:rPr>
          <w:rFonts w:ascii="Lato" w:eastAsia="Times New Roman" w:hAnsi="Lato" w:cs="Times New Roman"/>
          <w:color w:val="000000"/>
          <w:spacing w:val="5"/>
          <w:sz w:val="24"/>
          <w:szCs w:val="24"/>
          <w:lang w:eastAsia="it-IT"/>
        </w:rPr>
        <w:t>all</w:t>
      </w:r>
      <w:proofErr w:type="spellEnd"/>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xml:space="preserve">) presenta caratteristiche uguali e opposte a quelle di una c.d. società legale (o società-ente pubblico), trattandosi di un soggetto che, pur essendo indiscutibilmente in controllo pubblico, è «sganciato» da ogni rapporto di strumentalità con le «finalità istituzionali» delle stesse amministrazioni, richiesto dal citato art. 4, 1° comma,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n. 175 come condizione per l'acquisizione o il mantenimento di partecipazioni sociali. Come dire che, attraverso la partecipazione alla Eur s.p.a., lo Stato (il ministero dell'economia) e il comune di Roma sono autorizzati a svolgere attività e a perseguire finalità di tipo economico e commerciale, anche estranee a quelle istituzionali dei suoi soci, alla stregua di ordinari operatori di mercato, con risorse e finanziamenti a carico dei bilanci dello Stato e del comune di Roma. Il che, al di là di tale singolare configurazione, sarebbe stato di per sé sufficiente a giustificare la sottoposizione della s.p.a. Eur alle regole del mercato e del codice civile, con le connesse implicazioni in tema di responsabilità dei suoi amministratori. </w:t>
      </w:r>
    </w:p>
    <w:p w14:paraId="5E619302"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III.3.2. - Con particolare riferimento all'ordinanza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IV (22712/19), l'esclusione di un danno erariale a carico del progettista-direttore artistico dell'opera pubblica e della connessa giurisdizione contabile è argomentata anche con la circostanza che egli si era limitato ad accettare gli incarichi (di progettista e di direttore artistico) conferitigli dall'ente Eur, cosicché ogni responsabilità da inadempimento — come quella contestata dalla procura contabile — non poteva che essere conosciuta dall'autorità giudiziaria ordinaria alla stregua della disciplina civilistica, «in quanto, diversamente, si [sarebbe venuti] ad inammissibilmente riversare in capo al professionista l'obbligo, che non gli fa carico, di sindacare — in relazione a canoni di buona amministrazione — la congruità della proposta, addirittura ‘anticipando il futuro giudizio del giudice contabile’» (in tal senso, v. già, citata in motivazione, Cass. 19 maggio 2016, n. 10324,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xml:space="preserve">., Rep. 2016, voce cit., n. 21). Inoltre, l'attività di progettista esclude, secondo consolidata giurisprudenza, ogni rapporto di servizio con la pubblica amministrazione, «nonché di un danno direttamente arrecato allo Stato o ad altro ente pubblico, idonei a radicare la giurisdizione della Corte dei conti» (v., fra le altre, Cass.,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22 settembre 2014, n. 19891,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2015, voce cit., n. 38). </w:t>
      </w:r>
    </w:p>
    <w:p w14:paraId="60519CC6"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Sia l'ordinanza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IV che quella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III rilevano, poi, l'assenza, nell'azione di responsabilità erariale intentata nei confronti degli amministratori della società, di ogni riferimento all'aver essi prodotto, con l'asseritamente illecito affidamento delle prestazioni di «direzione artistica» al progettista dell'opera, un qualche pregiudizio alla ragion d'essere della partecipazione sociale detenuta dai due enti pubblici, ovvero una lesione diretta al patrimonio di uno o di entrambi gli stessi enti. </w:t>
      </w:r>
    </w:p>
    <w:p w14:paraId="35F84B18"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III.3.3. - La singolarità, o, almeno, la problematicità, del caso esaminato dalle ordinanze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III e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xml:space="preserve"> IV trova conferma nella seguente affermazione, contenuta nell'ultimo periodo dello ‘svolgimento del </w:t>
      </w:r>
      <w:proofErr w:type="spellStart"/>
      <w:r w:rsidRPr="00545BEB">
        <w:rPr>
          <w:rFonts w:ascii="Lato" w:eastAsia="Times New Roman" w:hAnsi="Lato" w:cs="Times New Roman"/>
          <w:color w:val="000000"/>
          <w:spacing w:val="5"/>
          <w:sz w:val="24"/>
          <w:szCs w:val="24"/>
          <w:lang w:eastAsia="it-IT"/>
        </w:rPr>
        <w:t>processo’</w:t>
      </w:r>
      <w:proofErr w:type="spellEnd"/>
      <w:r w:rsidRPr="00545BEB">
        <w:rPr>
          <w:rFonts w:ascii="Lato" w:eastAsia="Times New Roman" w:hAnsi="Lato" w:cs="Times New Roman"/>
          <w:color w:val="000000"/>
          <w:spacing w:val="5"/>
          <w:sz w:val="24"/>
          <w:szCs w:val="24"/>
          <w:lang w:eastAsia="it-IT"/>
        </w:rPr>
        <w:t xml:space="preserve"> di entrambe le pronunce: «Il procuratore generale presso la Corte suprema di cassazione ha, con requisitoria scritta del 9 ottobre 2018, chiesto che venga dichiarata la giurisdizione del giudice contabile; e, con requisitoria scritta del 29 ottobre 2018, chiesto che in accoglimento dei ricorsi venga dichiarata la giurisdizione del giudice ordinario». </w:t>
      </w:r>
    </w:p>
    <w:p w14:paraId="1165B887"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lastRenderedPageBreak/>
        <w:t>III.3.4. - Nel senso che l'Eur s.p.a., proprio in quanto avente ad oggetto lo svolgimento nel mercato di «attività commerciale o, comunque, economica» e non attività riferibili a funzioni dello Stato o ad altri enti pubblici, non può risultare beneficiaria dell'esenzione dall'Irpeg ai sensi dell'art. 88 (ora 74) d.p.r. 917/17, né può fruire delle agevolazioni di cui all'art. 5 d.p.r. 601/73, riservate allo Stato e agli enti territoriali ivi elencati, v. Cass. 16 gennaio 2019, n. 955,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Le banche dati</w:t>
      </w:r>
      <w:r w:rsidRPr="00545BEB">
        <w:rPr>
          <w:rFonts w:ascii="Lato" w:eastAsia="Times New Roman" w:hAnsi="Lato" w:cs="Times New Roman"/>
          <w:color w:val="000000"/>
          <w:spacing w:val="5"/>
          <w:sz w:val="24"/>
          <w:szCs w:val="24"/>
          <w:lang w:eastAsia="it-IT"/>
        </w:rPr>
        <w:t>, archivio cit. </w:t>
      </w:r>
    </w:p>
    <w:p w14:paraId="0664E099"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Nel senso che l'Eur s.p.a. è da qualificare come organismo di diritto pubblico, a norma dell'art. 2, 2° comma, lett. </w:t>
      </w:r>
      <w:r w:rsidRPr="00545BEB">
        <w:rPr>
          <w:rFonts w:ascii="Lato" w:eastAsia="Times New Roman" w:hAnsi="Lato" w:cs="Times New Roman"/>
          <w:i/>
          <w:iCs/>
          <w:color w:val="000000"/>
          <w:spacing w:val="5"/>
          <w:sz w:val="24"/>
          <w:szCs w:val="24"/>
          <w:lang w:eastAsia="it-IT"/>
        </w:rPr>
        <w:t>a</w:t>
      </w:r>
      <w:r w:rsidRPr="00545BEB">
        <w:rPr>
          <w:rFonts w:ascii="Lato" w:eastAsia="Times New Roman" w:hAnsi="Lato" w:cs="Times New Roman"/>
          <w:color w:val="000000"/>
          <w:spacing w:val="5"/>
          <w:sz w:val="24"/>
          <w:szCs w:val="24"/>
          <w:lang w:eastAsia="it-IT"/>
        </w:rPr>
        <w:t xml:space="preserve">), ultimo inciso, l. 11 febbraio 1994 n. 109 e successive modificazioni, v. Autorità </w:t>
      </w:r>
      <w:proofErr w:type="spellStart"/>
      <w:r w:rsidRPr="00545BEB">
        <w:rPr>
          <w:rFonts w:ascii="Lato" w:eastAsia="Times New Roman" w:hAnsi="Lato" w:cs="Times New Roman"/>
          <w:color w:val="000000"/>
          <w:spacing w:val="5"/>
          <w:sz w:val="24"/>
          <w:szCs w:val="24"/>
          <w:lang w:eastAsia="it-IT"/>
        </w:rPr>
        <w:t>vigil</w:t>
      </w:r>
      <w:proofErr w:type="spellEnd"/>
      <w:r w:rsidRPr="00545BEB">
        <w:rPr>
          <w:rFonts w:ascii="Lato" w:eastAsia="Times New Roman" w:hAnsi="Lato" w:cs="Times New Roman"/>
          <w:color w:val="000000"/>
          <w:spacing w:val="5"/>
          <w:sz w:val="24"/>
          <w:szCs w:val="24"/>
          <w:lang w:eastAsia="it-IT"/>
        </w:rPr>
        <w:t>. lavori pubbl. 3 agosto 2000,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2001, voce </w:t>
      </w:r>
      <w:r w:rsidRPr="00545BEB">
        <w:rPr>
          <w:rFonts w:ascii="Lato" w:eastAsia="Times New Roman" w:hAnsi="Lato" w:cs="Times New Roman"/>
          <w:i/>
          <w:iCs/>
          <w:color w:val="000000"/>
          <w:spacing w:val="5"/>
          <w:sz w:val="24"/>
          <w:szCs w:val="24"/>
          <w:lang w:eastAsia="it-IT"/>
        </w:rPr>
        <w:t>Opere pubbliche</w:t>
      </w:r>
      <w:r w:rsidRPr="00545BEB">
        <w:rPr>
          <w:rFonts w:ascii="Lato" w:eastAsia="Times New Roman" w:hAnsi="Lato" w:cs="Times New Roman"/>
          <w:color w:val="000000"/>
          <w:spacing w:val="5"/>
          <w:sz w:val="24"/>
          <w:szCs w:val="24"/>
          <w:lang w:eastAsia="it-IT"/>
        </w:rPr>
        <w:t>, n. 216 (annotata da R. Luce, </w:t>
      </w:r>
      <w:r w:rsidRPr="00545BEB">
        <w:rPr>
          <w:rFonts w:ascii="Lato" w:eastAsia="Times New Roman" w:hAnsi="Lato" w:cs="Times New Roman"/>
          <w:i/>
          <w:iCs/>
          <w:color w:val="000000"/>
          <w:spacing w:val="5"/>
          <w:sz w:val="24"/>
          <w:szCs w:val="24"/>
          <w:lang w:eastAsia="it-IT"/>
        </w:rPr>
        <w:t>Gli organismi di diritto pubblico</w:t>
      </w:r>
      <w:r w:rsidRPr="00545BEB">
        <w:rPr>
          <w:rFonts w:ascii="Lato" w:eastAsia="Times New Roman" w:hAnsi="Lato" w:cs="Times New Roman"/>
          <w:color w:val="000000"/>
          <w:spacing w:val="5"/>
          <w:sz w:val="24"/>
          <w:szCs w:val="24"/>
          <w:lang w:eastAsia="it-IT"/>
        </w:rPr>
        <w:t>, in </w:t>
      </w:r>
      <w:r w:rsidRPr="00545BEB">
        <w:rPr>
          <w:rFonts w:ascii="Lato" w:eastAsia="Times New Roman" w:hAnsi="Lato" w:cs="Times New Roman"/>
          <w:i/>
          <w:iCs/>
          <w:color w:val="000000"/>
          <w:spacing w:val="5"/>
          <w:sz w:val="24"/>
          <w:szCs w:val="24"/>
          <w:lang w:eastAsia="it-IT"/>
        </w:rPr>
        <w:t xml:space="preserve">Giornale dir. </w:t>
      </w:r>
      <w:proofErr w:type="spellStart"/>
      <w:r w:rsidRPr="00545BEB">
        <w:rPr>
          <w:rFonts w:ascii="Lato" w:eastAsia="Times New Roman" w:hAnsi="Lato" w:cs="Times New Roman"/>
          <w:i/>
          <w:iCs/>
          <w:color w:val="000000"/>
          <w:spacing w:val="5"/>
          <w:sz w:val="24"/>
          <w:szCs w:val="24"/>
          <w:lang w:eastAsia="it-IT"/>
        </w:rPr>
        <w:t>amm</w:t>
      </w:r>
      <w:proofErr w:type="spellEnd"/>
      <w:r w:rsidRPr="00545BEB">
        <w:rPr>
          <w:rFonts w:ascii="Lato" w:eastAsia="Times New Roman" w:hAnsi="Lato" w:cs="Times New Roman"/>
          <w:color w:val="000000"/>
          <w:spacing w:val="5"/>
          <w:sz w:val="24"/>
          <w:szCs w:val="24"/>
          <w:lang w:eastAsia="it-IT"/>
        </w:rPr>
        <w:t>., 2001, 287). </w:t>
      </w:r>
    </w:p>
    <w:p w14:paraId="670900FB"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 xml:space="preserve">Quanto agli effetti della trasformazione, ai sensi del </w:t>
      </w:r>
      <w:proofErr w:type="spellStart"/>
      <w:r w:rsidRPr="00545BEB">
        <w:rPr>
          <w:rFonts w:ascii="Lato" w:eastAsia="Times New Roman" w:hAnsi="Lato" w:cs="Times New Roman"/>
          <w:color w:val="000000"/>
          <w:spacing w:val="5"/>
          <w:sz w:val="24"/>
          <w:szCs w:val="24"/>
          <w:lang w:eastAsia="it-IT"/>
        </w:rPr>
        <w:t>d.leg</w:t>
      </w:r>
      <w:proofErr w:type="spellEnd"/>
      <w:r w:rsidRPr="00545BEB">
        <w:rPr>
          <w:rFonts w:ascii="Lato" w:eastAsia="Times New Roman" w:hAnsi="Lato" w:cs="Times New Roman"/>
          <w:color w:val="000000"/>
          <w:spacing w:val="5"/>
          <w:sz w:val="24"/>
          <w:szCs w:val="24"/>
          <w:lang w:eastAsia="it-IT"/>
        </w:rPr>
        <w:t>. 304/99, dell'ente autonomo Esposizione universale Roma (Eur) in società per azioni (Eur s.p.a.), nel senso che, a far tempo dal 15 marzo 2000, data dalla quale è stata trasferita al comune di Roma la proprietà di tutte le strade e piazze già attribuite all'ente Eur e dalla quale è stata prevista la successione del comune nei rapporti attivi e passivi inerenti ai predetti beni, qualsiasi credito inerente alle menzionate strade e piazze è transitato, con la citata decorrenza, in capo al comune, con la conseguenza che, qualora l'ente abbia agito nei confronti di un privato per ottenere l'adempimento di un'obbligazione relativa agli stessi beni (nella specie, il pagamento di un canone di occupazione per l'apposizione di un cartellone pubblicitario), è venuta meno nel corso del giudizio, per effetto dello </w:t>
      </w:r>
      <w:r w:rsidRPr="00545BEB">
        <w:rPr>
          <w:rFonts w:ascii="Lato" w:eastAsia="Times New Roman" w:hAnsi="Lato" w:cs="Times New Roman"/>
          <w:i/>
          <w:iCs/>
          <w:color w:val="000000"/>
          <w:spacing w:val="5"/>
          <w:sz w:val="24"/>
          <w:szCs w:val="24"/>
          <w:lang w:eastAsia="it-IT"/>
        </w:rPr>
        <w:t xml:space="preserve">ius </w:t>
      </w:r>
      <w:proofErr w:type="spellStart"/>
      <w:r w:rsidRPr="00545BEB">
        <w:rPr>
          <w:rFonts w:ascii="Lato" w:eastAsia="Times New Roman" w:hAnsi="Lato" w:cs="Times New Roman"/>
          <w:i/>
          <w:iCs/>
          <w:color w:val="000000"/>
          <w:spacing w:val="5"/>
          <w:sz w:val="24"/>
          <w:szCs w:val="24"/>
          <w:lang w:eastAsia="it-IT"/>
        </w:rPr>
        <w:t>superveniens</w:t>
      </w:r>
      <w:proofErr w:type="spellEnd"/>
      <w:r w:rsidRPr="00545BEB">
        <w:rPr>
          <w:rFonts w:ascii="Lato" w:eastAsia="Times New Roman" w:hAnsi="Lato" w:cs="Times New Roman"/>
          <w:color w:val="000000"/>
          <w:spacing w:val="5"/>
          <w:sz w:val="24"/>
          <w:szCs w:val="24"/>
          <w:lang w:eastAsia="it-IT"/>
        </w:rPr>
        <w:t>, la legittimazione sostanziale dell'Eur a pretendere un credito ormai transitato in capo al comune, v. Cass. 3 novembre 2010, n. 22355, </w:t>
      </w:r>
      <w:r w:rsidRPr="00545BEB">
        <w:rPr>
          <w:rFonts w:ascii="Lato" w:eastAsia="Times New Roman" w:hAnsi="Lato" w:cs="Times New Roman"/>
          <w:i/>
          <w:iCs/>
          <w:color w:val="000000"/>
          <w:spacing w:val="5"/>
          <w:sz w:val="24"/>
          <w:szCs w:val="24"/>
          <w:lang w:eastAsia="it-IT"/>
        </w:rPr>
        <w:t xml:space="preserve">Foro </w:t>
      </w:r>
      <w:proofErr w:type="spellStart"/>
      <w:r w:rsidRPr="00545BEB">
        <w:rPr>
          <w:rFonts w:ascii="Lato" w:eastAsia="Times New Roman" w:hAnsi="Lato" w:cs="Times New Roman"/>
          <w:i/>
          <w:iCs/>
          <w:color w:val="000000"/>
          <w:spacing w:val="5"/>
          <w:sz w:val="24"/>
          <w:szCs w:val="24"/>
          <w:lang w:eastAsia="it-IT"/>
        </w:rPr>
        <w:t>it</w:t>
      </w:r>
      <w:proofErr w:type="spellEnd"/>
      <w:r w:rsidRPr="00545BEB">
        <w:rPr>
          <w:rFonts w:ascii="Lato" w:eastAsia="Times New Roman" w:hAnsi="Lato" w:cs="Times New Roman"/>
          <w:color w:val="000000"/>
          <w:spacing w:val="5"/>
          <w:sz w:val="24"/>
          <w:szCs w:val="24"/>
          <w:lang w:eastAsia="it-IT"/>
        </w:rPr>
        <w:t>., Rep. 2010, voce </w:t>
      </w:r>
      <w:r w:rsidRPr="00545BEB">
        <w:rPr>
          <w:rFonts w:ascii="Lato" w:eastAsia="Times New Roman" w:hAnsi="Lato" w:cs="Times New Roman"/>
          <w:i/>
          <w:iCs/>
          <w:color w:val="000000"/>
          <w:spacing w:val="5"/>
          <w:sz w:val="24"/>
          <w:szCs w:val="24"/>
          <w:lang w:eastAsia="it-IT"/>
        </w:rPr>
        <w:t>Comune</w:t>
      </w:r>
      <w:r w:rsidRPr="00545BEB">
        <w:rPr>
          <w:rFonts w:ascii="Lato" w:eastAsia="Times New Roman" w:hAnsi="Lato" w:cs="Times New Roman"/>
          <w:color w:val="000000"/>
          <w:spacing w:val="5"/>
          <w:sz w:val="24"/>
          <w:szCs w:val="24"/>
          <w:lang w:eastAsia="it-IT"/>
        </w:rPr>
        <w:t>, n. 603; 28 agosto 2000, n. 11219,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2000, voce cit., n. 345 (che ha dichiarato inammissibile, per sopravvenuto difetto di interesse, il ricorso per cassazione proposto dall'ente nei confronti del comune di Roma, in relazione ad una controversia nella quale il primo pretendeva dal secondo somme di denaro per il servizio di nettezza urbana svolto negli anni dall'ente in strade e piazze sulle quali si sosteneva essersi consolidata una servitù di uso pubblico in favore del comune). </w:t>
      </w:r>
    </w:p>
    <w:p w14:paraId="5F778E40"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IV. - Sulla massima (2) dell'ordinanza </w:t>
      </w:r>
      <w:r w:rsidRPr="00545BEB">
        <w:rPr>
          <w:rFonts w:ascii="Lato" w:eastAsia="Times New Roman" w:hAnsi="Lato" w:cs="Times New Roman"/>
          <w:i/>
          <w:iCs/>
          <w:color w:val="000000"/>
          <w:spacing w:val="5"/>
          <w:sz w:val="24"/>
          <w:szCs w:val="24"/>
          <w:lang w:eastAsia="it-IT"/>
        </w:rPr>
        <w:t>sub</w:t>
      </w:r>
      <w:r w:rsidRPr="00545BEB">
        <w:rPr>
          <w:rFonts w:ascii="Lato" w:eastAsia="Times New Roman" w:hAnsi="Lato" w:cs="Times New Roman"/>
          <w:color w:val="000000"/>
          <w:spacing w:val="5"/>
          <w:sz w:val="24"/>
          <w:szCs w:val="24"/>
          <w:lang w:eastAsia="it-IT"/>
        </w:rPr>
        <w:t xml:space="preserve"> I (34471/19), nel senso che, qualora un atto, anche se denominato controricorso, non contesti il ricorso principale ma vi aderisca, esso deve qualificarsi come ricorso incidentale di tipo adesivo, con conseguente inapplicabilità dell'art. 334 c.p.c. in tema di impugnazione incidentale tardiva (v. Cass.,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13 ottobre 2017, n. 24155,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2017, voce </w:t>
      </w:r>
      <w:r w:rsidRPr="00545BEB">
        <w:rPr>
          <w:rFonts w:ascii="Lato" w:eastAsia="Times New Roman" w:hAnsi="Lato" w:cs="Times New Roman"/>
          <w:i/>
          <w:iCs/>
          <w:color w:val="000000"/>
          <w:spacing w:val="5"/>
          <w:sz w:val="24"/>
          <w:szCs w:val="24"/>
          <w:lang w:eastAsia="it-IT"/>
        </w:rPr>
        <w:t>Impugnazioni civili</w:t>
      </w:r>
      <w:r w:rsidRPr="00545BEB">
        <w:rPr>
          <w:rFonts w:ascii="Lato" w:eastAsia="Times New Roman" w:hAnsi="Lato" w:cs="Times New Roman"/>
          <w:color w:val="000000"/>
          <w:spacing w:val="5"/>
          <w:sz w:val="24"/>
          <w:szCs w:val="24"/>
          <w:lang w:eastAsia="it-IT"/>
        </w:rPr>
        <w:t>, n. 78), con la conseguenza che il soccombente deve impugnare la sentenza entro i termini di legge, poiché l'art. 334 cit., che consente l'impugnazione incidentale tardiva nei confronti di qualsiasi capo della sentenza impugnata </w:t>
      </w:r>
      <w:r w:rsidRPr="00545BEB">
        <w:rPr>
          <w:rFonts w:ascii="Lato" w:eastAsia="Times New Roman" w:hAnsi="Lato" w:cs="Times New Roman"/>
          <w:i/>
          <w:iCs/>
          <w:color w:val="000000"/>
          <w:spacing w:val="5"/>
          <w:sz w:val="24"/>
          <w:szCs w:val="24"/>
          <w:lang w:eastAsia="it-IT"/>
        </w:rPr>
        <w:t xml:space="preserve">ex </w:t>
      </w:r>
      <w:proofErr w:type="spellStart"/>
      <w:r w:rsidRPr="00545BEB">
        <w:rPr>
          <w:rFonts w:ascii="Lato" w:eastAsia="Times New Roman" w:hAnsi="Lato" w:cs="Times New Roman"/>
          <w:i/>
          <w:iCs/>
          <w:color w:val="000000"/>
          <w:spacing w:val="5"/>
          <w:sz w:val="24"/>
          <w:szCs w:val="24"/>
          <w:lang w:eastAsia="it-IT"/>
        </w:rPr>
        <w:t>adverso</w:t>
      </w:r>
      <w:proofErr w:type="spellEnd"/>
      <w:r w:rsidRPr="00545BEB">
        <w:rPr>
          <w:rFonts w:ascii="Lato" w:eastAsia="Times New Roman" w:hAnsi="Lato" w:cs="Times New Roman"/>
          <w:color w:val="000000"/>
          <w:spacing w:val="5"/>
          <w:sz w:val="24"/>
          <w:szCs w:val="24"/>
          <w:lang w:eastAsia="it-IT"/>
        </w:rPr>
        <w:t xml:space="preserve">, è applicabile solo all'impugnazione incidentale in senso stretto, cioè a quella proveniente dalla parte contro la quale è stata proposta l'impugnazione principale o che sia stata chiamata ad integrare il contraddittorio a norma dell'art. 331 c.p.c., mentre la parte che propone un ricorso incidentale adesivo a quello principale è tenuta a rispettare il termine lungo di cui all'art. 327, 1° comma, c.p.c., v., citate in motivazione, Cass., </w:t>
      </w:r>
      <w:proofErr w:type="spellStart"/>
      <w:r w:rsidRPr="00545BEB">
        <w:rPr>
          <w:rFonts w:ascii="Lato" w:eastAsia="Times New Roman" w:hAnsi="Lato" w:cs="Times New Roman"/>
          <w:color w:val="000000"/>
          <w:spacing w:val="5"/>
          <w:sz w:val="24"/>
          <w:szCs w:val="24"/>
          <w:lang w:eastAsia="it-IT"/>
        </w:rPr>
        <w:t>ord</w:t>
      </w:r>
      <w:proofErr w:type="spellEnd"/>
      <w:r w:rsidRPr="00545BEB">
        <w:rPr>
          <w:rFonts w:ascii="Lato" w:eastAsia="Times New Roman" w:hAnsi="Lato" w:cs="Times New Roman"/>
          <w:color w:val="000000"/>
          <w:spacing w:val="5"/>
          <w:sz w:val="24"/>
          <w:szCs w:val="24"/>
          <w:lang w:eastAsia="it-IT"/>
        </w:rPr>
        <w:t>. 7 marzo 2018, n. 5438,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w:t>
      </w:r>
      <w:r w:rsidRPr="00545BEB">
        <w:rPr>
          <w:rFonts w:ascii="Lato" w:eastAsia="Times New Roman" w:hAnsi="Lato" w:cs="Times New Roman"/>
          <w:i/>
          <w:iCs/>
          <w:color w:val="000000"/>
          <w:spacing w:val="5"/>
          <w:sz w:val="24"/>
          <w:szCs w:val="24"/>
          <w:lang w:eastAsia="it-IT"/>
        </w:rPr>
        <w:t>Le banche dati</w:t>
      </w:r>
      <w:r w:rsidRPr="00545BEB">
        <w:rPr>
          <w:rFonts w:ascii="Lato" w:eastAsia="Times New Roman" w:hAnsi="Lato" w:cs="Times New Roman"/>
          <w:color w:val="000000"/>
          <w:spacing w:val="5"/>
          <w:sz w:val="24"/>
          <w:szCs w:val="24"/>
          <w:lang w:eastAsia="it-IT"/>
        </w:rPr>
        <w:t>, archivio cit.; 18 maggio 2016, n. 10243, </w:t>
      </w:r>
      <w:r w:rsidRPr="00545BEB">
        <w:rPr>
          <w:rFonts w:ascii="Lato" w:eastAsia="Times New Roman" w:hAnsi="Lato" w:cs="Times New Roman"/>
          <w:i/>
          <w:iCs/>
          <w:color w:val="000000"/>
          <w:spacing w:val="5"/>
          <w:sz w:val="24"/>
          <w:szCs w:val="24"/>
          <w:lang w:eastAsia="it-IT"/>
        </w:rPr>
        <w:t>ibid</w:t>
      </w:r>
      <w:r w:rsidRPr="00545BEB">
        <w:rPr>
          <w:rFonts w:ascii="Lato" w:eastAsia="Times New Roman" w:hAnsi="Lato" w:cs="Times New Roman"/>
          <w:color w:val="000000"/>
          <w:spacing w:val="5"/>
          <w:sz w:val="24"/>
          <w:szCs w:val="24"/>
          <w:lang w:eastAsia="it-IT"/>
        </w:rPr>
        <w:t>.; 28 ottobre 2015, n. 21990, </w:t>
      </w:r>
      <w:r w:rsidRPr="00545BEB">
        <w:rPr>
          <w:rFonts w:ascii="Lato" w:eastAsia="Times New Roman" w:hAnsi="Lato" w:cs="Times New Roman"/>
          <w:i/>
          <w:iCs/>
          <w:color w:val="000000"/>
          <w:spacing w:val="5"/>
          <w:sz w:val="24"/>
          <w:szCs w:val="24"/>
          <w:lang w:eastAsia="it-IT"/>
        </w:rPr>
        <w:t>id</w:t>
      </w:r>
      <w:r w:rsidRPr="00545BEB">
        <w:rPr>
          <w:rFonts w:ascii="Lato" w:eastAsia="Times New Roman" w:hAnsi="Lato" w:cs="Times New Roman"/>
          <w:color w:val="000000"/>
          <w:spacing w:val="5"/>
          <w:sz w:val="24"/>
          <w:szCs w:val="24"/>
          <w:lang w:eastAsia="it-IT"/>
        </w:rPr>
        <w:t>., Rep. 2015, voce cit., n. 107. </w:t>
      </w:r>
    </w:p>
    <w:p w14:paraId="08990AC4" w14:textId="77777777" w:rsidR="00545BEB" w:rsidRPr="00545BEB" w:rsidRDefault="00545BEB" w:rsidP="00545BEB">
      <w:pPr>
        <w:shd w:val="clear" w:color="auto" w:fill="FFFFFF"/>
        <w:spacing w:after="0" w:line="240" w:lineRule="auto"/>
        <w:jc w:val="both"/>
        <w:rPr>
          <w:rFonts w:ascii="Lato" w:eastAsia="Times New Roman" w:hAnsi="Lato" w:cs="Times New Roman"/>
          <w:color w:val="000000"/>
          <w:spacing w:val="5"/>
          <w:sz w:val="24"/>
          <w:szCs w:val="24"/>
          <w:lang w:eastAsia="it-IT"/>
        </w:rPr>
      </w:pPr>
      <w:r w:rsidRPr="00545BEB">
        <w:rPr>
          <w:rFonts w:ascii="Lato" w:eastAsia="Times New Roman" w:hAnsi="Lato" w:cs="Times New Roman"/>
          <w:color w:val="000000"/>
          <w:spacing w:val="5"/>
          <w:sz w:val="24"/>
          <w:szCs w:val="24"/>
          <w:lang w:eastAsia="it-IT"/>
        </w:rPr>
        <w:t>Gaetano D'Auria</w:t>
      </w:r>
    </w:p>
    <w:p w14:paraId="0AF3E0D1" w14:textId="77777777" w:rsidR="00545BEB" w:rsidRDefault="00545BEB"/>
    <w:p w14:paraId="0805E262" w14:textId="77777777" w:rsidR="00586BA0" w:rsidRDefault="00586BA0"/>
    <w:p w14:paraId="49B9BC95" w14:textId="77777777" w:rsidR="00586BA0" w:rsidRDefault="00586BA0"/>
    <w:p w14:paraId="741634B0" w14:textId="77777777" w:rsidR="00586BA0" w:rsidRPr="00586BA0" w:rsidRDefault="00586BA0" w:rsidP="00586BA0">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586BA0">
        <w:rPr>
          <w:rFonts w:ascii="Lato" w:eastAsia="Times New Roman" w:hAnsi="Lato" w:cs="Times New Roman"/>
          <w:color w:val="3E4249"/>
          <w:spacing w:val="5"/>
          <w:kern w:val="36"/>
          <w:sz w:val="45"/>
          <w:szCs w:val="45"/>
          <w:lang w:eastAsia="it-IT"/>
        </w:rPr>
        <w:lastRenderedPageBreak/>
        <w:t xml:space="preserve">Corte di cassazione civile, sez. un., </w:t>
      </w:r>
      <w:proofErr w:type="spellStart"/>
      <w:r w:rsidRPr="00586BA0">
        <w:rPr>
          <w:rFonts w:ascii="Lato" w:eastAsia="Times New Roman" w:hAnsi="Lato" w:cs="Times New Roman"/>
          <w:color w:val="3E4249"/>
          <w:spacing w:val="5"/>
          <w:kern w:val="36"/>
          <w:sz w:val="45"/>
          <w:szCs w:val="45"/>
          <w:lang w:eastAsia="it-IT"/>
        </w:rPr>
        <w:t>ord</w:t>
      </w:r>
      <w:proofErr w:type="spellEnd"/>
      <w:r w:rsidRPr="00586BA0">
        <w:rPr>
          <w:rFonts w:ascii="Lato" w:eastAsia="Times New Roman" w:hAnsi="Lato" w:cs="Times New Roman"/>
          <w:color w:val="3E4249"/>
          <w:spacing w:val="5"/>
          <w:kern w:val="36"/>
          <w:sz w:val="45"/>
          <w:szCs w:val="45"/>
          <w:lang w:eastAsia="it-IT"/>
        </w:rPr>
        <w:t>., 27 dicembre 2017 n. 30978</w:t>
      </w:r>
    </w:p>
    <w:p w14:paraId="75F68E93" w14:textId="77777777" w:rsidR="00792D11" w:rsidRDefault="00792D11" w:rsidP="00586BA0">
      <w:pPr>
        <w:shd w:val="clear" w:color="auto" w:fill="FFFFFF"/>
        <w:spacing w:after="0" w:line="240" w:lineRule="auto"/>
        <w:jc w:val="both"/>
        <w:rPr>
          <w:rFonts w:ascii="Lato" w:eastAsia="Times New Roman" w:hAnsi="Lato" w:cs="Times New Roman"/>
          <w:b/>
          <w:bCs/>
          <w:color w:val="000000"/>
          <w:spacing w:val="5"/>
          <w:sz w:val="26"/>
          <w:szCs w:val="26"/>
          <w:lang w:eastAsia="it-IT"/>
        </w:rPr>
      </w:pPr>
    </w:p>
    <w:p w14:paraId="399812CB" w14:textId="31466DFF" w:rsidR="00586BA0" w:rsidRPr="00586BA0" w:rsidRDefault="00586BA0" w:rsidP="00586BA0">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586BA0">
        <w:rPr>
          <w:rFonts w:ascii="Lato" w:eastAsia="Times New Roman" w:hAnsi="Lato" w:cs="Times New Roman"/>
          <w:b/>
          <w:bCs/>
          <w:color w:val="000000"/>
          <w:spacing w:val="5"/>
          <w:sz w:val="26"/>
          <w:szCs w:val="26"/>
          <w:lang w:eastAsia="it-IT"/>
        </w:rPr>
        <w:t>Svolgimento del processo</w:t>
      </w:r>
    </w:p>
    <w:p w14:paraId="1A15D55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1) Con atto di citazione notificato in data 24 febbraio 2016, la Procura presso la Corte dei Conti di Torino conveniva in un giudizio di responsabilità per illecito erariale la Società Italferr S.p.A., società di progettazione del Gruppo Ferrovie dello Stato S.p.A. e di cui Ferrovie dello Stato è unico azionista, unitamente ad alcuni dipendenti dello stesso ente, nonché ad altri dipendenti di R.F.I. S.p.A., società gestore della rete ferroviaria nazionale, anch'essa partecipata al 100% dalla Capogruppo Ferrovie dello stato.</w:t>
      </w:r>
    </w:p>
    <w:p w14:paraId="52A6D535"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Segnatamente, l'imputazione veniva formulata, oltre che nei confronti di Italferr S.p.A., nei confronti di B.F., nella sua qualità di responsabile progetti investimento RFI S.p.A., C.R., in veste di dirigente direzionale investimenti RFI S.p.A., </w:t>
      </w:r>
      <w:proofErr w:type="spellStart"/>
      <w:r w:rsidRPr="00586BA0">
        <w:rPr>
          <w:rFonts w:ascii="Lato" w:eastAsia="Times New Roman" w:hAnsi="Lato" w:cs="Times New Roman"/>
          <w:color w:val="000000"/>
          <w:spacing w:val="5"/>
          <w:sz w:val="24"/>
          <w:szCs w:val="24"/>
          <w:lang w:eastAsia="it-IT"/>
        </w:rPr>
        <w:t>Ma.Do</w:t>
      </w:r>
      <w:proofErr w:type="spellEnd"/>
      <w:r w:rsidRPr="00586BA0">
        <w:rPr>
          <w:rFonts w:ascii="Lato" w:eastAsia="Times New Roman" w:hAnsi="Lato" w:cs="Times New Roman"/>
          <w:color w:val="000000"/>
          <w:spacing w:val="5"/>
          <w:sz w:val="24"/>
          <w:szCs w:val="24"/>
          <w:lang w:eastAsia="it-IT"/>
        </w:rPr>
        <w:t xml:space="preserve">., con il ruolo di dirigente direzionale legale RFI S.p.A., A.L., nella qualifica di </w:t>
      </w:r>
      <w:proofErr w:type="spellStart"/>
      <w:r w:rsidRPr="00586BA0">
        <w:rPr>
          <w:rFonts w:ascii="Lato" w:eastAsia="Times New Roman" w:hAnsi="Lato" w:cs="Times New Roman"/>
          <w:color w:val="000000"/>
          <w:spacing w:val="5"/>
          <w:sz w:val="24"/>
          <w:szCs w:val="24"/>
          <w:lang w:eastAsia="it-IT"/>
        </w:rPr>
        <w:t>diregente</w:t>
      </w:r>
      <w:proofErr w:type="spellEnd"/>
      <w:r w:rsidRPr="00586BA0">
        <w:rPr>
          <w:rFonts w:ascii="Lato" w:eastAsia="Times New Roman" w:hAnsi="Lato" w:cs="Times New Roman"/>
          <w:color w:val="000000"/>
          <w:spacing w:val="5"/>
          <w:sz w:val="24"/>
          <w:szCs w:val="24"/>
          <w:lang w:eastAsia="it-IT"/>
        </w:rPr>
        <w:t xml:space="preserve"> di Italferr S.p.A., </w:t>
      </w:r>
      <w:proofErr w:type="spellStart"/>
      <w:r w:rsidRPr="00586BA0">
        <w:rPr>
          <w:rFonts w:ascii="Lato" w:eastAsia="Times New Roman" w:hAnsi="Lato" w:cs="Times New Roman"/>
          <w:color w:val="000000"/>
          <w:spacing w:val="5"/>
          <w:sz w:val="24"/>
          <w:szCs w:val="24"/>
          <w:lang w:eastAsia="it-IT"/>
        </w:rPr>
        <w:t>Ca.Gi.Ma</w:t>
      </w:r>
      <w:proofErr w:type="spellEnd"/>
      <w:r w:rsidRPr="00586BA0">
        <w:rPr>
          <w:rFonts w:ascii="Lato" w:eastAsia="Times New Roman" w:hAnsi="Lato" w:cs="Times New Roman"/>
          <w:color w:val="000000"/>
          <w:spacing w:val="5"/>
          <w:sz w:val="24"/>
          <w:szCs w:val="24"/>
          <w:lang w:eastAsia="it-IT"/>
        </w:rPr>
        <w:t xml:space="preserve">., quale direttore lavori Italferr S.p.A., </w:t>
      </w:r>
      <w:proofErr w:type="spellStart"/>
      <w:r w:rsidRPr="00586BA0">
        <w:rPr>
          <w:rFonts w:ascii="Lato" w:eastAsia="Times New Roman" w:hAnsi="Lato" w:cs="Times New Roman"/>
          <w:color w:val="000000"/>
          <w:spacing w:val="5"/>
          <w:sz w:val="24"/>
          <w:szCs w:val="24"/>
          <w:lang w:eastAsia="it-IT"/>
        </w:rPr>
        <w:t>Me.Do</w:t>
      </w:r>
      <w:proofErr w:type="spellEnd"/>
      <w:r w:rsidRPr="00586BA0">
        <w:rPr>
          <w:rFonts w:ascii="Lato" w:eastAsia="Times New Roman" w:hAnsi="Lato" w:cs="Times New Roman"/>
          <w:color w:val="000000"/>
          <w:spacing w:val="5"/>
          <w:sz w:val="24"/>
          <w:szCs w:val="24"/>
          <w:lang w:eastAsia="it-IT"/>
        </w:rPr>
        <w:t xml:space="preserve">., nella veste di responsabile di procedimento di Italferr S.p.A. dal 2000 al 30 giugno 2004, </w:t>
      </w:r>
      <w:proofErr w:type="spellStart"/>
      <w:r w:rsidRPr="00586BA0">
        <w:rPr>
          <w:rFonts w:ascii="Lato" w:eastAsia="Times New Roman" w:hAnsi="Lato" w:cs="Times New Roman"/>
          <w:color w:val="000000"/>
          <w:spacing w:val="5"/>
          <w:sz w:val="24"/>
          <w:szCs w:val="24"/>
          <w:lang w:eastAsia="it-IT"/>
        </w:rPr>
        <w:t>Ma.Gu.La</w:t>
      </w:r>
      <w:proofErr w:type="spellEnd"/>
      <w:r w:rsidRPr="00586BA0">
        <w:rPr>
          <w:rFonts w:ascii="Lato" w:eastAsia="Times New Roman" w:hAnsi="Lato" w:cs="Times New Roman"/>
          <w:color w:val="000000"/>
          <w:spacing w:val="5"/>
          <w:sz w:val="24"/>
          <w:szCs w:val="24"/>
          <w:lang w:eastAsia="it-IT"/>
        </w:rPr>
        <w:t>., in qualità di responsabile del procedimento Italferr S.p.A. dal 1 luglio 2004.</w:t>
      </w:r>
    </w:p>
    <w:p w14:paraId="654E213A"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L'azione di danno veniva promossa innanzi alla Corte dei Conti per la Regione Piemonte in capo a detti soggetti, per aver causato un ingiusto danno "erariale" nei confronti di R.F.I., danno rappresentato in parte dalle somme indebitamente versate all'ATI Astaldi-Impresa Rosso, in forza dell'accordo bonario del 13 dicembre 2005, e in parte dalla mancata riscossione di somme dovute dall'ATI a titolo di penale per il ritardo nell'esecuzione di opere ferroviarie, per un importo complessivo di Euro 22.270.342,66.</w:t>
      </w:r>
    </w:p>
    <w:p w14:paraId="015D9926"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I lavori de qua si riferivano all'ampliamento del 2^ lotto del passante ferroviario di Torino oggetto della convenzione stipulata il 12 luglio 1999 dal Comune di Torino e Ferrovie dello Stato (successivamente R.F.I. </w:t>
      </w:r>
      <w:proofErr w:type="spellStart"/>
      <w:r w:rsidRPr="00586BA0">
        <w:rPr>
          <w:rFonts w:ascii="Lato" w:eastAsia="Times New Roman" w:hAnsi="Lato" w:cs="Times New Roman"/>
          <w:color w:val="000000"/>
          <w:spacing w:val="5"/>
          <w:sz w:val="24"/>
          <w:szCs w:val="24"/>
          <w:lang w:eastAsia="it-IT"/>
        </w:rPr>
        <w:t>S.p.A</w:t>
      </w:r>
      <w:proofErr w:type="spellEnd"/>
      <w:r w:rsidRPr="00586BA0">
        <w:rPr>
          <w:rFonts w:ascii="Lato" w:eastAsia="Times New Roman" w:hAnsi="Lato" w:cs="Times New Roman"/>
          <w:color w:val="000000"/>
          <w:spacing w:val="5"/>
          <w:sz w:val="24"/>
          <w:szCs w:val="24"/>
          <w:lang w:eastAsia="it-IT"/>
        </w:rPr>
        <w:t>). Le funzioni di stazione appaltante, la progettazione e la direzione lavori venivano affidate a Italferr S.p.A., sulla base del contratto del 20.9.94 intercorrente con R.F.I., in base al quale la Italferr svolgeva, per conto di RFI, la progettazione, la direzione dei lavori, i collaudi e la gestione dei rapporti contrattuali derivanti dagli appalti strumentali alla realizzazione degli interventi di potenziamento infrastrutturale della rete ferroviaria di cui R.F.I. è titolare. La realizzazione del lotto era stata appaltata, a seguito di licitazione privata, all'ATI suddetta con contratto stipulato con Italferr, sottoscritto in data 15 settembre 2000.</w:t>
      </w:r>
    </w:p>
    <w:p w14:paraId="7EC8E991"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Per contestare la giurisdizione della Corte dei Conti, ritenendo sussistente la giurisdizione del giudice ordinario, la Società Italferr e gli altri convenuti hanno proposto ricorso per regolamento preventivo alle Sezioni Unite della Corte di cassazione (n. 14890/16 di R. C. - 14895/16 di D. Ma. - 15069/16 ricorsi di L. A., L. M., D. Me., G.M. Ca. - 16336/16 di F. B. 16426/16 della società Italferr).</w:t>
      </w:r>
    </w:p>
    <w:p w14:paraId="7CB56AAA"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La procura regionale della Corte dei Conti ha resistito.</w:t>
      </w:r>
    </w:p>
    <w:p w14:paraId="56CA0566"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Le parti hanno depositato memorie.</w:t>
      </w:r>
    </w:p>
    <w:p w14:paraId="1F3E0DD2"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È stata disposta la riunione dei ricorsi, concernenti il medesimo giudizio, come richiesto dal procuratore generale, il quale ha in quest'ottica redatto per tutte le istanze di regolamento una comune requisitoria che ha tenuto conto "dell'identità delle questioni proposte".</w:t>
      </w:r>
    </w:p>
    <w:p w14:paraId="2AA4FD1E" w14:textId="77777777" w:rsidR="00586BA0" w:rsidRPr="00586BA0" w:rsidRDefault="00586BA0" w:rsidP="00586BA0">
      <w:pPr>
        <w:shd w:val="clear" w:color="auto" w:fill="FFFFFF"/>
        <w:spacing w:after="0" w:line="240" w:lineRule="auto"/>
        <w:rPr>
          <w:rFonts w:ascii="Lato" w:eastAsia="Times New Roman" w:hAnsi="Lato" w:cs="Times New Roman"/>
          <w:color w:val="000000"/>
          <w:spacing w:val="5"/>
          <w:sz w:val="24"/>
          <w:szCs w:val="24"/>
          <w:lang w:eastAsia="it-IT"/>
        </w:rPr>
      </w:pPr>
    </w:p>
    <w:p w14:paraId="168F3AD9" w14:textId="77777777" w:rsidR="00586BA0" w:rsidRPr="00586BA0" w:rsidRDefault="00586BA0" w:rsidP="00586BA0">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586BA0">
        <w:rPr>
          <w:rFonts w:ascii="Lato" w:eastAsia="Times New Roman" w:hAnsi="Lato" w:cs="Times New Roman"/>
          <w:b/>
          <w:bCs/>
          <w:color w:val="000000"/>
          <w:spacing w:val="5"/>
          <w:sz w:val="26"/>
          <w:szCs w:val="26"/>
          <w:lang w:eastAsia="it-IT"/>
        </w:rPr>
        <w:t>Motivi della decisione</w:t>
      </w:r>
    </w:p>
    <w:p w14:paraId="0FD14D3C"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lastRenderedPageBreak/>
        <w:t>2) Muovendo dalla premessa di essere una società partecipata dallo Stato, Italferr S.p.A. afferma che l'accertamento dell'eventuale danno prodotto alla R.F.I. S.p.A. sarebbe estraneo alla giurisdizione della Corte dei Conti, in quanto Italferr andrebbe qualificata come soggetto privato che agisce in piena autonomia, senza alcun rapporto di servizio con l'ente pubblico partecipante. Un eventuale danno si sarebbe riverberato, semmai, solo all'interno della holding, senza spiegare effetti negativi immediati sull'apparato pubblico.</w:t>
      </w:r>
    </w:p>
    <w:p w14:paraId="6B8CA553"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La Procura regionale sostiene che la soluzione della questione di giurisdizione dipenda da una preliminare indagine circa la natura, commerciale o amministrativa, dell'attività svolta da un ente formalmente privato. Ciò premesso, afferma che la veste di società privata di R.F.I. sia solamente uno strumento per rendere più snella ed operativa l'attività, mentre la natura sostanziale del soggetto resterebbe quella di Pubblica Amministrazione, in quanto dedita alla gestione di un servizio pubblico essenziale. Analoga qualifica dovrebbe essere riconosciuta ad Italferr S.p.A., sia in ragione della natura oggettivamente pubblica dell'attività svolta, sia per il peculiare rapporto di servizio che la legherebbe ad R.F.I. La relazione tra le due società, infatti, trova fondamento nel contratto del 20 settembre 1994 citato, il quale, secondo la tesi della Procura contabile, sarebbe volto a realizzare non un appalto privato ma una forma di delegazione intersoggettiva della funzione pubblica.</w:t>
      </w:r>
    </w:p>
    <w:p w14:paraId="0DAF59A4"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Il Sostituto Procuratore Generale non ha condiviso questa impostazione, in quanto, per un verso, difetterebbero i requisiti strutturali della società in house, secondo quanto ritenuto da Su 1159/15 e, per altro verso, gli enti in questione non si inquadrerebbero nel novero delle c.d. società legali. Nondimeno, ritiene sussistente il rapporto di servizio, sull'assunto che le opere in questione sarebbero state realizzate con finanziamenti pubblici. Da una parte, R.F.I. S.p.A. opererebbe in base ad un rapporto concessorio con origine nei contratti di programma stipulati con lo Stato, dal 1991 ad oggi; dall'altra parte, Italferr S.p.A., agirebbe in forza del contratto di delegazione summenzionato, diretto a realizzare un trasferimento di funzioni amministrative da R.F.I. a Italferr. Ciò consentirebbe di ravvisare una compartecipazione sia di R.F.I. sia di Italferr agli scopi pubblici in gioco e, in definitiva, la sussistenza della giurisdizione contabile.</w:t>
      </w:r>
    </w:p>
    <w:p w14:paraId="1B0E9F0E"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3) Nel quadro delle società pubbliche, questa Corte ha raggiunto esiti interpretativi consolidati in tema di giurisdizione sulle azioni di responsabilità per i danni arrecati al patrimonio societario. Il regime muta a seconda del modello societario, sintomatico di una diversa dialettica tra l'ente privato e il socio pubblico, in ragione dell'attività svolta e degli interessi pubblici di riferimento. Specificatamente, la soluzione del quesito sulla giurisdizione è differente a seconda che la società sia a partecipazione pubblica ovvero abbia i requisiti per essere qualificata come società in house.</w:t>
      </w:r>
    </w:p>
    <w:p w14:paraId="1AF89196"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Alla luce di tale dato, l'esame del ricorso richiede una preliminare rassegna dei principi già enunciati dalla giurisprudenza di legittimità, tenuto conto del persistente disordine normativo che, sino all'emanazione del T.U. sulle società pubbliche, ha caratterizzato negativamente la materia delle partecipazioni societarie detenute dalle pubbliche amministrazioni e i profili riflessi in punto di giurisdizione.</w:t>
      </w:r>
    </w:p>
    <w:p w14:paraId="4CF5F57E"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In relazione alle società a partecipazione pubblica, di regola, l'autonoma soggettività della società, specificata come autonomia giuridica e patrimoniale rispetto al socio pubblico, impedisce, per mancanza del rapporto di servizio e per mancanza di un danno immediato e diretto per lo Stato o altro ente pubblico, di radicare la giurisdizione del giudice contabile (Cass., S.U., 1159/2015, S.U. 26806/2009). Tali società, infatti, sono organizzate secondo il tipo societario di stampo civilistico e conservano la loro natura privata, essendo pubblico soltanto il soggetto che partecipa ad esse.</w:t>
      </w:r>
    </w:p>
    <w:p w14:paraId="12D7BFFD"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lastRenderedPageBreak/>
        <w:t>La giurisdizione della Corte dei Conti rappresenta, in questi casi, l'eccezione, ravvisabile in due fattispecie e sulla base di ragioni specifiche.</w:t>
      </w:r>
    </w:p>
    <w:p w14:paraId="79ECFEE2"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La prima ricorre </w:t>
      </w:r>
      <w:proofErr w:type="spellStart"/>
      <w:r w:rsidRPr="00586BA0">
        <w:rPr>
          <w:rFonts w:ascii="Lato" w:eastAsia="Times New Roman" w:hAnsi="Lato" w:cs="Times New Roman"/>
          <w:color w:val="000000"/>
          <w:spacing w:val="5"/>
          <w:sz w:val="24"/>
          <w:szCs w:val="24"/>
          <w:lang w:eastAsia="it-IT"/>
        </w:rPr>
        <w:t>allorchè</w:t>
      </w:r>
      <w:proofErr w:type="spellEnd"/>
      <w:r w:rsidRPr="00586BA0">
        <w:rPr>
          <w:rFonts w:ascii="Lato" w:eastAsia="Times New Roman" w:hAnsi="Lato" w:cs="Times New Roman"/>
          <w:color w:val="000000"/>
          <w:spacing w:val="5"/>
          <w:sz w:val="24"/>
          <w:szCs w:val="24"/>
          <w:lang w:eastAsia="it-IT"/>
        </w:rPr>
        <w:t xml:space="preserve"> l'azione di danno sia esercitata per far valere "la responsabilità dell'amministratore o del componente di organi di controllo della società partecipata dall'ente pubblico che sia stato danneggiato dall'azione illegittima non di riflesso, quale conseguenza indiretta del pregiudizio arrecato al patrimonio sociale, bensì direttamente". In questi casi, si è "in presenza di un cosiddetto danno erariale, ossia di un danno provocato dall'agente al patrimonio dell'ente pubblico, come ad esempio accade nel caso del danno all'immagine della pubblica amministrazione" (Cass. civ., S. U., 12 dicembre 2013, n. 27733, che richiama, sul punto, Cass. n. 26806 del 2013).</w:t>
      </w:r>
    </w:p>
    <w:p w14:paraId="13FB2A3A"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La seconda fattispecie si ha nel caso in cui l'azione del procuratore contabile è proposta "nei confronti (non già dell'amministratore della società partecipata, per il danno arrecato al patrimonio sociale, bensì) di chi, quale rappresentante dell'ente partecipante o comunque titolare del potere di decidere per esso, abbia colpevolmente trascurato di esercitare i propri diritti di socio, così pregiudicando il valore della partecipazione" (S.U. 19 dicembre 2009 n. 26806). Il che può accadere "quando il socio pubblico, in presenza di atti di </w:t>
      </w:r>
      <w:proofErr w:type="spellStart"/>
      <w:r w:rsidRPr="00586BA0">
        <w:rPr>
          <w:rFonts w:ascii="Lato" w:eastAsia="Times New Roman" w:hAnsi="Lato" w:cs="Times New Roman"/>
          <w:color w:val="000000"/>
          <w:spacing w:val="5"/>
          <w:sz w:val="24"/>
          <w:szCs w:val="24"/>
          <w:lang w:eastAsia="it-IT"/>
        </w:rPr>
        <w:t>malagestio</w:t>
      </w:r>
      <w:proofErr w:type="spellEnd"/>
      <w:r w:rsidRPr="00586BA0">
        <w:rPr>
          <w:rFonts w:ascii="Lato" w:eastAsia="Times New Roman" w:hAnsi="Lato" w:cs="Times New Roman"/>
          <w:color w:val="000000"/>
          <w:spacing w:val="5"/>
          <w:sz w:val="24"/>
          <w:szCs w:val="24"/>
          <w:lang w:eastAsia="it-IT"/>
        </w:rPr>
        <w:t xml:space="preserve"> imputabili agli amministratori o agli organi di controllo della società partecipata, trascuri ingiustificatamente di esercitare le azioni di responsabilità alle quali egli sia direttamente legittimato, ove ne sia derivata una perdita di valore della partecipazione" (sentenze da ultimo citate).</w:t>
      </w:r>
    </w:p>
    <w:p w14:paraId="258FABF1"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Discorso diverso vale per le società in house. Esse si inscrivono all'interno di quel fenomeno multiforme di autoproduzione di beni e servizi, tale per cui la Pubblica Amministrazione è legittimata ad attingere all'interno della propria compagine organizzativa attraverso affidamenti diretti all'ente in house, operante come proprio organo, senza ricorrere al mercato (ex </w:t>
      </w:r>
      <w:proofErr w:type="spellStart"/>
      <w:r w:rsidRPr="00586BA0">
        <w:rPr>
          <w:rFonts w:ascii="Lato" w:eastAsia="Times New Roman" w:hAnsi="Lato" w:cs="Times New Roman"/>
          <w:color w:val="000000"/>
          <w:spacing w:val="5"/>
          <w:sz w:val="24"/>
          <w:szCs w:val="24"/>
          <w:lang w:eastAsia="it-IT"/>
        </w:rPr>
        <w:t>multis</w:t>
      </w:r>
      <w:proofErr w:type="spellEnd"/>
      <w:r w:rsidRPr="00586BA0">
        <w:rPr>
          <w:rFonts w:ascii="Lato" w:eastAsia="Times New Roman" w:hAnsi="Lato" w:cs="Times New Roman"/>
          <w:color w:val="000000"/>
          <w:spacing w:val="5"/>
          <w:sz w:val="24"/>
          <w:szCs w:val="24"/>
          <w:lang w:eastAsia="it-IT"/>
        </w:rPr>
        <w:t xml:space="preserve"> Cass. civ., S. U., n. 27733 del 2013).</w:t>
      </w:r>
    </w:p>
    <w:p w14:paraId="13C41139"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La configurazione delle società in house alla stregua di articolazioni interne alla Pubblica Amministrazione giustifica la giurisdizione della Corte dei conti. Se, infatti, l'attività dell'ente che opera in house e dei suoi organi non è riconducibile ad un soggetto privato dotato di una autonoma soggettività ma resta sostanzialmente imputabile alla Pubblica Amministrazione, il rapporto di servizio con l'ente pubblico è immanente alla formula organizzativa </w:t>
      </w:r>
      <w:proofErr w:type="spellStart"/>
      <w:r w:rsidRPr="00586BA0">
        <w:rPr>
          <w:rFonts w:ascii="Lato" w:eastAsia="Times New Roman" w:hAnsi="Lato" w:cs="Times New Roman"/>
          <w:color w:val="000000"/>
          <w:spacing w:val="5"/>
          <w:sz w:val="24"/>
          <w:szCs w:val="24"/>
          <w:lang w:eastAsia="it-IT"/>
        </w:rPr>
        <w:t>dell'in</w:t>
      </w:r>
      <w:proofErr w:type="spellEnd"/>
      <w:r w:rsidRPr="00586BA0">
        <w:rPr>
          <w:rFonts w:ascii="Lato" w:eastAsia="Times New Roman" w:hAnsi="Lato" w:cs="Times New Roman"/>
          <w:color w:val="000000"/>
          <w:spacing w:val="5"/>
          <w:sz w:val="24"/>
          <w:szCs w:val="24"/>
          <w:lang w:eastAsia="it-IT"/>
        </w:rPr>
        <w:t xml:space="preserve"> house </w:t>
      </w:r>
      <w:proofErr w:type="spellStart"/>
      <w:r w:rsidRPr="00586BA0">
        <w:rPr>
          <w:rFonts w:ascii="Lato" w:eastAsia="Times New Roman" w:hAnsi="Lato" w:cs="Times New Roman"/>
          <w:color w:val="000000"/>
          <w:spacing w:val="5"/>
          <w:sz w:val="24"/>
          <w:szCs w:val="24"/>
          <w:lang w:eastAsia="it-IT"/>
        </w:rPr>
        <w:t>providing</w:t>
      </w:r>
      <w:proofErr w:type="spellEnd"/>
      <w:r w:rsidRPr="00586BA0">
        <w:rPr>
          <w:rFonts w:ascii="Lato" w:eastAsia="Times New Roman" w:hAnsi="Lato" w:cs="Times New Roman"/>
          <w:color w:val="000000"/>
          <w:spacing w:val="5"/>
          <w:sz w:val="24"/>
          <w:szCs w:val="24"/>
          <w:lang w:eastAsia="it-IT"/>
        </w:rPr>
        <w:t>. Corollario di tale configurazione è che il danno arrecato rileva come danno al patrimonio dell'ente pubblico, seppure formalmente separato dallo schermo societario. Il che radica la giurisdizione della Corte dei conti sulla relativa azione di responsabilità.</w:t>
      </w:r>
    </w:p>
    <w:p w14:paraId="63D574EC"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Quanto detto vale a fortiori per gli organi interni. In proposito, si è affermato che "gli organi di tali società, assoggettati come sono a vincoli gerarchici facenti capo alla pubblica amministrazione, neppure possono essere considerati, a differenza di quanto accade per gli amministratori delle altre società a partecipazione pubblica, come investiti di un mero </w:t>
      </w:r>
      <w:proofErr w:type="spellStart"/>
      <w:r w:rsidRPr="00586BA0">
        <w:rPr>
          <w:rFonts w:ascii="Lato" w:eastAsia="Times New Roman" w:hAnsi="Lato" w:cs="Times New Roman"/>
          <w:color w:val="000000"/>
          <w:spacing w:val="5"/>
          <w:sz w:val="24"/>
          <w:szCs w:val="24"/>
          <w:lang w:eastAsia="it-IT"/>
        </w:rPr>
        <w:t>munus</w:t>
      </w:r>
      <w:proofErr w:type="spellEnd"/>
      <w:r w:rsidRPr="00586BA0">
        <w:rPr>
          <w:rFonts w:ascii="Lato" w:eastAsia="Times New Roman" w:hAnsi="Lato" w:cs="Times New Roman"/>
          <w:color w:val="000000"/>
          <w:spacing w:val="5"/>
          <w:sz w:val="24"/>
          <w:szCs w:val="24"/>
          <w:lang w:eastAsia="it-IT"/>
        </w:rPr>
        <w:t xml:space="preserve"> privato, inerente ad un rapporto di natura negoziale instaurato con la medesima società". Essendo essi "preposti ad una struttura corrispondente ad un'articolazione interna alla stessa pubblica amministrazione, è da ritenersi che essi siano personalmente a questa legati da un vero e proprio rapporto di servizio, non altrimenti di quel che accade per i dirigenti preposti ai servizi erogati direttamente dall'ente pubblico" (Cass. civ., S. U., n. 27733 del 2013, cit.).</w:t>
      </w:r>
    </w:p>
    <w:p w14:paraId="0EF36AF0"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La cornice generale tratteggiata va ulteriormente completata avuto riguardo al riconoscimento di ipotesi particolari, in cui lo speciale statuto legale di talune società partecipate che svolgono attività amministrativa in forma privatistica consente di qualificarle come sostanziali enti pubblici e giustifica, quindi, la giurisdizione della Corte dei Conti. L'affermazione, ricorrente nelle pronunce relative allo statuto legale peculiare </w:t>
      </w:r>
      <w:r w:rsidRPr="00586BA0">
        <w:rPr>
          <w:rFonts w:ascii="Lato" w:eastAsia="Times New Roman" w:hAnsi="Lato" w:cs="Times New Roman"/>
          <w:color w:val="000000"/>
          <w:spacing w:val="5"/>
          <w:sz w:val="24"/>
          <w:szCs w:val="24"/>
          <w:lang w:eastAsia="it-IT"/>
        </w:rPr>
        <w:lastRenderedPageBreak/>
        <w:t xml:space="preserve">di Rai S.p.A. (cfr. Sez. un n. 27092/2009, Enav S.p.A. (S.U. </w:t>
      </w:r>
      <w:proofErr w:type="spellStart"/>
      <w:r w:rsidRPr="00586BA0">
        <w:rPr>
          <w:rFonts w:ascii="Lato" w:eastAsia="Times New Roman" w:hAnsi="Lato" w:cs="Times New Roman"/>
          <w:color w:val="000000"/>
          <w:spacing w:val="5"/>
          <w:sz w:val="24"/>
          <w:szCs w:val="24"/>
          <w:lang w:eastAsia="it-IT"/>
        </w:rPr>
        <w:t>ord</w:t>
      </w:r>
      <w:proofErr w:type="spellEnd"/>
      <w:r w:rsidRPr="00586BA0">
        <w:rPr>
          <w:rFonts w:ascii="Lato" w:eastAsia="Times New Roman" w:hAnsi="Lato" w:cs="Times New Roman"/>
          <w:color w:val="000000"/>
          <w:spacing w:val="5"/>
          <w:sz w:val="24"/>
          <w:szCs w:val="24"/>
          <w:lang w:eastAsia="it-IT"/>
        </w:rPr>
        <w:t>. 3 marzo 2010 n. 5032) e Anas S.p.A. (S.U. 9 luglio 2014 n. 15594), poggia su plurimi e specifici indici quali la designazione della società come concessionaria ex lege, la sottoposizione a penetranti poteri di vigilanza ad opera dell'apparato statale, la previsione di un canone con natura d'imposta per i servizi erogati all'utenza - dai quali poter inferire la peculiare natura dell'ente e la necessità di applicare un regime sui generis (</w:t>
      </w:r>
      <w:proofErr w:type="spellStart"/>
      <w:r w:rsidRPr="00586BA0">
        <w:rPr>
          <w:rFonts w:ascii="Lato" w:eastAsia="Times New Roman" w:hAnsi="Lato" w:cs="Times New Roman"/>
          <w:color w:val="000000"/>
          <w:spacing w:val="5"/>
          <w:sz w:val="24"/>
          <w:szCs w:val="24"/>
          <w:lang w:eastAsia="it-IT"/>
        </w:rPr>
        <w:t>cfr</w:t>
      </w:r>
      <w:proofErr w:type="spellEnd"/>
      <w:r w:rsidRPr="00586BA0">
        <w:rPr>
          <w:rFonts w:ascii="Lato" w:eastAsia="Times New Roman" w:hAnsi="Lato" w:cs="Times New Roman"/>
          <w:color w:val="000000"/>
          <w:spacing w:val="5"/>
          <w:sz w:val="24"/>
          <w:szCs w:val="24"/>
          <w:lang w:eastAsia="it-IT"/>
        </w:rPr>
        <w:t xml:space="preserve"> per un approdo in tal senso, ma ancora considerato esitante dalla dottrina, Cass. SU 5848/15).</w:t>
      </w:r>
    </w:p>
    <w:p w14:paraId="2B5A2D90"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Alla luce dei principi richiamati, la soluzione sul problema della giurisdizione all'esame della Corte passa dunque attraverso il chiarimento di due questioni di fondo: natura delle società coinvolte e </w:t>
      </w:r>
      <w:proofErr w:type="spellStart"/>
      <w:r w:rsidRPr="00586BA0">
        <w:rPr>
          <w:rFonts w:ascii="Lato" w:eastAsia="Times New Roman" w:hAnsi="Lato" w:cs="Times New Roman"/>
          <w:color w:val="000000"/>
          <w:spacing w:val="5"/>
          <w:sz w:val="24"/>
          <w:szCs w:val="24"/>
          <w:lang w:eastAsia="it-IT"/>
        </w:rPr>
        <w:t>ravvisabilità</w:t>
      </w:r>
      <w:proofErr w:type="spellEnd"/>
      <w:r w:rsidRPr="00586BA0">
        <w:rPr>
          <w:rFonts w:ascii="Lato" w:eastAsia="Times New Roman" w:hAnsi="Lato" w:cs="Times New Roman"/>
          <w:color w:val="000000"/>
          <w:spacing w:val="5"/>
          <w:sz w:val="24"/>
          <w:szCs w:val="24"/>
          <w:lang w:eastAsia="it-IT"/>
        </w:rPr>
        <w:t xml:space="preserve"> o meno di un rapporto di servizio.</w:t>
      </w:r>
    </w:p>
    <w:p w14:paraId="3D92C5E1"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4) La prima questione si risolve dando continuità all'ordinanza di questa Corte, S.U., n.1159 del 2015, la quale si è pronunciata sulla natura giuridica di Ferrovie dello Stato S.p.A. e sul Gruppo nel suo complesso.</w:t>
      </w:r>
    </w:p>
    <w:p w14:paraId="42BE170A"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Le Sezioni Unite hanno ivi chiarito che:</w:t>
      </w:r>
    </w:p>
    <w:p w14:paraId="1186AD5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a) Ferrovie dello Stato S.p.A. "svolge un'attività economica e commerciale in regime di mercato libero e la sua veste giuridica non rappresenta un mero schermo di copertura di una struttura amministrativa pubblica".</w:t>
      </w:r>
    </w:p>
    <w:p w14:paraId="76B543E9"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b) Tale società, "in quanto holding, non ha rapporti di servizio pubblico con lo Stato".</w:t>
      </w:r>
    </w:p>
    <w:p w14:paraId="22FB4944"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c) "Alla Capogruppo fanno capo le Società Operative nei diversi settori della filiera e altre Società di servizio e di supporto al funzionamento del Gruppo. Le Società sono dotate di una propria specificità aziendale e godono di autonomia gestionale nel perseguimento degli obiettivi di business. La gestione della holding è affidata dallo Statuto agli Organi societari - Assemblea, Consiglio di amministrazione, Presidente del Consiglio di amministrazione, Collegio sindacale - che ne ha individuato i rispettivi poteri e compiti in conformità alle disposizioni del c.c. in materia di società per azioni".</w:t>
      </w:r>
    </w:p>
    <w:p w14:paraId="1D3686DA"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d) La struttura del Gruppo Ferrovie dello Stato Italiane deriva "dal processo di riorganizzazione - societarizzazione avviato nel 2000. Questo processo di privatizzazione ha risentito del recepimento, nell'ordinamento nazionale, del principio generale - di derivazione sovranazionale - finalizzato a garantire la libertà di accesso al mercato dei trasporti di passeggeri e di merci per ferrovia da parte delle associazioni internazionali di imprese ferroviarie e delle imprese ferroviarie a condizioni eque, non discriminatorie e trasparenti e tali da garantire lo sviluppo della concorrenza nel settore ferroviario (così </w:t>
      </w:r>
      <w:hyperlink r:id="rId64" w:history="1">
        <w:r w:rsidRPr="00586BA0">
          <w:rPr>
            <w:rFonts w:ascii="Lato" w:eastAsia="Times New Roman" w:hAnsi="Lato" w:cs="Times New Roman"/>
            <w:b/>
            <w:bCs/>
            <w:color w:val="FFA403"/>
            <w:spacing w:val="5"/>
            <w:sz w:val="24"/>
            <w:szCs w:val="24"/>
            <w:lang w:eastAsia="it-IT"/>
          </w:rPr>
          <w:t>D.P.R. n. 277 del 1998</w:t>
        </w:r>
      </w:hyperlink>
      <w:r w:rsidRPr="00586BA0">
        <w:rPr>
          <w:rFonts w:ascii="Lato" w:eastAsia="Times New Roman" w:hAnsi="Lato" w:cs="Times New Roman"/>
          <w:color w:val="000000"/>
          <w:spacing w:val="5"/>
          <w:sz w:val="24"/>
          <w:szCs w:val="24"/>
          <w:lang w:eastAsia="it-IT"/>
        </w:rPr>
        <w:t>, art. 2, comma 1, lett. d abrogato dall'</w:t>
      </w:r>
      <w:hyperlink r:id="rId65" w:history="1">
        <w:r w:rsidRPr="00586BA0">
          <w:rPr>
            <w:rFonts w:ascii="Lato" w:eastAsia="Times New Roman" w:hAnsi="Lato" w:cs="Times New Roman"/>
            <w:b/>
            <w:bCs/>
            <w:color w:val="FFA403"/>
            <w:spacing w:val="5"/>
            <w:sz w:val="24"/>
            <w:szCs w:val="24"/>
            <w:lang w:eastAsia="it-IT"/>
          </w:rPr>
          <w:t>art. 38, D.L.vo 8 luglio 2003, n. 188</w:t>
        </w:r>
      </w:hyperlink>
      <w:r w:rsidRPr="00586BA0">
        <w:rPr>
          <w:rFonts w:ascii="Lato" w:eastAsia="Times New Roman" w:hAnsi="Lato" w:cs="Times New Roman"/>
          <w:color w:val="000000"/>
          <w:spacing w:val="5"/>
          <w:sz w:val="24"/>
          <w:szCs w:val="24"/>
          <w:lang w:eastAsia="it-IT"/>
        </w:rPr>
        <w:t>).</w:t>
      </w:r>
    </w:p>
    <w:p w14:paraId="4FE0282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e) "L'apporto finanziario dell'Autorità pubblica, finalizzato all'assolvimento degli obblighi di servizio pubblico, è erogato - alla luce del reg. CE n. 1370 del 2007 -, entro limiti ben precisi". Nel dettaglio, "il Gruppo riceve risorse e compensazioni dallo Stato unicamente a copertura di oneri derivanti da finalità di interesse generale (investimenti e servizi all'utenza) erogati a prescindere dalla loro remuneratività economica. Scopo di tali erogazioni è, infatti, la remunerazione alle imprese che prestano il servizio delle spese sostenute, determinate con criteri di calcolo idonei ad evitare compensazioni eccessive".</w:t>
      </w:r>
    </w:p>
    <w:p w14:paraId="6571E4B1"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5.1) Parte controricorrente ritiene che la specificità aziendale e l'autonomia gestionale delle società controllate rispetto alla Capogruppo porti come conseguenza che la "natura commerciale di Ferrovie dello stato spa non implica necessariamente che anche le società del Gruppo abbiano la stessa natura".</w:t>
      </w:r>
    </w:p>
    <w:p w14:paraId="5D5F49C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La tesi non può essere condivisa.</w:t>
      </w:r>
    </w:p>
    <w:p w14:paraId="2B9ED560"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Rilevata la natura sostanzialmente commerciale dell'attività svolta dalla Capogruppo, a fortiori medesime conclusioni valgono in ordine alla natura delle società satellite.</w:t>
      </w:r>
    </w:p>
    <w:p w14:paraId="076C9B8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lastRenderedPageBreak/>
        <w:t>La natura industriale e commerciale dell'attività gestita dalla società collocata in capo alla filiera si riverbera, quale logico corollario, sulla natura delle società poste in coda, oltre che essere imposta dal carattere unitario della politica aziendale di un Gruppo di imprese operante nel mercato, con strategie di sviluppo competitive in ambito comunitario e internazionale.</w:t>
      </w:r>
    </w:p>
    <w:p w14:paraId="6C97EAE6"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L'unitario inquadramento dell'attività gestita dal Gruppo, peraltro, non sconfessa l'autonomia organizzativa, patrimoniale e funzionale, nonché la specificità aziendale, tarata su altrettanto specifici obiettivi di business, delle società operative del Gruppo di cui si è detto.</w:t>
      </w:r>
    </w:p>
    <w:p w14:paraId="1B1B7DB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Nondimeno, tale ultimo profilo non può essere impiegato come elemento di valutazione per far perdere quota al carattere commerciale dell'attività, </w:t>
      </w:r>
      <w:proofErr w:type="spellStart"/>
      <w:r w:rsidRPr="00586BA0">
        <w:rPr>
          <w:rFonts w:ascii="Lato" w:eastAsia="Times New Roman" w:hAnsi="Lato" w:cs="Times New Roman"/>
          <w:color w:val="000000"/>
          <w:spacing w:val="5"/>
          <w:sz w:val="24"/>
          <w:szCs w:val="24"/>
          <w:lang w:eastAsia="it-IT"/>
        </w:rPr>
        <w:t>poichè</w:t>
      </w:r>
      <w:proofErr w:type="spellEnd"/>
      <w:r w:rsidRPr="00586BA0">
        <w:rPr>
          <w:rFonts w:ascii="Lato" w:eastAsia="Times New Roman" w:hAnsi="Lato" w:cs="Times New Roman"/>
          <w:color w:val="000000"/>
          <w:spacing w:val="5"/>
          <w:sz w:val="24"/>
          <w:szCs w:val="24"/>
          <w:lang w:eastAsia="it-IT"/>
        </w:rPr>
        <w:t xml:space="preserve"> rappresenta, all'opposto, un dato che esalta ulteriormente sia la natura industriale e commerciale dell'attività gestita, sia l'autonoma soggettività giuridica di tali enti.</w:t>
      </w:r>
    </w:p>
    <w:p w14:paraId="08B3324C"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La specificità aziendale di Italferr, in particolare, è ben delineata.</w:t>
      </w:r>
    </w:p>
    <w:p w14:paraId="5D9D4C66"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L'ente sviluppa le progettazioni e cura l'affidamento degli appalti in nome e per conto del committente, esegue la gestione dei progetti e la supervisione della costruzione in tutti i grandi investimenti ferroviari del Gruppo FS Italiane, partecipa a gare di Progettazione, Direzione e Supervisione Lavori, Project Management, Project Management Consulting in tutto il mondo. Offre ai propri clienti servizi ad alto contenuto tecnico ed innovativo, un presidio globale dei progetti e delle attività affidate, avvalendosi del know-how specialistico della scienza ingegneristica.</w:t>
      </w:r>
    </w:p>
    <w:p w14:paraId="7688C722"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Il primo requisito, la vocazione industriale e commerciale dell'attività, contrassegnata da obiettivi di business, esclude l'inquadramento nel novero delle società legali.</w:t>
      </w:r>
    </w:p>
    <w:p w14:paraId="784C5AA2"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Il secondo dato </w:t>
      </w:r>
      <w:proofErr w:type="spellStart"/>
      <w:r w:rsidRPr="00586BA0">
        <w:rPr>
          <w:rFonts w:ascii="Lato" w:eastAsia="Times New Roman" w:hAnsi="Lato" w:cs="Times New Roman"/>
          <w:color w:val="000000"/>
          <w:spacing w:val="5"/>
          <w:sz w:val="24"/>
          <w:szCs w:val="24"/>
          <w:lang w:eastAsia="it-IT"/>
        </w:rPr>
        <w:t>autonoministico</w:t>
      </w:r>
      <w:proofErr w:type="spellEnd"/>
      <w:r w:rsidRPr="00586BA0">
        <w:rPr>
          <w:rFonts w:ascii="Lato" w:eastAsia="Times New Roman" w:hAnsi="Lato" w:cs="Times New Roman"/>
          <w:color w:val="000000"/>
          <w:spacing w:val="5"/>
          <w:sz w:val="24"/>
          <w:szCs w:val="24"/>
          <w:lang w:eastAsia="it-IT"/>
        </w:rPr>
        <w:t xml:space="preserve"> dissipa ogni dubbio sulla qualificazione di Italferr alla stregua di società in house.</w:t>
      </w:r>
    </w:p>
    <w:p w14:paraId="243DFFA6"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Sul piano organizzativo, infatti, questa situazione è incompatibile con la previsione di forti poteri di gestione del socio pubblico nella forma del controllo analogo, che funge da requisito imprescindibile per poter derogare all'assetto organizzativo della società disciplinata dal c.c. in favore del modello in house. Le forme del controllo analogo, invero, sono particolarmente penetranti, tanto da escludere poteri gestori autonomi in capo al Consiglio di Amministrazione con correlativa </w:t>
      </w:r>
      <w:proofErr w:type="spellStart"/>
      <w:r w:rsidRPr="00586BA0">
        <w:rPr>
          <w:rFonts w:ascii="Lato" w:eastAsia="Times New Roman" w:hAnsi="Lato" w:cs="Times New Roman"/>
          <w:color w:val="000000"/>
          <w:spacing w:val="5"/>
          <w:sz w:val="24"/>
          <w:szCs w:val="24"/>
          <w:lang w:eastAsia="it-IT"/>
        </w:rPr>
        <w:t>sottoponibilità</w:t>
      </w:r>
      <w:proofErr w:type="spellEnd"/>
      <w:r w:rsidRPr="00586BA0">
        <w:rPr>
          <w:rFonts w:ascii="Lato" w:eastAsia="Times New Roman" w:hAnsi="Lato" w:cs="Times New Roman"/>
          <w:color w:val="000000"/>
          <w:spacing w:val="5"/>
          <w:sz w:val="24"/>
          <w:szCs w:val="24"/>
          <w:lang w:eastAsia="it-IT"/>
        </w:rPr>
        <w:t xml:space="preserve"> delle decisioni strategiche al vaglio preventivo dell'ente pubblico affidante.</w:t>
      </w:r>
    </w:p>
    <w:p w14:paraId="79855473"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Il che trova conferma nei dati positivi. Il </w:t>
      </w:r>
      <w:hyperlink r:id="rId66" w:history="1">
        <w:r w:rsidRPr="00586BA0">
          <w:rPr>
            <w:rFonts w:ascii="Lato" w:eastAsia="Times New Roman" w:hAnsi="Lato" w:cs="Times New Roman"/>
            <w:b/>
            <w:bCs/>
            <w:color w:val="FFA403"/>
            <w:spacing w:val="5"/>
            <w:sz w:val="24"/>
            <w:szCs w:val="24"/>
            <w:lang w:eastAsia="it-IT"/>
          </w:rPr>
          <w:t>D.L.vo n. 112 del 2015</w:t>
        </w:r>
      </w:hyperlink>
      <w:r w:rsidRPr="00586BA0">
        <w:rPr>
          <w:rFonts w:ascii="Lato" w:eastAsia="Times New Roman" w:hAnsi="Lato" w:cs="Times New Roman"/>
          <w:color w:val="000000"/>
          <w:spacing w:val="5"/>
          <w:sz w:val="24"/>
          <w:szCs w:val="24"/>
          <w:lang w:eastAsia="it-IT"/>
        </w:rPr>
        <w:t>, emanato in attuazione della direttiva 2012/34/UE che istituisce uno spazio europeo ferroviario unico, nell'affermare il principio di separazione tra la gestione delle reti infrastrutturali e la gestione dei servizi, all'art. 4, comma 1, recide ogni forma di dipendenza delle imprese ferroviarie rispetto all'apparato pubblicistico, stabilendo che "le imprese ferroviarie stabilite in Italia sono indipendenti per quanto riguarda la gestione, l'amministrazione ed il controllo interno in materia amministrativa, economica e contabile. Il patrimonio, il bilancio e la contabilità delle imprese ferroviarie devono essere distinti da quelli dello Stato, delle regioni, delle province autonome e degli enti locali" e ancora le imprese ferroviarie "sono gestite secondo i principi validi per le società commerciali, a prescindere dalla loro proprietà pubblica o privata, anche per quanto riguarda gli obblighi di servizio pubblico imposti dallo Stato all'impresa e i contratti di servizio pubblico conclusi dalla medesima con le autorità competenti".</w:t>
      </w:r>
    </w:p>
    <w:p w14:paraId="0B05B51E"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A ciò va aggiunto che il controllo pubblico realizzato tramite holding indebolisce, nel caso di specie, il rapporto di dipendenza con l'ente pubblico. L'affermata natura privatistica della holding, in uno con il collegamento di derivazione infragruppo, convergono in una piattaforma che stempera il legame con l'ente pubblico, facendo emergere, per converso, </w:t>
      </w:r>
      <w:r w:rsidRPr="00586BA0">
        <w:rPr>
          <w:rFonts w:ascii="Lato" w:eastAsia="Times New Roman" w:hAnsi="Lato" w:cs="Times New Roman"/>
          <w:color w:val="000000"/>
          <w:spacing w:val="5"/>
          <w:sz w:val="24"/>
          <w:szCs w:val="24"/>
          <w:lang w:eastAsia="it-IT"/>
        </w:rPr>
        <w:lastRenderedPageBreak/>
        <w:t>l'autonomia e la specificità aziendale delle singole società operative del Gruppo quale sintomatica riprova del regime civilistico applicato a detti enti.</w:t>
      </w:r>
    </w:p>
    <w:p w14:paraId="750204C1"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6) I principi ermeneutici affermati sul tema sono stati condivisi e recepiti, da ultimo, nel </w:t>
      </w:r>
      <w:hyperlink r:id="rId67" w:history="1">
        <w:r w:rsidRPr="00586BA0">
          <w:rPr>
            <w:rFonts w:ascii="Lato" w:eastAsia="Times New Roman" w:hAnsi="Lato" w:cs="Times New Roman"/>
            <w:b/>
            <w:bCs/>
            <w:color w:val="FFA403"/>
            <w:spacing w:val="5"/>
            <w:sz w:val="24"/>
            <w:szCs w:val="24"/>
            <w:lang w:eastAsia="it-IT"/>
          </w:rPr>
          <w:t>D.L.vo 19 agosto 2016, n. 175</w:t>
        </w:r>
      </w:hyperlink>
      <w:r w:rsidRPr="00586BA0">
        <w:rPr>
          <w:rFonts w:ascii="Lato" w:eastAsia="Times New Roman" w:hAnsi="Lato" w:cs="Times New Roman"/>
          <w:color w:val="000000"/>
          <w:spacing w:val="5"/>
          <w:sz w:val="24"/>
          <w:szCs w:val="24"/>
          <w:lang w:eastAsia="it-IT"/>
        </w:rPr>
        <w:t xml:space="preserve">, inapplicabile ratione temporis ma meritevole di richiamo, </w:t>
      </w:r>
      <w:proofErr w:type="spellStart"/>
      <w:r w:rsidRPr="00586BA0">
        <w:rPr>
          <w:rFonts w:ascii="Lato" w:eastAsia="Times New Roman" w:hAnsi="Lato" w:cs="Times New Roman"/>
          <w:color w:val="000000"/>
          <w:spacing w:val="5"/>
          <w:sz w:val="24"/>
          <w:szCs w:val="24"/>
          <w:lang w:eastAsia="it-IT"/>
        </w:rPr>
        <w:t>giacchè</w:t>
      </w:r>
      <w:proofErr w:type="spellEnd"/>
      <w:r w:rsidRPr="00586BA0">
        <w:rPr>
          <w:rFonts w:ascii="Lato" w:eastAsia="Times New Roman" w:hAnsi="Lato" w:cs="Times New Roman"/>
          <w:color w:val="000000"/>
          <w:spacing w:val="5"/>
          <w:sz w:val="24"/>
          <w:szCs w:val="24"/>
          <w:lang w:eastAsia="it-IT"/>
        </w:rPr>
        <w:t xml:space="preserve"> espressivo di una tendenza evolutiva già tracciata dalla Suprema Corte.</w:t>
      </w:r>
    </w:p>
    <w:p w14:paraId="697D5D8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Rileva, anzitutto, l'art. 12 T.U. in materia di società a partecipazione pubblica. La disposizione stabilisce che "i componenti degli organi di amministrazione e controllo delle società partecipate sono soggetti alle azioni civili di responsabilità previste dalla disciplina ordinaria di società di capitali, salva la giurisdizione della Corte dei Conti per il danno erariale causato dagli amministratori e dai dipendenti delle società in house. È devoluta alla giurisdizione della Corte dei Conti, nei limiti della quota di partecipazione pubblica, la giurisdizione sulle controversie in materia di danno erariale (...). Costituisce danno erariale il danno, patrimoniale o non patrimoniale, subito dagli enti partecipanti, ivi compreso il danno conseguente alla condotta dei rappresentanti degli enti pubblici partecipanti o comunque dei titolari del potere di decidere per essi, che, nell'esercizio dei propri diritti di socio, abbiano con dolo o colpa grave pregiudicato il valore della partecipazione". In secondo luogo, va fatto cenno all'art. 1, comma 3 a mente del quale "per tutto quanto non derogato dalle disposizioni del presente decreto, si applicano alle società a partecipazione pubblica le norme sulle società contenute nel c.c. e le norme generali del diritto privato"; nonché, all'art. 14 (Crisi d'impresa di società a partecipazione pubblica), il quale stabilisce che "le società a partecipazione pubblica sono soggette alle disposizioni sul fallimento e sul concordato preventivo, nonché, ove ne ricorrano i presupposti, a quelle in materia di amministrazione straordinaria delle grandi imprese insolventi", comprendendo persino le società in house, titolari di affidamenti diretti (cfr. art. 16, comma 10).</w:t>
      </w:r>
    </w:p>
    <w:p w14:paraId="097A7A09"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Anche a voler prescindere dal T.U., del resto, già l'</w:t>
      </w:r>
      <w:hyperlink r:id="rId68" w:history="1">
        <w:r w:rsidRPr="00586BA0">
          <w:rPr>
            <w:rFonts w:ascii="Lato" w:eastAsia="Times New Roman" w:hAnsi="Lato" w:cs="Times New Roman"/>
            <w:b/>
            <w:bCs/>
            <w:color w:val="FFA403"/>
            <w:spacing w:val="5"/>
            <w:sz w:val="24"/>
            <w:szCs w:val="24"/>
            <w:lang w:eastAsia="it-IT"/>
          </w:rPr>
          <w:t>art. 4, comma 13, D.L. 6 luglio 2012, n. 95</w:t>
        </w:r>
      </w:hyperlink>
      <w:r w:rsidRPr="00586BA0">
        <w:rPr>
          <w:rFonts w:ascii="Lato" w:eastAsia="Times New Roman" w:hAnsi="Lato" w:cs="Times New Roman"/>
          <w:color w:val="000000"/>
          <w:spacing w:val="5"/>
          <w:sz w:val="24"/>
          <w:szCs w:val="24"/>
          <w:lang w:eastAsia="it-IT"/>
        </w:rPr>
        <w:t>, (Disposizioni urgenti per la revisione della spesa pubblica con invarianza dei servizi ai cittadini, nonché misure di rafforzamento patrimoniale delle imprese del settore bancario), convertito in legge, con modificazioni, dalla </w:t>
      </w:r>
      <w:hyperlink r:id="rId69" w:history="1">
        <w:r w:rsidRPr="00586BA0">
          <w:rPr>
            <w:rFonts w:ascii="Lato" w:eastAsia="Times New Roman" w:hAnsi="Lato" w:cs="Times New Roman"/>
            <w:b/>
            <w:bCs/>
            <w:color w:val="FFA403"/>
            <w:spacing w:val="5"/>
            <w:sz w:val="24"/>
            <w:szCs w:val="24"/>
            <w:lang w:eastAsia="it-IT"/>
          </w:rPr>
          <w:t>L. 7 agosto 2012, n. 135, art. 1, comma 1,</w:t>
        </w:r>
      </w:hyperlink>
      <w:r w:rsidRPr="00586BA0">
        <w:rPr>
          <w:rFonts w:ascii="Lato" w:eastAsia="Times New Roman" w:hAnsi="Lato" w:cs="Times New Roman"/>
          <w:color w:val="000000"/>
          <w:spacing w:val="5"/>
          <w:sz w:val="24"/>
          <w:szCs w:val="24"/>
          <w:lang w:eastAsia="it-IT"/>
        </w:rPr>
        <w:t>prevedeva, prima che fosse espunto dal citato T.U., che "le disposizioni del presente articolo e le altre disposizioni, anche di carattere speciale, in materia di società a totale o parziale partecipazione pubblica si interpretano nel senso che, per quanto non diversamente stabilito e salvo deroghe espresse, si applica comunque la disciplina del c.c. in materia di società di capitali".</w:t>
      </w:r>
    </w:p>
    <w:p w14:paraId="3AA86B42"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La disposizione in parola, ratione temporis applicabile, dà ragione dell'inquadramento privatistico delle società con partecipazione dello Stato o di enti pubblici. "Tale norma, infatti, </w:t>
      </w:r>
      <w:proofErr w:type="spellStart"/>
      <w:r w:rsidRPr="00586BA0">
        <w:rPr>
          <w:rFonts w:ascii="Lato" w:eastAsia="Times New Roman" w:hAnsi="Lato" w:cs="Times New Roman"/>
          <w:color w:val="000000"/>
          <w:spacing w:val="5"/>
          <w:sz w:val="24"/>
          <w:szCs w:val="24"/>
          <w:lang w:eastAsia="it-IT"/>
        </w:rPr>
        <w:t>ancorchè</w:t>
      </w:r>
      <w:proofErr w:type="spellEnd"/>
      <w:r w:rsidRPr="00586BA0">
        <w:rPr>
          <w:rFonts w:ascii="Lato" w:eastAsia="Times New Roman" w:hAnsi="Lato" w:cs="Times New Roman"/>
          <w:color w:val="000000"/>
          <w:spacing w:val="5"/>
          <w:sz w:val="24"/>
          <w:szCs w:val="24"/>
          <w:lang w:eastAsia="it-IT"/>
        </w:rPr>
        <w:t xml:space="preserve"> introdotta in un provvedimento legislativo volto specificamente al contenimento della spesa pubblica (cosiddetta spending review), ha natura esplicitamente interpretativa e come tale efficacia retroattiva, si caratterizza quale clausola normativa ermeneutica generale (norma di chiusura) salvo deroghe espresse, ed impone all'interprete (il quale dubiti dell'interpretazione di posizioni, anche di carattere speciale, in materia di società a totale o parziale partecipazione pubblica) di optare comunque per l'applicazione della disciplina del c.c. in materia di società di capitali" (Cass., </w:t>
      </w:r>
      <w:proofErr w:type="spellStart"/>
      <w:r w:rsidRPr="00586BA0">
        <w:rPr>
          <w:rFonts w:ascii="Lato" w:eastAsia="Times New Roman" w:hAnsi="Lato" w:cs="Times New Roman"/>
          <w:color w:val="000000"/>
          <w:spacing w:val="5"/>
          <w:sz w:val="24"/>
          <w:szCs w:val="24"/>
          <w:lang w:eastAsia="it-IT"/>
        </w:rPr>
        <w:t>ord</w:t>
      </w:r>
      <w:proofErr w:type="spellEnd"/>
      <w:r w:rsidRPr="00586BA0">
        <w:rPr>
          <w:rFonts w:ascii="Lato" w:eastAsia="Times New Roman" w:hAnsi="Lato" w:cs="Times New Roman"/>
          <w:color w:val="000000"/>
          <w:spacing w:val="5"/>
          <w:sz w:val="24"/>
          <w:szCs w:val="24"/>
          <w:lang w:eastAsia="it-IT"/>
        </w:rPr>
        <w:t>. 24591/2016).</w:t>
      </w:r>
    </w:p>
    <w:p w14:paraId="6A27A175"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7) La riscontrata natura privata, soggettiva e oggettiva, di Italferr, in quanto società a partecipazione pubblica, esclude la sussistenza di un rapporto di servizio tra agente ed ente pubblico danneggiato ed impedisce di configurare come erariali le perdite che restano esclusivamente della società, interne alla holding, che "è regolata nel caso come </w:t>
      </w:r>
      <w:r w:rsidRPr="00586BA0">
        <w:rPr>
          <w:rFonts w:ascii="Lato" w:eastAsia="Times New Roman" w:hAnsi="Lato" w:cs="Times New Roman"/>
          <w:color w:val="000000"/>
          <w:spacing w:val="5"/>
          <w:sz w:val="24"/>
          <w:szCs w:val="24"/>
          <w:lang w:eastAsia="it-IT"/>
        </w:rPr>
        <w:lastRenderedPageBreak/>
        <w:t xml:space="preserve">ogni altro soggetto sovrapersonale di diritto privato" (fra le varie S.U., </w:t>
      </w:r>
      <w:proofErr w:type="spellStart"/>
      <w:r w:rsidRPr="00586BA0">
        <w:rPr>
          <w:rFonts w:ascii="Lato" w:eastAsia="Times New Roman" w:hAnsi="Lato" w:cs="Times New Roman"/>
          <w:color w:val="000000"/>
          <w:spacing w:val="5"/>
          <w:sz w:val="24"/>
          <w:szCs w:val="24"/>
          <w:lang w:eastAsia="it-IT"/>
        </w:rPr>
        <w:t>ord</w:t>
      </w:r>
      <w:proofErr w:type="spellEnd"/>
      <w:r w:rsidRPr="00586BA0">
        <w:rPr>
          <w:rFonts w:ascii="Lato" w:eastAsia="Times New Roman" w:hAnsi="Lato" w:cs="Times New Roman"/>
          <w:color w:val="000000"/>
          <w:spacing w:val="5"/>
          <w:sz w:val="24"/>
          <w:szCs w:val="24"/>
          <w:lang w:eastAsia="it-IT"/>
        </w:rPr>
        <w:t>. 7 gennaio 2014, n. 71; 25 marzo 2013, n. 7374; 22 dicembre 2011, n. 23829).</w:t>
      </w:r>
    </w:p>
    <w:p w14:paraId="0D6A0795"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Non è ravvisabile, nella specie, alcuna delegazione di funzioni amministrative da R.F.I. a Italferr, </w:t>
      </w:r>
      <w:proofErr w:type="spellStart"/>
      <w:r w:rsidRPr="00586BA0">
        <w:rPr>
          <w:rFonts w:ascii="Lato" w:eastAsia="Times New Roman" w:hAnsi="Lato" w:cs="Times New Roman"/>
          <w:color w:val="000000"/>
          <w:spacing w:val="5"/>
          <w:sz w:val="24"/>
          <w:szCs w:val="24"/>
          <w:lang w:eastAsia="it-IT"/>
        </w:rPr>
        <w:t>giacchè</w:t>
      </w:r>
      <w:proofErr w:type="spellEnd"/>
      <w:r w:rsidRPr="00586BA0">
        <w:rPr>
          <w:rFonts w:ascii="Lato" w:eastAsia="Times New Roman" w:hAnsi="Lato" w:cs="Times New Roman"/>
          <w:color w:val="000000"/>
          <w:spacing w:val="5"/>
          <w:sz w:val="24"/>
          <w:szCs w:val="24"/>
          <w:lang w:eastAsia="it-IT"/>
        </w:rPr>
        <w:t xml:space="preserve"> R.F.I. non agisce tramite l'esercizio di poteri e funzioni di stampo amministrativo, ma attraverso lo svolgimento della propria libertà di iniziativa economica privata orientata all'interesse generale, senza per questo essere attratta nel dominio pubblicistico.</w:t>
      </w:r>
    </w:p>
    <w:p w14:paraId="37B19F32"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Il punto merita qualche precisazione. R.F.I. è gestore dell'infrastruttura ferroviaria nazionale. Come responsabile delle linee, delle stazioni e degli impianti, garantisce alle diverse imprese ferroviarie l'accesso alla rete italiana, assicura la manutenzione e la circolazione in sicurezza sull'intera infrastruttura, gestisce gli investimenti per il potenziamento e per lo sviluppo delle linee e degli impianti ferroviari e sviluppa la tecnologia dei sistemi e dei materiali. Sul fronte internazionale, promuove l'integrazione dell'infrastruttura italiana nella Rete Ferroviaria Europea, coordinandosi con i Paesi dell'UE in merito agli standard di qualità, alle azioni e alle strategie di commercializzazione dei servizi.</w:t>
      </w:r>
    </w:p>
    <w:p w14:paraId="34350041"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Il fatto che R.F.I. agisca sulla base di rapporto concessorio in forza di un accordo di programma con lo Stato non muta il quadro giuridico ai fini dell'individuazione della giurisdizione per i danni arrecati al patrimonio societario.</w:t>
      </w:r>
    </w:p>
    <w:p w14:paraId="70579534"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La concessione, nel mutato contesto di riferimento nazionale e comunitario da ultimo confluito nel recente </w:t>
      </w:r>
      <w:proofErr w:type="spellStart"/>
      <w:r w:rsidRPr="00586BA0">
        <w:rPr>
          <w:rFonts w:ascii="Lato" w:eastAsia="Times New Roman" w:hAnsi="Lato" w:cs="Times New Roman"/>
          <w:color w:val="000000"/>
          <w:spacing w:val="5"/>
          <w:sz w:val="24"/>
          <w:szCs w:val="24"/>
          <w:lang w:eastAsia="it-IT"/>
        </w:rPr>
        <w:t>dlgs</w:t>
      </w:r>
      <w:proofErr w:type="spellEnd"/>
      <w:r w:rsidRPr="00586BA0">
        <w:rPr>
          <w:rFonts w:ascii="Lato" w:eastAsia="Times New Roman" w:hAnsi="Lato" w:cs="Times New Roman"/>
          <w:color w:val="000000"/>
          <w:spacing w:val="5"/>
          <w:sz w:val="24"/>
          <w:szCs w:val="24"/>
          <w:lang w:eastAsia="it-IT"/>
        </w:rPr>
        <w:t>. 50/2016, non trasferisce all'ente privato poteri autoritativi secondo lo schema della delegazione di funzione.</w:t>
      </w:r>
    </w:p>
    <w:p w14:paraId="6B03D2B1"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La scelta di attribuire la gestione della rete ad un ente privato risponde precipuamente alla finalità di assicurare, attraverso l'esternalizzazione, un'efficiente gestione del servizio, per aumentarne le potenzialità produttive e incrementare il tasso di soddisfacimento della collettività. In definitiva, il concessionario non subentra nella posizione del concedente, ma acquista facoltà e obblighi di un servizio pubblico di interesse economico generale compatibile con la gestione in regime di impresa, tanto è vero che l'ente non è titolare della rete ma suo gestore.</w:t>
      </w:r>
    </w:p>
    <w:p w14:paraId="0CB6B23C"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Del resto, l'attività d'impresa non è considerata incompatibile con il perseguimento di interessi generali. Come affermato nel parere n. 968/2016 del Consiglio di Stato sullo schema di D.</w:t>
      </w:r>
      <w:proofErr w:type="gramStart"/>
      <w:r w:rsidRPr="00586BA0">
        <w:rPr>
          <w:rFonts w:ascii="Lato" w:eastAsia="Times New Roman" w:hAnsi="Lato" w:cs="Times New Roman"/>
          <w:color w:val="000000"/>
          <w:spacing w:val="5"/>
          <w:sz w:val="24"/>
          <w:szCs w:val="24"/>
          <w:lang w:eastAsia="it-IT"/>
        </w:rPr>
        <w:t>L.vo</w:t>
      </w:r>
      <w:proofErr w:type="gramEnd"/>
      <w:r w:rsidRPr="00586BA0">
        <w:rPr>
          <w:rFonts w:ascii="Lato" w:eastAsia="Times New Roman" w:hAnsi="Lato" w:cs="Times New Roman"/>
          <w:color w:val="000000"/>
          <w:spacing w:val="5"/>
          <w:sz w:val="24"/>
          <w:szCs w:val="24"/>
          <w:lang w:eastAsia="it-IT"/>
        </w:rPr>
        <w:t xml:space="preserve"> recante il T.U. delle società a partecipazione pubblica con precipuo riferimento al quadro previgente al citato T.U. "sussiste compatibilità tra "scopo pubblico" e "scopo lucrativo".</w:t>
      </w:r>
    </w:p>
    <w:p w14:paraId="57E06ADB"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Lo strumento delle società è, infatti, utilizzato anche nel settore del diritto civile per il conseguimento di scopi non lucrativi: il riferimento è non solo alla disciplina dell'impresa mutualistica (art. 2511 e ss.), ma anche e soprattutto alla disciplina dell'impresa sociale. In particolare, già il </w:t>
      </w:r>
      <w:hyperlink r:id="rId70" w:history="1">
        <w:r w:rsidRPr="00586BA0">
          <w:rPr>
            <w:rFonts w:ascii="Lato" w:eastAsia="Times New Roman" w:hAnsi="Lato" w:cs="Times New Roman"/>
            <w:b/>
            <w:bCs/>
            <w:color w:val="FFA403"/>
            <w:spacing w:val="5"/>
            <w:sz w:val="24"/>
            <w:szCs w:val="24"/>
            <w:lang w:eastAsia="it-IT"/>
          </w:rPr>
          <w:t>D.L.vo 24 marzo 2006, n. 155</w:t>
        </w:r>
      </w:hyperlink>
      <w:r w:rsidRPr="00586BA0">
        <w:rPr>
          <w:rFonts w:ascii="Lato" w:eastAsia="Times New Roman" w:hAnsi="Lato" w:cs="Times New Roman"/>
          <w:color w:val="000000"/>
          <w:spacing w:val="5"/>
          <w:sz w:val="24"/>
          <w:szCs w:val="24"/>
          <w:lang w:eastAsia="it-IT"/>
        </w:rPr>
        <w:t> (Disciplina dell'impresa sociale, a norma della </w:t>
      </w:r>
      <w:hyperlink r:id="rId71" w:history="1">
        <w:r w:rsidRPr="00586BA0">
          <w:rPr>
            <w:rFonts w:ascii="Lato" w:eastAsia="Times New Roman" w:hAnsi="Lato" w:cs="Times New Roman"/>
            <w:b/>
            <w:bCs/>
            <w:color w:val="FFA403"/>
            <w:spacing w:val="5"/>
            <w:sz w:val="24"/>
            <w:szCs w:val="24"/>
            <w:lang w:eastAsia="it-IT"/>
          </w:rPr>
          <w:t>L. 13 giugno 2005, n. 118</w:t>
        </w:r>
      </w:hyperlink>
      <w:r w:rsidRPr="00586BA0">
        <w:rPr>
          <w:rFonts w:ascii="Lato" w:eastAsia="Times New Roman" w:hAnsi="Lato" w:cs="Times New Roman"/>
          <w:color w:val="000000"/>
          <w:spacing w:val="5"/>
          <w:sz w:val="24"/>
          <w:szCs w:val="24"/>
          <w:lang w:eastAsia="it-IT"/>
        </w:rPr>
        <w:t>) prevedeva che possono acquisire detta qualifica tutte le organizzazioni private, ivi compresi gli enti societari, "che esercitano in via stabile e principale un'attività economica organizzata al fine della produzione o dello scambio di beni o servizi di utilità sociale, diretta a realizzare finalità di interesse generale" (art. 1). La disciplina, confluita nel </w:t>
      </w:r>
      <w:hyperlink r:id="rId72" w:history="1">
        <w:r w:rsidRPr="00586BA0">
          <w:rPr>
            <w:rFonts w:ascii="Lato" w:eastAsia="Times New Roman" w:hAnsi="Lato" w:cs="Times New Roman"/>
            <w:b/>
            <w:bCs/>
            <w:color w:val="FFA403"/>
            <w:spacing w:val="5"/>
            <w:sz w:val="24"/>
            <w:szCs w:val="24"/>
            <w:lang w:eastAsia="it-IT"/>
          </w:rPr>
          <w:t>D.L.vo 3 luglio 2017, n. 112</w:t>
        </w:r>
      </w:hyperlink>
      <w:r w:rsidRPr="00586BA0">
        <w:rPr>
          <w:rFonts w:ascii="Lato" w:eastAsia="Times New Roman" w:hAnsi="Lato" w:cs="Times New Roman"/>
          <w:color w:val="000000"/>
          <w:spacing w:val="5"/>
          <w:sz w:val="24"/>
          <w:szCs w:val="24"/>
          <w:lang w:eastAsia="it-IT"/>
        </w:rPr>
        <w:t>, di "revisione della disciplina in materia di impresa sociale, all'art. 1 è oggi ancora più chiara in questo senso.</w:t>
      </w:r>
    </w:p>
    <w:p w14:paraId="57704333"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Su un piano più generale, dopo la riforma del diritto societario del 2003, "l'interesse sociale non ha una connotazione omogenea ed unitaria, in quanto confluiscono nell'assetto societario non solo interessi eterogenei che fanno capo agli stessi soci (si pensi al socio investitore e a quello imprenditore) ma anche interessi diversi riferibili a soggetti terzi" (Cons. Stato, sez. VI, 20 marzo 2012, n. 1574)".</w:t>
      </w:r>
    </w:p>
    <w:p w14:paraId="08CEEE19"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lastRenderedPageBreak/>
        <w:t>Al di là di tale dato, va soggiunto che l'introduzione di un vincolo di scopo e di attività, a norma dell'art. 4 T.U. sulle società a partecipazione pubblica, rafforza l'idea che anche quando l'attività svolta si connoti in senso marcatamente pubblicistico, in termini di servizio pubblico o in relazione agli appalti pubblici, l'ente societario, pur sempre dotato di autonoma soggettività giuridica, va ricondotto nell'alveo della disciplina privatistica, salve le deroghe, eccezionali, previste dal medesimo T.U. In sostanza la compartecipazione di soggetti privati alla realizzazione di scopi pubblici non è elemento sufficiente a tramutare la forma e la natura dell'ente e, per quel che interessa, a radicare la giurisdizione contabile.</w:t>
      </w:r>
    </w:p>
    <w:p w14:paraId="0590DE26"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Quest'ultima, si è osservato in dottrina, può investire quei soggetti legati alla pubblica amministrazione da un rapporto di servizio, configurabile con i soggetti chiamati a controllare e vigilare l'uso del danaro pubblico impiegato dai soggetti privati di cui l'amministrazione si avvale, ma non direttamente con questi ultimi, in specie con società di diritto privato. Tantomeno con i dirigenti o i dipendenti di esse.</w:t>
      </w:r>
    </w:p>
    <w:p w14:paraId="21A6F999"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Nel caso di specie, è vero che lo Stato, come socio diretto di Ferrovie dello Stato e indiretto di R.F.I. e di Italferr, è interessato al loro agire. Tuttavia, escluso il rapporto di servizio tra lo Stato e Ferrovie dello Stato, a fortiori detta relazione di servizio non ricorre tra lo Stato e le società satellite, </w:t>
      </w:r>
      <w:proofErr w:type="spellStart"/>
      <w:r w:rsidRPr="00586BA0">
        <w:rPr>
          <w:rFonts w:ascii="Lato" w:eastAsia="Times New Roman" w:hAnsi="Lato" w:cs="Times New Roman"/>
          <w:color w:val="000000"/>
          <w:spacing w:val="5"/>
          <w:sz w:val="24"/>
          <w:szCs w:val="24"/>
          <w:lang w:eastAsia="it-IT"/>
        </w:rPr>
        <w:t>sicchè</w:t>
      </w:r>
      <w:proofErr w:type="spellEnd"/>
      <w:r w:rsidRPr="00586BA0">
        <w:rPr>
          <w:rFonts w:ascii="Lato" w:eastAsia="Times New Roman" w:hAnsi="Lato" w:cs="Times New Roman"/>
          <w:color w:val="000000"/>
          <w:spacing w:val="5"/>
          <w:sz w:val="24"/>
          <w:szCs w:val="24"/>
          <w:lang w:eastAsia="it-IT"/>
        </w:rPr>
        <w:t xml:space="preserve"> il danno rimane questione interna alla holding. Tanto basta ad escludere che l'apparato statale possa subire in via immediata e diretta un danno di natura erariale.</w:t>
      </w:r>
    </w:p>
    <w:p w14:paraId="1DC2395A"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Inoltre, quand'anche R.F.I. fosse qualificabile come società sostanzialmente pubblicistica in ragione dell'attività svolta, non è "ente partecipante" di Italferr, il cui unico socio è Ferrovie dello Stato S.p.A. La posizione collaterale tra R.F.I. e Italferr implica tra di esse un rapporto solo mediato, per l'identità del socio partecipante all'una e all'altra persona giuridica. Soltanto Ferrovie dello stato S.p.A. potrebbe, allora, subire un danno diretto, peraltro attratto alla giurisdizione del giudice ordinario stante l'accertata vocazione industriale e commerciale di Ferrovie dello Stato.</w:t>
      </w:r>
    </w:p>
    <w:p w14:paraId="3F1EF235"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Il danno prodotto nei confronti di R.F.I., dunque, sarebbe danno indiretto, insuscettibile di essere inquadrato come conseguenza erariale immediata di cognizione della giurisdizione contabile.</w:t>
      </w:r>
    </w:p>
    <w:p w14:paraId="213EC428"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proofErr w:type="spellStart"/>
      <w:r w:rsidRPr="00586BA0">
        <w:rPr>
          <w:rFonts w:ascii="Lato" w:eastAsia="Times New Roman" w:hAnsi="Lato" w:cs="Times New Roman"/>
          <w:color w:val="000000"/>
          <w:spacing w:val="5"/>
          <w:sz w:val="24"/>
          <w:szCs w:val="24"/>
          <w:lang w:eastAsia="it-IT"/>
        </w:rPr>
        <w:t>Nè</w:t>
      </w:r>
      <w:proofErr w:type="spellEnd"/>
      <w:r w:rsidRPr="00586BA0">
        <w:rPr>
          <w:rFonts w:ascii="Lato" w:eastAsia="Times New Roman" w:hAnsi="Lato" w:cs="Times New Roman"/>
          <w:color w:val="000000"/>
          <w:spacing w:val="5"/>
          <w:sz w:val="24"/>
          <w:szCs w:val="24"/>
          <w:lang w:eastAsia="it-IT"/>
        </w:rPr>
        <w:t xml:space="preserve"> il rapporto di servizio può derivare dal contratto che lega Italferr ad R.F.I.: il concessionario non può trasferire infatti gli obblighi e i diritti che gli derivano dalla concessione, ma solo appaltare, tramite un normale contratto di diritto comune sub specie di contratto di appalto infragruppo, la gestione di un servizio compatibile con il regime d'impresa.</w:t>
      </w:r>
    </w:p>
    <w:p w14:paraId="7FF7F164"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Manca dunque quel nesso funzionale tra l'agente incolpato e l'amministrazione asseritamente danneggiata che è fondamento della responsabilità amministrativa, estranea in tesi all'impresa commerciale, senza che sia ravvisabile quel necessario svolgimento di funzioni proprie dell'amministrazione che, come osservato a commento di SU n. 1159/15, è stato da tempo indicato dalla Corte Costituzionale (n. 340/01) quale presupposto immancabile.</w:t>
      </w:r>
    </w:p>
    <w:p w14:paraId="65F498BD"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 xml:space="preserve">7.1) Resta da dire che sono state da tempo più accuratamente dimensionate le suggestive considerazioni, di cui vi è eco in causa, secondo cui "il dato essenziale che radica la giurisdizione contabile è rappresentato essenzialmente dall'evento dannoso verificatosi a carico di una P.A. e non dal quadro di riferimento pubblico o privato nel quale si colloca la condotta produttiva del danno: la detta giurisdizione sussiste quindi anche con riguardo a fatti posti in essere da privati". Queste considerazioni, riferite da SU 13567/13, ma tratte dall'ordinanza delle Sezioni Unite n. 24672 del 2009, sono state superate efficacemente da quanto enunciato, a partire da Cass. S.U. 20941/2011, in </w:t>
      </w:r>
      <w:r w:rsidRPr="00586BA0">
        <w:rPr>
          <w:rFonts w:ascii="Lato" w:eastAsia="Times New Roman" w:hAnsi="Lato" w:cs="Times New Roman"/>
          <w:color w:val="000000"/>
          <w:spacing w:val="5"/>
          <w:sz w:val="24"/>
          <w:szCs w:val="24"/>
          <w:lang w:eastAsia="it-IT"/>
        </w:rPr>
        <w:lastRenderedPageBreak/>
        <w:t xml:space="preserve">tema di rapporti tra giurisdizione ordinaria e contabile sul pregiudizio patrimoniale arrecato dalla "mala </w:t>
      </w:r>
      <w:proofErr w:type="spellStart"/>
      <w:r w:rsidRPr="00586BA0">
        <w:rPr>
          <w:rFonts w:ascii="Lato" w:eastAsia="Times New Roman" w:hAnsi="Lato" w:cs="Times New Roman"/>
          <w:color w:val="000000"/>
          <w:spacing w:val="5"/>
          <w:sz w:val="24"/>
          <w:szCs w:val="24"/>
          <w:lang w:eastAsia="it-IT"/>
        </w:rPr>
        <w:t>gestio</w:t>
      </w:r>
      <w:proofErr w:type="spellEnd"/>
      <w:r w:rsidRPr="00586BA0">
        <w:rPr>
          <w:rFonts w:ascii="Lato" w:eastAsia="Times New Roman" w:hAnsi="Lato" w:cs="Times New Roman"/>
          <w:color w:val="000000"/>
          <w:spacing w:val="5"/>
          <w:sz w:val="24"/>
          <w:szCs w:val="24"/>
          <w:lang w:eastAsia="it-IT"/>
        </w:rPr>
        <w:t>" degli organi sociali alle società di diritto privato a partecipazione pubblica.</w:t>
      </w:r>
    </w:p>
    <w:p w14:paraId="73947DF9"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8) Ne consegue, in ripetuta applicazione dei principi enunciati in argomento dalla Corte di cassazione l'affermazione della giurisdizione del giudice ordinario, con la conseguente declaratoria del difetto di giurisdizione della Corte dei Conti.</w:t>
      </w:r>
    </w:p>
    <w:p w14:paraId="22B1A834"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P.Q.M.</w:t>
      </w:r>
    </w:p>
    <w:p w14:paraId="148E985A" w14:textId="77777777" w:rsidR="00586BA0" w:rsidRPr="00586BA0" w:rsidRDefault="00586BA0" w:rsidP="00586BA0">
      <w:pPr>
        <w:shd w:val="clear" w:color="auto" w:fill="FFFFFF"/>
        <w:spacing w:after="0" w:line="240" w:lineRule="auto"/>
        <w:jc w:val="both"/>
        <w:rPr>
          <w:rFonts w:ascii="Lato" w:eastAsia="Times New Roman" w:hAnsi="Lato" w:cs="Times New Roman"/>
          <w:color w:val="000000"/>
          <w:spacing w:val="5"/>
          <w:sz w:val="24"/>
          <w:szCs w:val="24"/>
          <w:lang w:eastAsia="it-IT"/>
        </w:rPr>
      </w:pPr>
      <w:r w:rsidRPr="00586BA0">
        <w:rPr>
          <w:rFonts w:ascii="Lato" w:eastAsia="Times New Roman" w:hAnsi="Lato" w:cs="Times New Roman"/>
          <w:color w:val="000000"/>
          <w:spacing w:val="5"/>
          <w:sz w:val="24"/>
          <w:szCs w:val="24"/>
          <w:lang w:eastAsia="it-IT"/>
        </w:rPr>
        <w:t>Riunisce i ricorsi. Dichiara il difetto di giurisdizione della Corte dei Conti.</w:t>
      </w:r>
    </w:p>
    <w:p w14:paraId="74006B04" w14:textId="77777777" w:rsidR="00586BA0" w:rsidRDefault="00586BA0"/>
    <w:p w14:paraId="6683260B" w14:textId="77777777" w:rsidR="00517A16" w:rsidRDefault="00517A16"/>
    <w:p w14:paraId="07641107" w14:textId="77777777" w:rsidR="00692E4A" w:rsidRPr="00692E4A" w:rsidRDefault="00692E4A" w:rsidP="00692E4A">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692E4A">
        <w:rPr>
          <w:rFonts w:ascii="Lato" w:eastAsia="Times New Roman" w:hAnsi="Lato" w:cs="Times New Roman"/>
          <w:color w:val="3E4249"/>
          <w:spacing w:val="5"/>
          <w:kern w:val="36"/>
          <w:sz w:val="45"/>
          <w:szCs w:val="45"/>
          <w:lang w:eastAsia="it-IT"/>
        </w:rPr>
        <w:t>Corte di cassazione civile, sez. un., 12 dicembre 2019 n. 32608</w:t>
      </w:r>
    </w:p>
    <w:p w14:paraId="24EDE11B" w14:textId="77777777" w:rsidR="00692E4A" w:rsidRPr="00692E4A" w:rsidRDefault="00692E4A" w:rsidP="00692E4A">
      <w:pPr>
        <w:shd w:val="clear" w:color="auto" w:fill="FFFFFF"/>
        <w:spacing w:after="0" w:line="240" w:lineRule="auto"/>
        <w:rPr>
          <w:rFonts w:ascii="Lato" w:eastAsia="Times New Roman" w:hAnsi="Lato" w:cs="Times New Roman"/>
          <w:color w:val="000000"/>
          <w:spacing w:val="5"/>
          <w:sz w:val="24"/>
          <w:szCs w:val="24"/>
          <w:lang w:eastAsia="it-IT"/>
        </w:rPr>
      </w:pPr>
      <w:r w:rsidRPr="00692E4A">
        <w:rPr>
          <w:rFonts w:ascii="Lato" w:eastAsia="Times New Roman" w:hAnsi="Lato" w:cs="Times New Roman"/>
          <w:noProof/>
          <w:color w:val="005797"/>
          <w:spacing w:val="5"/>
          <w:sz w:val="24"/>
          <w:szCs w:val="24"/>
          <w:lang w:eastAsia="it-IT"/>
        </w:rPr>
        <w:drawing>
          <wp:inline distT="0" distB="0" distL="0" distR="0" wp14:anchorId="4A496F48" wp14:editId="5F2E85CF">
            <wp:extent cx="160655" cy="160655"/>
            <wp:effectExtent l="0" t="0" r="0" b="0"/>
            <wp:docPr id="9" name="Immagine 4">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692E4A">
        <w:rPr>
          <w:rFonts w:ascii="Lato" w:eastAsia="Times New Roman" w:hAnsi="Lato" w:cs="Times New Roman"/>
          <w:color w:val="000000"/>
          <w:spacing w:val="5"/>
          <w:sz w:val="24"/>
          <w:szCs w:val="24"/>
          <w:lang w:eastAsia="it-IT"/>
        </w:rPr>
        <w:t>    </w:t>
      </w:r>
      <w:r w:rsidRPr="00692E4A">
        <w:rPr>
          <w:rFonts w:ascii="Lato" w:eastAsia="Times New Roman" w:hAnsi="Lato" w:cs="Times New Roman"/>
          <w:b/>
          <w:bCs/>
          <w:color w:val="000000"/>
          <w:spacing w:val="5"/>
          <w:sz w:val="24"/>
          <w:szCs w:val="24"/>
          <w:shd w:val="clear" w:color="auto" w:fill="FFC602"/>
          <w:lang w:eastAsia="it-IT"/>
        </w:rPr>
        <w:t>IL FORO ITALIANO</w:t>
      </w:r>
      <w:r w:rsidRPr="00692E4A">
        <w:rPr>
          <w:rFonts w:ascii="Lato" w:eastAsia="Times New Roman" w:hAnsi="Lato" w:cs="Times New Roman"/>
          <w:color w:val="000000"/>
          <w:spacing w:val="5"/>
          <w:sz w:val="24"/>
          <w:szCs w:val="24"/>
          <w:lang w:eastAsia="it-IT"/>
        </w:rPr>
        <w:t> </w:t>
      </w:r>
    </w:p>
    <w:p w14:paraId="54E19F0D" w14:textId="77777777" w:rsidR="00692E4A" w:rsidRPr="00692E4A" w:rsidRDefault="00692E4A" w:rsidP="00692E4A">
      <w:pPr>
        <w:pBdr>
          <w:top w:val="single" w:sz="6" w:space="0" w:color="auto"/>
          <w:left w:val="single" w:sz="6" w:space="8" w:color="auto"/>
          <w:bottom w:val="single" w:sz="6" w:space="0" w:color="auto"/>
          <w:right w:val="single" w:sz="6" w:space="8" w:color="auto"/>
        </w:pBdr>
        <w:shd w:val="clear" w:color="auto" w:fill="FFFFFF"/>
        <w:spacing w:before="45" w:after="0" w:line="570" w:lineRule="atLeast"/>
        <w:outlineLvl w:val="4"/>
        <w:rPr>
          <w:rFonts w:ascii="Lato" w:eastAsia="Times New Roman" w:hAnsi="Lato" w:cs="Times New Roman"/>
          <w:b/>
          <w:bCs/>
          <w:color w:val="905CB8"/>
          <w:spacing w:val="5"/>
          <w:sz w:val="21"/>
          <w:szCs w:val="21"/>
          <w:lang w:eastAsia="it-IT"/>
        </w:rPr>
      </w:pPr>
      <w:r w:rsidRPr="00692E4A">
        <w:rPr>
          <w:rFonts w:ascii="Lato" w:eastAsia="Times New Roman" w:hAnsi="Lato" w:cs="Times New Roman"/>
          <w:b/>
          <w:bCs/>
          <w:color w:val="905CB8"/>
          <w:spacing w:val="5"/>
          <w:sz w:val="21"/>
          <w:szCs w:val="21"/>
          <w:lang w:eastAsia="it-IT"/>
        </w:rPr>
        <w:t>GIURISPRUDENZA • SENTENZA</w:t>
      </w:r>
    </w:p>
    <w:p w14:paraId="6E9F922F" w14:textId="77777777" w:rsidR="00692E4A" w:rsidRPr="00692E4A" w:rsidRDefault="00692E4A" w:rsidP="00692E4A">
      <w:pPr>
        <w:spacing w:after="0" w:line="240" w:lineRule="auto"/>
        <w:rPr>
          <w:rFonts w:ascii="Times New Roman" w:eastAsia="Times New Roman" w:hAnsi="Times New Roman" w:cs="Times New Roman"/>
          <w:sz w:val="24"/>
          <w:szCs w:val="24"/>
          <w:lang w:eastAsia="it-IT"/>
        </w:rPr>
      </w:pPr>
    </w:p>
    <w:p w14:paraId="7AB7F474" w14:textId="77777777" w:rsidR="00692E4A" w:rsidRPr="00692E4A" w:rsidRDefault="00692E4A" w:rsidP="00692E4A">
      <w:pPr>
        <w:shd w:val="clear" w:color="auto" w:fill="FFFFFF"/>
        <w:spacing w:after="0" w:line="240" w:lineRule="auto"/>
        <w:rPr>
          <w:rFonts w:ascii="Lato" w:eastAsia="Times New Roman" w:hAnsi="Lato" w:cs="Times New Roman"/>
          <w:i/>
          <w:iCs/>
          <w:color w:val="000000"/>
          <w:spacing w:val="5"/>
          <w:sz w:val="24"/>
          <w:szCs w:val="24"/>
          <w:lang w:eastAsia="it-IT"/>
        </w:rPr>
      </w:pPr>
      <w:hyperlink r:id="rId73" w:history="1">
        <w:r w:rsidRPr="00692E4A">
          <w:rPr>
            <w:rFonts w:ascii="Lato" w:eastAsia="Times New Roman" w:hAnsi="Lato" w:cs="Times New Roman"/>
            <w:b/>
            <w:bCs/>
            <w:i/>
            <w:iCs/>
            <w:color w:val="FFFFFF"/>
            <w:spacing w:val="5"/>
            <w:sz w:val="24"/>
            <w:szCs w:val="24"/>
            <w:shd w:val="clear" w:color="auto" w:fill="FFA403"/>
            <w:lang w:eastAsia="it-IT"/>
          </w:rPr>
          <w:t>"Responsabilità contabile e amministrativa"</w:t>
        </w:r>
      </w:hyperlink>
    </w:p>
    <w:p w14:paraId="7E2A0F2E" w14:textId="77777777" w:rsidR="00692E4A" w:rsidRPr="00692E4A" w:rsidRDefault="00692E4A" w:rsidP="00692E4A">
      <w:pPr>
        <w:spacing w:before="300" w:after="300" w:line="240" w:lineRule="auto"/>
        <w:rPr>
          <w:rFonts w:ascii="Lato" w:eastAsia="Times New Roman" w:hAnsi="Lato" w:cs="Times New Roman"/>
          <w:spacing w:val="5"/>
          <w:sz w:val="24"/>
          <w:szCs w:val="24"/>
          <w:lang w:eastAsia="it-IT"/>
        </w:rPr>
      </w:pPr>
      <w:r w:rsidRPr="00692E4A">
        <w:rPr>
          <w:rFonts w:ascii="Times New Roman" w:eastAsia="Times New Roman" w:hAnsi="Times New Roman" w:cs="Times New Roman"/>
          <w:sz w:val="24"/>
          <w:szCs w:val="24"/>
          <w:lang w:eastAsia="it-IT"/>
        </w:rPr>
        <w:pict w14:anchorId="5939544E">
          <v:rect id="_x0000_i1036" style="width:0;height:0" o:hralign="center" o:hrstd="t" o:hrnoshade="t" o:hr="t" fillcolor="black" stroked="f"/>
        </w:pict>
      </w:r>
    </w:p>
    <w:p w14:paraId="2E956075" w14:textId="77777777" w:rsidR="00692E4A" w:rsidRPr="00692E4A" w:rsidRDefault="00692E4A" w:rsidP="00692E4A">
      <w:pPr>
        <w:shd w:val="clear" w:color="auto" w:fill="FFFFFF"/>
        <w:spacing w:after="0" w:line="240" w:lineRule="auto"/>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br/>
      </w:r>
    </w:p>
    <w:p w14:paraId="33A22F03" w14:textId="77777777" w:rsidR="00692E4A" w:rsidRPr="00692E4A" w:rsidRDefault="00692E4A" w:rsidP="00692E4A">
      <w:pPr>
        <w:shd w:val="clear" w:color="auto" w:fill="FFFFFF"/>
        <w:spacing w:after="0" w:line="240" w:lineRule="auto"/>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Responsabilità contabile e amministrativa</w:t>
      </w:r>
    </w:p>
    <w:p w14:paraId="6FF25D01" w14:textId="77777777" w:rsidR="00692E4A" w:rsidRPr="00692E4A" w:rsidRDefault="00692E4A" w:rsidP="00692E4A">
      <w:pPr>
        <w:shd w:val="clear" w:color="auto" w:fill="FFFFFF"/>
        <w:spacing w:after="0" w:line="240" w:lineRule="auto"/>
        <w:rPr>
          <w:rFonts w:ascii="Lato" w:eastAsia="Times New Roman" w:hAnsi="Lato" w:cs="Times New Roman"/>
          <w:i/>
          <w:iCs/>
          <w:color w:val="000000"/>
          <w:spacing w:val="5"/>
          <w:sz w:val="24"/>
          <w:szCs w:val="24"/>
          <w:lang w:eastAsia="it-IT"/>
        </w:rPr>
      </w:pPr>
      <w:r w:rsidRPr="00692E4A">
        <w:rPr>
          <w:rFonts w:ascii="Lato" w:eastAsia="Times New Roman" w:hAnsi="Lato" w:cs="Times New Roman"/>
          <w:i/>
          <w:iCs/>
          <w:color w:val="000000"/>
          <w:spacing w:val="5"/>
          <w:sz w:val="24"/>
          <w:szCs w:val="24"/>
          <w:lang w:eastAsia="it-IT"/>
        </w:rPr>
        <w:t>Presidente Curzio; Ricorrente Milillo (Avv. Carraro, Imparato) c. Proc. reg. Corte dei conti per il Lazio; Santini (Avv. Di Bonito) c. Proc. reg. Corte dei conti per il Lazio.</w:t>
      </w:r>
    </w:p>
    <w:p w14:paraId="3FE6E42D" w14:textId="77777777" w:rsidR="00692E4A" w:rsidRPr="00692E4A" w:rsidRDefault="00692E4A" w:rsidP="00692E4A">
      <w:pPr>
        <w:shd w:val="clear" w:color="auto" w:fill="FFFFFF"/>
        <w:spacing w:after="0" w:line="240" w:lineRule="auto"/>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br/>
      </w:r>
    </w:p>
    <w:p w14:paraId="17CC7315" w14:textId="77777777" w:rsidR="00692E4A" w:rsidRPr="00692E4A" w:rsidRDefault="00692E4A" w:rsidP="00692E4A">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692E4A">
        <w:rPr>
          <w:rFonts w:ascii="Lato" w:eastAsia="Times New Roman" w:hAnsi="Lato" w:cs="Times New Roman"/>
          <w:b/>
          <w:bCs/>
          <w:color w:val="000000"/>
          <w:spacing w:val="5"/>
          <w:sz w:val="26"/>
          <w:szCs w:val="26"/>
          <w:lang w:eastAsia="it-IT"/>
        </w:rPr>
        <w:t>Svolgimento del processo e motivi della decisione</w:t>
      </w:r>
    </w:p>
    <w:p w14:paraId="1967B337"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II</w:t>
      </w:r>
    </w:p>
    <w:p w14:paraId="3A52FC81"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Cass., </w:t>
      </w:r>
      <w:proofErr w:type="spellStart"/>
      <w:r w:rsidRPr="00692E4A">
        <w:rPr>
          <w:rFonts w:ascii="Lato" w:eastAsia="Times New Roman" w:hAnsi="Lato" w:cs="Times New Roman"/>
          <w:color w:val="000000"/>
          <w:spacing w:val="5"/>
          <w:sz w:val="24"/>
          <w:szCs w:val="24"/>
          <w:lang w:eastAsia="it-IT"/>
        </w:rPr>
        <w:t>ord</w:t>
      </w:r>
      <w:proofErr w:type="spellEnd"/>
      <w:r w:rsidRPr="00692E4A">
        <w:rPr>
          <w:rFonts w:ascii="Lato" w:eastAsia="Times New Roman" w:hAnsi="Lato" w:cs="Times New Roman"/>
          <w:color w:val="000000"/>
          <w:spacing w:val="5"/>
          <w:sz w:val="24"/>
          <w:szCs w:val="24"/>
          <w:lang w:eastAsia="it-IT"/>
        </w:rPr>
        <w:t>. 12 dicembre 2019, n. 32608</w:t>
      </w:r>
    </w:p>
    <w:p w14:paraId="1CADAB32"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i/>
          <w:iCs/>
          <w:color w:val="000000"/>
          <w:spacing w:val="5"/>
          <w:sz w:val="24"/>
          <w:szCs w:val="24"/>
          <w:lang w:eastAsia="it-IT"/>
        </w:rPr>
        <w:t>Fatti di causa. —</w:t>
      </w:r>
      <w:r w:rsidRPr="00692E4A">
        <w:rPr>
          <w:rFonts w:ascii="Lato" w:eastAsia="Times New Roman" w:hAnsi="Lato" w:cs="Times New Roman"/>
          <w:color w:val="000000"/>
          <w:spacing w:val="5"/>
          <w:sz w:val="24"/>
          <w:szCs w:val="24"/>
          <w:lang w:eastAsia="it-IT"/>
        </w:rPr>
        <w:t> 1. - In data 14 luglio 2015 la Fondazione ente nazionale di previdenza ed assistenza dei medici e degli odontoiatri - Enpam ha costituito, in attuazione della deliberazione del consiglio di amministrazione dell'ente, la società a responsabilità limitata denominata Enpam sicura s.r.l. a socio unico, avente per oggetto sociale lo svolgimento dell'attività di assistenza a favore degli iscritti e dipendenti dell'Enpam, di loro familiari e superstiti, o di persone giuridiche cui essi aderiscano, in attuazione degli scopi istituzionali della fondazione, con il compito, tra l'altro, di fornire ai soggetti sopra indicati forme di assistenza e previdenza integrative, nonché di tutela sanitaria integrativa ed attività strumentali, funzionali o connesse.</w:t>
      </w:r>
    </w:p>
    <w:p w14:paraId="4D8D57D5"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Enpam sicura è sorta, in particolare, al fine di consentire alla fondazione Enpam di gestire in proprio, tramite la controllata al 100 per cento, la copertura assicurativa per la tutela assistenziale degli iscritti nei primi trenta giorni di malattia, per la quale viene devoluto all'Enpam un contributo pari allo 0,72 per cento sull'ammontare dell'onorario professionale, in sostituzione del modello, in essere fin dal 1980, di ricorso a una </w:t>
      </w:r>
      <w:r w:rsidRPr="00692E4A">
        <w:rPr>
          <w:rFonts w:ascii="Lato" w:eastAsia="Times New Roman" w:hAnsi="Lato" w:cs="Times New Roman"/>
          <w:color w:val="000000"/>
          <w:spacing w:val="5"/>
          <w:sz w:val="24"/>
          <w:szCs w:val="24"/>
          <w:lang w:eastAsia="it-IT"/>
        </w:rPr>
        <w:lastRenderedPageBreak/>
        <w:t>compagnia di assicurazioni privata (nella specie, assicurazioni Generali) mediante la stipula di una polizza collettiva nell'interesse degli iscritti.</w:t>
      </w:r>
    </w:p>
    <w:p w14:paraId="426F68D6"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2. - Con atto di citazione notificato il 21 novembre 2018, la procura regionale ha convenuto in giudizio dinanzi alla sezione giurisdizione per il Lazio della Corte dei conti Giacomo Milillo e Giulio Santini, per sentirli condannare, nella qualità, rispettivamente, di presidente e di direttore generale di Enpam sicura, al pagamento in favore dell'erario della somma di euro 2.567.562,52.</w:t>
      </w:r>
    </w:p>
    <w:p w14:paraId="4715A725"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La procura contabile ha contestato ai convenuti: di avere assunto o favorito l'assunzione di trentanove dipendenti (la maggior parte dei quali già alle dipendenze di società facenti capo al Santini), violando il regolamento delle assunzioni di Enpam sicura s.r.l.; di avere creato un disavanzo di gestione, in gran parte imputabile alla spesa per retribuire i dipendenti; di avere determinato lo scioglimento di Enpam sicura; di avere causato la perdita di credito della fondazione, a causa del mancato parziale recupero del finanziamento infruttifero, devoluto alla partecipata per la copertura delle passività risultanti dal bilancio finale di liquidazione; di avere altresì causato spese relative a consulenze varie disposte per la liquidazione e lo scioglimento di Enpam sicura.</w:t>
      </w:r>
    </w:p>
    <w:p w14:paraId="24BA0245"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2.1. - A sostegno della giurisdizione della Corte dei conti, l'atto di citazione del pubblico ministero rileva che il socio unico Enpam, anche se costituisce una fondazione di diritto privato, svolge un'attività di natura pubblica ed è sottoposto sia alla vigilanza del ministero del lavoro e del ministero dell'economia che al controllo della Corte dei conti, secondo quanto previsto dagli art. 2 e 3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30 giugno 1994 n. 509 (attuazione della delega conferita dall'</w:t>
      </w:r>
      <w:hyperlink r:id="rId74" w:history="1">
        <w:r w:rsidRPr="00692E4A">
          <w:rPr>
            <w:rFonts w:ascii="Lato" w:eastAsia="Times New Roman" w:hAnsi="Lato" w:cs="Times New Roman"/>
            <w:b/>
            <w:bCs/>
            <w:color w:val="FFA403"/>
            <w:spacing w:val="5"/>
            <w:sz w:val="24"/>
            <w:szCs w:val="24"/>
            <w:lang w:eastAsia="it-IT"/>
          </w:rPr>
          <w:t>art. 1, comma 32, l. 24 dicembre 1993 n. 537</w:t>
        </w:r>
      </w:hyperlink>
      <w:r w:rsidRPr="00692E4A">
        <w:rPr>
          <w:rFonts w:ascii="Lato" w:eastAsia="Times New Roman" w:hAnsi="Lato" w:cs="Times New Roman"/>
          <w:color w:val="000000"/>
          <w:spacing w:val="5"/>
          <w:sz w:val="24"/>
          <w:szCs w:val="24"/>
          <w:lang w:eastAsia="it-IT"/>
        </w:rPr>
        <w:t>, in materia di trasformazione in persone giuridiche private di enti gestori di forme obbligatorie di previdenza e assistenza). Sottolinea, inoltre, che la giurisdizione contabile consegue all'obbligo di applicazione alle casse previdenziali privatizzate della normativa degli appalti pubblici, in qualità di organismi di diritto pubblico, e discende dal loro inserimento nel conto economico consolidato dello Stato, ai sensi dell'art. 1, 2° comma, </w:t>
      </w:r>
      <w:hyperlink r:id="rId75" w:history="1">
        <w:r w:rsidRPr="00692E4A">
          <w:rPr>
            <w:rFonts w:ascii="Lato" w:eastAsia="Times New Roman" w:hAnsi="Lato" w:cs="Times New Roman"/>
            <w:b/>
            <w:bCs/>
            <w:color w:val="FFA403"/>
            <w:spacing w:val="5"/>
            <w:sz w:val="24"/>
            <w:szCs w:val="24"/>
            <w:lang w:eastAsia="it-IT"/>
          </w:rPr>
          <w:t>l. 30 dicembre 2009 n. 196</w:t>
        </w:r>
      </w:hyperlink>
      <w:r w:rsidRPr="00692E4A">
        <w:rPr>
          <w:rFonts w:ascii="Lato" w:eastAsia="Times New Roman" w:hAnsi="Lato" w:cs="Times New Roman"/>
          <w:color w:val="000000"/>
          <w:spacing w:val="5"/>
          <w:sz w:val="24"/>
          <w:szCs w:val="24"/>
          <w:lang w:eastAsia="it-IT"/>
        </w:rPr>
        <w:t> (legge di contabilità e finanza pubblica).</w:t>
      </w:r>
    </w:p>
    <w:p w14:paraId="0EF5E404"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3. - Ricevuta la notificazione dell'atto di citazione, con udienza fissata per la trattazione del giudizio di merito per il giorno 28 marzo 2019, Giacomo Milillo, con atto notificato il 21 febbraio 2019, ha proposto ricorso per regolamento preventivo di giurisdizione (iscritto al </w:t>
      </w:r>
      <w:proofErr w:type="spellStart"/>
      <w:r w:rsidRPr="00692E4A">
        <w:rPr>
          <w:rFonts w:ascii="Lato" w:eastAsia="Times New Roman" w:hAnsi="Lato" w:cs="Times New Roman"/>
          <w:color w:val="000000"/>
          <w:spacing w:val="5"/>
          <w:sz w:val="24"/>
          <w:szCs w:val="24"/>
          <w:lang w:eastAsia="it-IT"/>
        </w:rPr>
        <w:t>r.g.n</w:t>
      </w:r>
      <w:proofErr w:type="spellEnd"/>
      <w:r w:rsidRPr="00692E4A">
        <w:rPr>
          <w:rFonts w:ascii="Lato" w:eastAsia="Times New Roman" w:hAnsi="Lato" w:cs="Times New Roman"/>
          <w:color w:val="000000"/>
          <w:spacing w:val="5"/>
          <w:sz w:val="24"/>
          <w:szCs w:val="24"/>
          <w:lang w:eastAsia="it-IT"/>
        </w:rPr>
        <w:t>. 6316 del 2019), chiedendo dichiararsi il difetto di giurisdizione della Corte dei conti.</w:t>
      </w:r>
    </w:p>
    <w:p w14:paraId="0A3923DB"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Ad avviso del ricorrente, la natura privata della fondazione Enpam e l'assenza di finanziamenti pubblici sarebbero elementi dirimenti ai fini dell'esclusione della giurisdizione contabile. Il ricorrente richiama inoltre l'indirizzo giurisprudenziale secondo cui nelle società di diritto privato a partecipazione pubblica, il pregiudizio patrimoniale arrecato dalla </w:t>
      </w:r>
      <w:r w:rsidRPr="00692E4A">
        <w:rPr>
          <w:rFonts w:ascii="Lato" w:eastAsia="Times New Roman" w:hAnsi="Lato" w:cs="Times New Roman"/>
          <w:i/>
          <w:iCs/>
          <w:color w:val="000000"/>
          <w:spacing w:val="5"/>
          <w:sz w:val="24"/>
          <w:szCs w:val="24"/>
          <w:lang w:eastAsia="it-IT"/>
        </w:rPr>
        <w:t xml:space="preserve">mala </w:t>
      </w:r>
      <w:proofErr w:type="spellStart"/>
      <w:r w:rsidRPr="00692E4A">
        <w:rPr>
          <w:rFonts w:ascii="Lato" w:eastAsia="Times New Roman" w:hAnsi="Lato" w:cs="Times New Roman"/>
          <w:i/>
          <w:iCs/>
          <w:color w:val="000000"/>
          <w:spacing w:val="5"/>
          <w:sz w:val="24"/>
          <w:szCs w:val="24"/>
          <w:lang w:eastAsia="it-IT"/>
        </w:rPr>
        <w:t>gestio</w:t>
      </w:r>
      <w:proofErr w:type="spellEnd"/>
      <w:r w:rsidRPr="00692E4A">
        <w:rPr>
          <w:rFonts w:ascii="Lato" w:eastAsia="Times New Roman" w:hAnsi="Lato" w:cs="Times New Roman"/>
          <w:color w:val="000000"/>
          <w:spacing w:val="5"/>
          <w:sz w:val="24"/>
          <w:szCs w:val="24"/>
          <w:lang w:eastAsia="it-IT"/>
        </w:rPr>
        <w:t> dei suoi organi sociali, generalmente, non integra il danno erariale, in quanto si risolve in un </w:t>
      </w:r>
      <w:r w:rsidRPr="00692E4A">
        <w:rPr>
          <w:rFonts w:ascii="Lato" w:eastAsia="Times New Roman" w:hAnsi="Lato" w:cs="Times New Roman"/>
          <w:i/>
          <w:iCs/>
          <w:color w:val="000000"/>
          <w:spacing w:val="5"/>
          <w:sz w:val="24"/>
          <w:szCs w:val="24"/>
          <w:lang w:eastAsia="it-IT"/>
        </w:rPr>
        <w:t>vulnus</w:t>
      </w:r>
      <w:r w:rsidRPr="00692E4A">
        <w:rPr>
          <w:rFonts w:ascii="Lato" w:eastAsia="Times New Roman" w:hAnsi="Lato" w:cs="Times New Roman"/>
          <w:color w:val="000000"/>
          <w:spacing w:val="5"/>
          <w:sz w:val="24"/>
          <w:szCs w:val="24"/>
          <w:lang w:eastAsia="it-IT"/>
        </w:rPr>
        <w:t> gravante in via diretta esclusivamente sul patrimonio della società, soggetta alle regole di diritto privato e dotata di autonoma e distinta personalità giuridica rispetto ai soci.</w:t>
      </w:r>
    </w:p>
    <w:p w14:paraId="4D213717"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4. - Anche Giulio Santini ha proposto ricorso per regolamento preventivo, con atto notificato il 19 febbraio 2019, chiedendo dichiararsi il difetto di giurisdizione della Corte dei conti.</w:t>
      </w:r>
    </w:p>
    <w:p w14:paraId="0E4B3F7B"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Nel ricorso — separatamente iscritto a ruolo (</w:t>
      </w:r>
      <w:proofErr w:type="spellStart"/>
      <w:r w:rsidRPr="00692E4A">
        <w:rPr>
          <w:rFonts w:ascii="Lato" w:eastAsia="Times New Roman" w:hAnsi="Lato" w:cs="Times New Roman"/>
          <w:color w:val="000000"/>
          <w:spacing w:val="5"/>
          <w:sz w:val="24"/>
          <w:szCs w:val="24"/>
          <w:lang w:eastAsia="it-IT"/>
        </w:rPr>
        <w:t>r.g.n</w:t>
      </w:r>
      <w:proofErr w:type="spellEnd"/>
      <w:r w:rsidRPr="00692E4A">
        <w:rPr>
          <w:rFonts w:ascii="Lato" w:eastAsia="Times New Roman" w:hAnsi="Lato" w:cs="Times New Roman"/>
          <w:color w:val="000000"/>
          <w:spacing w:val="5"/>
          <w:sz w:val="24"/>
          <w:szCs w:val="24"/>
          <w:lang w:eastAsia="it-IT"/>
        </w:rPr>
        <w:t xml:space="preserve">. 7189 del 2019) — si osserva che l'Enpam non fruisce di finanziamenti o di altri ausili pubblici di carattere finanziario, ma svolge le attività previdenziali ed assistenziali sulla base dei contributi versati dai propri iscritti. «La natura ‘pubblica’ della contribuzione, inerente alla sua finalità istituzionale, riguarda unicamente» — si afferma nel ricorso — «il rapporto previdenziale tra la cassa e </w:t>
      </w:r>
      <w:r w:rsidRPr="00692E4A">
        <w:rPr>
          <w:rFonts w:ascii="Lato" w:eastAsia="Times New Roman" w:hAnsi="Lato" w:cs="Times New Roman"/>
          <w:color w:val="000000"/>
          <w:spacing w:val="5"/>
          <w:sz w:val="24"/>
          <w:szCs w:val="24"/>
          <w:lang w:eastAsia="it-IT"/>
        </w:rPr>
        <w:lastRenderedPageBreak/>
        <w:t>il proprio iscritto, non attiene all'uso di finanziamenti pubblici (inesistenti) e non determina tanto meno la configurabilità di un ‘rapporto di servizio funzionale’ tra l'agente/fondazione e lo Stato».</w:t>
      </w:r>
    </w:p>
    <w:p w14:paraId="77CF0827"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 - L'uno e l'altro ricorso per regolamento preventivo sono stati avviati alla trattazione camerale sulle base delle conclusioni scritte, ai sensi dell'</w:t>
      </w:r>
      <w:hyperlink r:id="rId76" w:history="1">
        <w:r w:rsidRPr="00692E4A">
          <w:rPr>
            <w:rFonts w:ascii="Lato" w:eastAsia="Times New Roman" w:hAnsi="Lato" w:cs="Times New Roman"/>
            <w:b/>
            <w:bCs/>
            <w:color w:val="FFA403"/>
            <w:spacing w:val="5"/>
            <w:sz w:val="24"/>
            <w:szCs w:val="24"/>
            <w:lang w:eastAsia="it-IT"/>
          </w:rPr>
          <w:t>art. 380 ter c.p.c.</w:t>
        </w:r>
      </w:hyperlink>
      <w:r w:rsidRPr="00692E4A">
        <w:rPr>
          <w:rFonts w:ascii="Lato" w:eastAsia="Times New Roman" w:hAnsi="Lato" w:cs="Times New Roman"/>
          <w:color w:val="000000"/>
          <w:spacing w:val="5"/>
          <w:sz w:val="24"/>
          <w:szCs w:val="24"/>
          <w:lang w:eastAsia="it-IT"/>
        </w:rPr>
        <w:t>, del pubblico ministero, che ha concluso per la giurisdizione della Corte dei conti.</w:t>
      </w:r>
    </w:p>
    <w:p w14:paraId="5C78C264"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Secondo l'ufficio del procuratore generale, l'attività di carattere eminentemente sociale intesa alla garanzia previdenziale che viene svolta dall'Enpam attraverso l'impiego dei contributi obbligatori versati dalla vasta popolazione associata ne esalta la funzione pubblicistica e pretende, nel più efficace sistema di protezione di quella garanzia, la sottoposizione dell'ente alla giurisdizione contabile. Infatti, l'avvenuta privatizzazione dell'ente previdenziale, riguardando gli strumenti di gestione e la qualificazione giuridica dell'ente, ha lasciato immutato il carattere pubblicistico dell'attività istituzionale di previdenza ed assistenza svolta dalla fondazione.</w:t>
      </w:r>
    </w:p>
    <w:p w14:paraId="1FC66AD8"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Il pubblico ministero richiama inoltre la giurisprudenza di legittimità in tema di società in house </w:t>
      </w:r>
      <w:proofErr w:type="spellStart"/>
      <w:r w:rsidRPr="00692E4A">
        <w:rPr>
          <w:rFonts w:ascii="Lato" w:eastAsia="Times New Roman" w:hAnsi="Lato" w:cs="Times New Roman"/>
          <w:color w:val="000000"/>
          <w:spacing w:val="5"/>
          <w:sz w:val="24"/>
          <w:szCs w:val="24"/>
          <w:lang w:eastAsia="it-IT"/>
        </w:rPr>
        <w:t>providing</w:t>
      </w:r>
      <w:proofErr w:type="spellEnd"/>
      <w:r w:rsidRPr="00692E4A">
        <w:rPr>
          <w:rFonts w:ascii="Lato" w:eastAsia="Times New Roman" w:hAnsi="Lato" w:cs="Times New Roman"/>
          <w:color w:val="000000"/>
          <w:spacing w:val="5"/>
          <w:sz w:val="24"/>
          <w:szCs w:val="24"/>
          <w:lang w:eastAsia="it-IT"/>
        </w:rPr>
        <w:t xml:space="preserve"> e ritiene che il riscontro nella fattispecie dei requisiti stabiliti dalla corte regolatrice consente di ritenere sussistente la giurisdizione contabile in materia di azione di responsabilità nei confronti degli organi di gestione e di controllo di società di capitali interamente partecipata.</w:t>
      </w:r>
    </w:p>
    <w:p w14:paraId="19FDA541"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6. - In prossimità della camera di consiglio entrambi i ricorrenti hanno depositato memorie illustrative.</w:t>
      </w:r>
    </w:p>
    <w:p w14:paraId="32B97EB6"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i/>
          <w:iCs/>
          <w:color w:val="000000"/>
          <w:spacing w:val="5"/>
          <w:sz w:val="24"/>
          <w:szCs w:val="24"/>
          <w:lang w:eastAsia="it-IT"/>
        </w:rPr>
        <w:t>Ragioni della decisione. —</w:t>
      </w:r>
      <w:r w:rsidRPr="00692E4A">
        <w:rPr>
          <w:rFonts w:ascii="Lato" w:eastAsia="Times New Roman" w:hAnsi="Lato" w:cs="Times New Roman"/>
          <w:color w:val="000000"/>
          <w:spacing w:val="5"/>
          <w:sz w:val="24"/>
          <w:szCs w:val="24"/>
          <w:lang w:eastAsia="it-IT"/>
        </w:rPr>
        <w:t> 1. - Preliminarmente, i due distinti ricorsi per regolamento preventivo di giurisdizione proposti da Giacomo Milillo e da Giulio Santini con riguardo allo stesso processo pendente dinanzi alla sezione giurisdizionale per il Lazio della Corte dei conti, devono essere riuniti.</w:t>
      </w:r>
    </w:p>
    <w:p w14:paraId="113EECA1"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Infatti, la riunione di procedimenti relativi alla medesima causa pendenti dinanzi allo stesso giudice, di cui all'</w:t>
      </w:r>
      <w:hyperlink r:id="rId77" w:history="1">
        <w:r w:rsidRPr="00692E4A">
          <w:rPr>
            <w:rFonts w:ascii="Lato" w:eastAsia="Times New Roman" w:hAnsi="Lato" w:cs="Times New Roman"/>
            <w:b/>
            <w:bCs/>
            <w:color w:val="FFA403"/>
            <w:spacing w:val="5"/>
            <w:sz w:val="24"/>
            <w:szCs w:val="24"/>
            <w:lang w:eastAsia="it-IT"/>
          </w:rPr>
          <w:t>art. 273 c.p.c.</w:t>
        </w:r>
      </w:hyperlink>
      <w:r w:rsidRPr="00692E4A">
        <w:rPr>
          <w:rFonts w:ascii="Lato" w:eastAsia="Times New Roman" w:hAnsi="Lato" w:cs="Times New Roman"/>
          <w:color w:val="000000"/>
          <w:spacing w:val="5"/>
          <w:sz w:val="24"/>
          <w:szCs w:val="24"/>
          <w:lang w:eastAsia="it-IT"/>
        </w:rPr>
        <w:t>, trova applicazione anche davanti alla Corte di cassazione, e pure nel caso di ricorsi per regolamento preventivo di giurisdizione (Cass., sez. un., 2 dicembre 2008, n. 28537, </w:t>
      </w:r>
      <w:r w:rsidRPr="00692E4A">
        <w:rPr>
          <w:rFonts w:ascii="Lato" w:eastAsia="Times New Roman" w:hAnsi="Lato" w:cs="Times New Roman"/>
          <w:i/>
          <w:iCs/>
          <w:color w:val="000000"/>
          <w:spacing w:val="5"/>
          <w:sz w:val="24"/>
          <w:szCs w:val="24"/>
          <w:lang w:eastAsia="it-IT"/>
        </w:rPr>
        <w:t xml:space="preserve">Foro </w:t>
      </w:r>
      <w:proofErr w:type="spellStart"/>
      <w:r w:rsidRPr="00692E4A">
        <w:rPr>
          <w:rFonts w:ascii="Lato" w:eastAsia="Times New Roman" w:hAnsi="Lato" w:cs="Times New Roman"/>
          <w:i/>
          <w:iCs/>
          <w:color w:val="000000"/>
          <w:spacing w:val="5"/>
          <w:sz w:val="24"/>
          <w:szCs w:val="24"/>
          <w:lang w:eastAsia="it-IT"/>
        </w:rPr>
        <w:t>it</w:t>
      </w:r>
      <w:proofErr w:type="spellEnd"/>
      <w:r w:rsidRPr="00692E4A">
        <w:rPr>
          <w:rFonts w:ascii="Lato" w:eastAsia="Times New Roman" w:hAnsi="Lato" w:cs="Times New Roman"/>
          <w:color w:val="000000"/>
          <w:spacing w:val="5"/>
          <w:sz w:val="24"/>
          <w:szCs w:val="24"/>
          <w:lang w:eastAsia="it-IT"/>
        </w:rPr>
        <w:t>., Rep. 2008, voce </w:t>
      </w:r>
      <w:r w:rsidRPr="00692E4A">
        <w:rPr>
          <w:rFonts w:ascii="Lato" w:eastAsia="Times New Roman" w:hAnsi="Lato" w:cs="Times New Roman"/>
          <w:i/>
          <w:iCs/>
          <w:color w:val="000000"/>
          <w:spacing w:val="5"/>
          <w:sz w:val="24"/>
          <w:szCs w:val="24"/>
          <w:lang w:eastAsia="it-IT"/>
        </w:rPr>
        <w:t>Giurisdizione civile</w:t>
      </w:r>
      <w:r w:rsidRPr="00692E4A">
        <w:rPr>
          <w:rFonts w:ascii="Lato" w:eastAsia="Times New Roman" w:hAnsi="Lato" w:cs="Times New Roman"/>
          <w:color w:val="000000"/>
          <w:spacing w:val="5"/>
          <w:sz w:val="24"/>
          <w:szCs w:val="24"/>
          <w:lang w:eastAsia="it-IT"/>
        </w:rPr>
        <w:t>, n. 239).</w:t>
      </w:r>
    </w:p>
    <w:p w14:paraId="36088E2B"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2. - Passando al fondo delle istanze di regolamento, occorre in via di premessa definire l'ambito dell'azione di responsabilità per danno erariale promossa dal procuratore regionale della Corte dei conti.</w:t>
      </w:r>
    </w:p>
    <w:p w14:paraId="0142CB83"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Come emerge dall'atto di citazione, il pubblico ministero addebita ai convenuti condotte di </w:t>
      </w:r>
      <w:r w:rsidRPr="00692E4A">
        <w:rPr>
          <w:rFonts w:ascii="Lato" w:eastAsia="Times New Roman" w:hAnsi="Lato" w:cs="Times New Roman"/>
          <w:i/>
          <w:iCs/>
          <w:color w:val="000000"/>
          <w:spacing w:val="5"/>
          <w:sz w:val="24"/>
          <w:szCs w:val="24"/>
          <w:lang w:eastAsia="it-IT"/>
        </w:rPr>
        <w:t xml:space="preserve">mala </w:t>
      </w:r>
      <w:proofErr w:type="spellStart"/>
      <w:r w:rsidRPr="00692E4A">
        <w:rPr>
          <w:rFonts w:ascii="Lato" w:eastAsia="Times New Roman" w:hAnsi="Lato" w:cs="Times New Roman"/>
          <w:i/>
          <w:iCs/>
          <w:color w:val="000000"/>
          <w:spacing w:val="5"/>
          <w:sz w:val="24"/>
          <w:szCs w:val="24"/>
          <w:lang w:eastAsia="it-IT"/>
        </w:rPr>
        <w:t>gestio</w:t>
      </w:r>
      <w:proofErr w:type="spellEnd"/>
      <w:r w:rsidRPr="00692E4A">
        <w:rPr>
          <w:rFonts w:ascii="Lato" w:eastAsia="Times New Roman" w:hAnsi="Lato" w:cs="Times New Roman"/>
          <w:color w:val="000000"/>
          <w:spacing w:val="5"/>
          <w:sz w:val="24"/>
          <w:szCs w:val="24"/>
          <w:lang w:eastAsia="it-IT"/>
        </w:rPr>
        <w:t> poste in essere nella amministrazione della società a responsabilità limitata, in particolare consistite nella assunzione di dipendenti in violazione dell'apposito regolamento, ciò che ha determinato la creazione di disavanzo e lo scioglimento della società e, di rimbalzo, la perdita, tra l'altro, del credito della fondazione a causa del mancato recupero del finanziamento infruttifero, devoluto alla partecipata per la copertura delle passività risultanti dal bilancio finale di liquidazione.</w:t>
      </w:r>
    </w:p>
    <w:p w14:paraId="7A86036E"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Dalle pag. 111 e 112 dell'atto introduttivo del giudizio dinanzi alla Corte dei conti, dove è compendiato il </w:t>
      </w:r>
      <w:proofErr w:type="spellStart"/>
      <w:r w:rsidRPr="00692E4A">
        <w:rPr>
          <w:rFonts w:ascii="Lato" w:eastAsia="Times New Roman" w:hAnsi="Lato" w:cs="Times New Roman"/>
          <w:i/>
          <w:iCs/>
          <w:color w:val="000000"/>
          <w:spacing w:val="5"/>
          <w:sz w:val="24"/>
          <w:szCs w:val="24"/>
          <w:lang w:eastAsia="it-IT"/>
        </w:rPr>
        <w:t>petitum</w:t>
      </w:r>
      <w:proofErr w:type="spellEnd"/>
      <w:r w:rsidRPr="00692E4A">
        <w:rPr>
          <w:rFonts w:ascii="Lato" w:eastAsia="Times New Roman" w:hAnsi="Lato" w:cs="Times New Roman"/>
          <w:color w:val="000000"/>
          <w:spacing w:val="5"/>
          <w:sz w:val="24"/>
          <w:szCs w:val="24"/>
          <w:lang w:eastAsia="it-IT"/>
        </w:rPr>
        <w:t> sostanziale, si ricava infatti che il danno — determinato in euro 2.567,565,32 — si riferisce, per euro 2.016.808, a «complessive perdite di Enpam sicura» «per le spese per indebite/illecite/illegittime assunzioni ed agli oneri, poi sostenuti, per la risoluzione di detti rapporti in applicazione della normativa sui licenziamenti»; e che il danno inferto alla fondazione è invece indiretto, derivando, per euro 366.206, dalla mancata restituzione ad essa del prestito infruttifero impiegato per sopperire alle necessità finanziarie della procedura liquidatoria, e, per euro 184.551, dalle spese complessivamente sostenute per la liquidazione di Enpam sicura e per azioni legali.</w:t>
      </w:r>
    </w:p>
    <w:p w14:paraId="023E7E90"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lastRenderedPageBreak/>
        <w:t>3. - I ricorsi per regolamento preventivo pongono la questione se spetti alla Corte dei conti la giurisdizione in tema di risarcimento del danno cagionato dalla </w:t>
      </w:r>
      <w:r w:rsidRPr="00692E4A">
        <w:rPr>
          <w:rFonts w:ascii="Lato" w:eastAsia="Times New Roman" w:hAnsi="Lato" w:cs="Times New Roman"/>
          <w:i/>
          <w:iCs/>
          <w:color w:val="000000"/>
          <w:spacing w:val="5"/>
          <w:sz w:val="24"/>
          <w:szCs w:val="24"/>
          <w:lang w:eastAsia="it-IT"/>
        </w:rPr>
        <w:t xml:space="preserve">mala </w:t>
      </w:r>
      <w:proofErr w:type="spellStart"/>
      <w:r w:rsidRPr="00692E4A">
        <w:rPr>
          <w:rFonts w:ascii="Lato" w:eastAsia="Times New Roman" w:hAnsi="Lato" w:cs="Times New Roman"/>
          <w:i/>
          <w:iCs/>
          <w:color w:val="000000"/>
          <w:spacing w:val="5"/>
          <w:sz w:val="24"/>
          <w:szCs w:val="24"/>
          <w:lang w:eastAsia="it-IT"/>
        </w:rPr>
        <w:t>gestio</w:t>
      </w:r>
      <w:proofErr w:type="spellEnd"/>
      <w:r w:rsidRPr="00692E4A">
        <w:rPr>
          <w:rFonts w:ascii="Lato" w:eastAsia="Times New Roman" w:hAnsi="Lato" w:cs="Times New Roman"/>
          <w:color w:val="000000"/>
          <w:spacing w:val="5"/>
          <w:sz w:val="24"/>
          <w:szCs w:val="24"/>
          <w:lang w:eastAsia="it-IT"/>
        </w:rPr>
        <w:t> del presidente e del direttore generale di una società (Enpam sicura s.r.l.) con socio unico la Fondazione ente nazionale di previdenza ed assistenza dei medici e degli odontoiatri - Enpam, istituita con lo scopo di supportare la fondazione in alcune aree operative, di natura amministrativa e gestionale per i propri fini istituzionali.</w:t>
      </w:r>
    </w:p>
    <w:p w14:paraId="328A1309"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4. - All'interrogativo deve darsi risposta negativa.</w:t>
      </w:r>
    </w:p>
    <w:p w14:paraId="76090700"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5. - La Corte dei conti ha giurisdizione nei giudizi di responsabilità amministrativa per danno all'erario (art. 1, 2° comma, del codice di giustizia contabile, approvato con il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26 agosto 2016 n. 174).</w:t>
      </w:r>
    </w:p>
    <w:p w14:paraId="535E8DD3"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5.1. - La giurisdizione della Corte dei conti in materia di responsabilità degli amministratori o dipendenti di enti pubblici è ancorata alla compresenza di due elementi, qualificanti la nozione di contabilità pubblica: uno soggettivo, che attiene alla natura pubblica del soggetto — ente od amministrazione — al quale l'agente sia legato da un rapporto di impiego o di servizio; l'altro oggettivo, che riflette la qualificazione pubblica del denaro o del bene oggetto della gestione nell'ambito della quale si è verificato l'evento, fonte di responsabilità (Cass., sez. un., 22 dicembre 2003, n. 19667,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2005, I, 2676).</w:t>
      </w:r>
    </w:p>
    <w:p w14:paraId="6D73B72F"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La giurisprudenza ha precisato che si esercita attività amministrativa non solo quando si svolgono pubbliche funzioni e poteri autoritativi, ma anche quando, nei limiti consentiti dall'ordinamento, si perseguono le finalità proprie dell'amministrazione pubblica mediante un'attività disciplinata in tutto o in parte dal diritto privato; con la conseguenza che il dato essenziale che radica la giurisdizione della Corte dei conti è rappresentato dall'evento dannoso verificatosi a carico di una pubblica amministrazione e non più dal quadro di riferimento — pubblico o privato — nel quale si colloca la condotta produttiva del danno (Cass., sez. un., 2 febbraio 2018, n. 2584,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2018, voce </w:t>
      </w:r>
      <w:r w:rsidRPr="00692E4A">
        <w:rPr>
          <w:rFonts w:ascii="Lato" w:eastAsia="Times New Roman" w:hAnsi="Lato" w:cs="Times New Roman"/>
          <w:i/>
          <w:iCs/>
          <w:color w:val="000000"/>
          <w:spacing w:val="5"/>
          <w:sz w:val="24"/>
          <w:szCs w:val="24"/>
          <w:lang w:eastAsia="it-IT"/>
        </w:rPr>
        <w:t>Responsabilità contabile</w:t>
      </w:r>
      <w:r w:rsidRPr="00692E4A">
        <w:rPr>
          <w:rFonts w:ascii="Lato" w:eastAsia="Times New Roman" w:hAnsi="Lato" w:cs="Times New Roman"/>
          <w:color w:val="000000"/>
          <w:spacing w:val="5"/>
          <w:sz w:val="24"/>
          <w:szCs w:val="24"/>
          <w:lang w:eastAsia="it-IT"/>
        </w:rPr>
        <w:t>, n. 126).</w:t>
      </w:r>
    </w:p>
    <w:p w14:paraId="0B47769F"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Questa corte regolatrice ha inoltre sottolineato che la responsabilità amministrativa per danno erariale postula una relazione funzionale tra il presunto autore dell'illecito e l'amministrazione pubblica: relazione che non implica necessariamente un rapporto di impiego in senso proprio, essendo sufficiente un rapporto di servizio nella sua accezione, appunto, di relazione funzionale che rende l'autore del danno compartecipe dell'operato dell'amministrazione o dell'ente (Cass., sez. un., 14 gennaio 2015, n. 473,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2015, voce </w:t>
      </w:r>
      <w:r w:rsidRPr="00692E4A">
        <w:rPr>
          <w:rFonts w:ascii="Lato" w:eastAsia="Times New Roman" w:hAnsi="Lato" w:cs="Times New Roman"/>
          <w:i/>
          <w:iCs/>
          <w:color w:val="000000"/>
          <w:spacing w:val="5"/>
          <w:sz w:val="24"/>
          <w:szCs w:val="24"/>
          <w:lang w:eastAsia="it-IT"/>
        </w:rPr>
        <w:t>Sanità pubblica e sanitari</w:t>
      </w:r>
      <w:r w:rsidRPr="00692E4A">
        <w:rPr>
          <w:rFonts w:ascii="Lato" w:eastAsia="Times New Roman" w:hAnsi="Lato" w:cs="Times New Roman"/>
          <w:color w:val="000000"/>
          <w:spacing w:val="5"/>
          <w:sz w:val="24"/>
          <w:szCs w:val="24"/>
          <w:lang w:eastAsia="it-IT"/>
        </w:rPr>
        <w:t>, n. 437). Tale rapporto di servizio sussiste allorché un ente privato esterno all'amministrazione venga incaricato di svolgere, nell'interesse e con le risorse di quest’ultima, un'attività o un servizio pubblico in sua vece, inserendosi in tal modo nell'apparato organizzativo della pubblica amministrazione, mentre è irrilevante il titolo in base al quale la gestione è svolta, che può consistere in un rapporto di pubblico impiego o di servizio, in una concessione amministrativa, in un contratto e perfino mancare del tutto, potendo il relativo rapporto modellarsi secondo gli schemi generali previsti e disciplinati dalla legge, ovvero discostarsene in tutto o in parte (Cass., sez. un., 30 agosto 2019, n. 21871,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w:t>
      </w:r>
      <w:r w:rsidRPr="00692E4A">
        <w:rPr>
          <w:rFonts w:ascii="Lato" w:eastAsia="Times New Roman" w:hAnsi="Lato" w:cs="Times New Roman"/>
          <w:i/>
          <w:iCs/>
          <w:color w:val="000000"/>
          <w:spacing w:val="5"/>
          <w:sz w:val="24"/>
          <w:szCs w:val="24"/>
          <w:lang w:eastAsia="it-IT"/>
        </w:rPr>
        <w:t>Le banche dati</w:t>
      </w:r>
      <w:r w:rsidRPr="00692E4A">
        <w:rPr>
          <w:rFonts w:ascii="Lato" w:eastAsia="Times New Roman" w:hAnsi="Lato" w:cs="Times New Roman"/>
          <w:color w:val="000000"/>
          <w:spacing w:val="5"/>
          <w:sz w:val="24"/>
          <w:szCs w:val="24"/>
          <w:lang w:eastAsia="it-IT"/>
        </w:rPr>
        <w:t>, archivio </w:t>
      </w:r>
      <w:r w:rsidRPr="00692E4A">
        <w:rPr>
          <w:rFonts w:ascii="Lato" w:eastAsia="Times New Roman" w:hAnsi="Lato" w:cs="Times New Roman"/>
          <w:i/>
          <w:iCs/>
          <w:color w:val="000000"/>
          <w:spacing w:val="5"/>
          <w:sz w:val="24"/>
          <w:szCs w:val="24"/>
          <w:lang w:eastAsia="it-IT"/>
        </w:rPr>
        <w:t>Cassazione civile</w:t>
      </w:r>
      <w:r w:rsidRPr="00692E4A">
        <w:rPr>
          <w:rFonts w:ascii="Lato" w:eastAsia="Times New Roman" w:hAnsi="Lato" w:cs="Times New Roman"/>
          <w:color w:val="000000"/>
          <w:spacing w:val="5"/>
          <w:sz w:val="24"/>
          <w:szCs w:val="24"/>
          <w:lang w:eastAsia="it-IT"/>
        </w:rPr>
        <w:t>).</w:t>
      </w:r>
    </w:p>
    <w:p w14:paraId="4F9E5EA5"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5.2. - Con riferimento, in particolare, al danno al patrimonio di una società a partecipazione pubblica conseguente a </w:t>
      </w:r>
      <w:r w:rsidRPr="00692E4A">
        <w:rPr>
          <w:rFonts w:ascii="Lato" w:eastAsia="Times New Roman" w:hAnsi="Lato" w:cs="Times New Roman"/>
          <w:i/>
          <w:iCs/>
          <w:color w:val="000000"/>
          <w:spacing w:val="5"/>
          <w:sz w:val="24"/>
          <w:szCs w:val="24"/>
          <w:lang w:eastAsia="it-IT"/>
        </w:rPr>
        <w:t xml:space="preserve">mala </w:t>
      </w:r>
      <w:proofErr w:type="spellStart"/>
      <w:r w:rsidRPr="00692E4A">
        <w:rPr>
          <w:rFonts w:ascii="Lato" w:eastAsia="Times New Roman" w:hAnsi="Lato" w:cs="Times New Roman"/>
          <w:i/>
          <w:iCs/>
          <w:color w:val="000000"/>
          <w:spacing w:val="5"/>
          <w:sz w:val="24"/>
          <w:szCs w:val="24"/>
          <w:lang w:eastAsia="it-IT"/>
        </w:rPr>
        <w:t>gestio</w:t>
      </w:r>
      <w:proofErr w:type="spellEnd"/>
      <w:r w:rsidRPr="00692E4A">
        <w:rPr>
          <w:rFonts w:ascii="Lato" w:eastAsia="Times New Roman" w:hAnsi="Lato" w:cs="Times New Roman"/>
          <w:color w:val="000000"/>
          <w:spacing w:val="5"/>
          <w:sz w:val="24"/>
          <w:szCs w:val="24"/>
          <w:lang w:eastAsia="it-IT"/>
        </w:rPr>
        <w:t xml:space="preserve"> da parte degli amministratori (o componenti dell'organo di controllo) e dei dipendenti, si è chiarito che esso non è qualificabile in termini di danno erariale, inteso come pregiudizio direttamente arrecato al patrimonio dello Stato o di altro ente pubblico che della detta società sia socio, atteso che la distinzione tra la società di capitali e i singoli soci e la piena autonomia patrimoniale della prima rispetto ai secondi non consentono di riferire al patrimonio del socio pubblico </w:t>
      </w:r>
      <w:r w:rsidRPr="00692E4A">
        <w:rPr>
          <w:rFonts w:ascii="Lato" w:eastAsia="Times New Roman" w:hAnsi="Lato" w:cs="Times New Roman"/>
          <w:color w:val="000000"/>
          <w:spacing w:val="5"/>
          <w:sz w:val="24"/>
          <w:szCs w:val="24"/>
          <w:lang w:eastAsia="it-IT"/>
        </w:rPr>
        <w:lastRenderedPageBreak/>
        <w:t>il danno che l'illecito comportamento degli organi sociali abbia eventualmente arrecato al patrimonio dell'ente, né di configurare un rapporto di servizio tra l'ente medesimo e l'agente; pertanto, la domanda con la quale si fa valere la responsabilità degli organi sociali resta generalmente devoluta alla giurisdizione del giudice ordinario (Cass., sez. un., 19 dicembre 2009, n. 26806,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2010, I, 1473; 27 dicembre 2017, n. 30978,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2017, voce </w:t>
      </w:r>
      <w:r w:rsidRPr="00692E4A">
        <w:rPr>
          <w:rFonts w:ascii="Lato" w:eastAsia="Times New Roman" w:hAnsi="Lato" w:cs="Times New Roman"/>
          <w:i/>
          <w:iCs/>
          <w:color w:val="000000"/>
          <w:spacing w:val="5"/>
          <w:sz w:val="24"/>
          <w:szCs w:val="24"/>
          <w:lang w:eastAsia="it-IT"/>
        </w:rPr>
        <w:t>Responsabilità contabile</w:t>
      </w:r>
      <w:r w:rsidRPr="00692E4A">
        <w:rPr>
          <w:rFonts w:ascii="Lato" w:eastAsia="Times New Roman" w:hAnsi="Lato" w:cs="Times New Roman"/>
          <w:color w:val="000000"/>
          <w:spacing w:val="5"/>
          <w:sz w:val="24"/>
          <w:szCs w:val="24"/>
          <w:lang w:eastAsia="it-IT"/>
        </w:rPr>
        <w:t>, n. 43; 11 settembre 2019, n. 22712,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2020, I, 1284, che segue </w:t>
      </w:r>
      <w:r w:rsidRPr="00692E4A">
        <w:rPr>
          <w:rFonts w:ascii="Lato" w:eastAsia="Times New Roman" w:hAnsi="Lato" w:cs="Times New Roman"/>
          <w:i/>
          <w:iCs/>
          <w:color w:val="000000"/>
          <w:spacing w:val="5"/>
          <w:sz w:val="24"/>
          <w:szCs w:val="24"/>
          <w:lang w:eastAsia="it-IT"/>
        </w:rPr>
        <w:t>sub</w:t>
      </w:r>
      <w:r w:rsidRPr="00692E4A">
        <w:rPr>
          <w:rFonts w:ascii="Lato" w:eastAsia="Times New Roman" w:hAnsi="Lato" w:cs="Times New Roman"/>
          <w:color w:val="000000"/>
          <w:spacing w:val="5"/>
          <w:sz w:val="24"/>
          <w:szCs w:val="24"/>
          <w:lang w:eastAsia="it-IT"/>
        </w:rPr>
        <w:t> IV), mentre la giurisdizione della Corte dei conti è ravvisabile eccezionalmente nelle due specifiche fattispecie delle società in house (Cass., sez. un., 25 novembre 2013, n. 26283,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2014, voce cit., n. 45; 13 settembre 2018, n. 22409,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2018, voce cit., n. 149; 21 giugno 2019, n. 16741,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w:t>
      </w:r>
      <w:r w:rsidRPr="00692E4A">
        <w:rPr>
          <w:rFonts w:ascii="Lato" w:eastAsia="Times New Roman" w:hAnsi="Lato" w:cs="Times New Roman"/>
          <w:i/>
          <w:iCs/>
          <w:color w:val="000000"/>
          <w:spacing w:val="5"/>
          <w:sz w:val="24"/>
          <w:szCs w:val="24"/>
          <w:lang w:eastAsia="it-IT"/>
        </w:rPr>
        <w:t>Le banche dati</w:t>
      </w:r>
      <w:r w:rsidRPr="00692E4A">
        <w:rPr>
          <w:rFonts w:ascii="Lato" w:eastAsia="Times New Roman" w:hAnsi="Lato" w:cs="Times New Roman"/>
          <w:color w:val="000000"/>
          <w:spacing w:val="5"/>
          <w:sz w:val="24"/>
          <w:szCs w:val="24"/>
          <w:lang w:eastAsia="it-IT"/>
        </w:rPr>
        <w:t>, archivio cit.) e delle società legali (Cass., sez. un., 22 dicembre 2009, n. 27092,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2010, I, 1472; 3 marzo 2010, n. 5032, </w:t>
      </w:r>
      <w:r w:rsidRPr="00692E4A">
        <w:rPr>
          <w:rFonts w:ascii="Lato" w:eastAsia="Times New Roman" w:hAnsi="Lato" w:cs="Times New Roman"/>
          <w:i/>
          <w:iCs/>
          <w:color w:val="000000"/>
          <w:spacing w:val="5"/>
          <w:sz w:val="24"/>
          <w:szCs w:val="24"/>
          <w:lang w:eastAsia="it-IT"/>
        </w:rPr>
        <w:t>ibid</w:t>
      </w:r>
      <w:r w:rsidRPr="00692E4A">
        <w:rPr>
          <w:rFonts w:ascii="Lato" w:eastAsia="Times New Roman" w:hAnsi="Lato" w:cs="Times New Roman"/>
          <w:color w:val="000000"/>
          <w:spacing w:val="5"/>
          <w:sz w:val="24"/>
          <w:szCs w:val="24"/>
          <w:lang w:eastAsia="it-IT"/>
        </w:rPr>
        <w:t>., 3078; 9 luglio 2014, n. 15594,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2014, voce cit., n. 38), caratterizzate, rispettivamente, da una struttura corrispondente ad un'articolazione interna alla stessa pubblica amministrazione (cui è immanente il rapporto di servizio tra quest’ultima e gli amministratori e dipendenti della società) e da uno statuto speciale che consente di qualificarle come sostanziali enti pubblici.</w:t>
      </w:r>
    </w:p>
    <w:p w14:paraId="09A1B237"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5.3. - La giurisprudenza di queste sezioni ha precisato (tra le tante, Cass., sez. un., 13 settembre 2018, n. 22409, cit.) che, ai fini del radicamento della giurisdizione contabile in materia di azione di responsabilità nei confronti degli organi di gestione e di controllo di società di capitali partecipata da enti pubblici, la società in house è configurabile al ricorrere delle seguenti condizioni: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il capitale sociale deve essere integralmente detenuto da uno o più enti pubblici per l'esercizio di pubblici servizi e lo statuto deve vietare la cessione delle partecipazioni a soci privati; </w:t>
      </w:r>
      <w:r w:rsidRPr="00692E4A">
        <w:rPr>
          <w:rFonts w:ascii="Lato" w:eastAsia="Times New Roman" w:hAnsi="Lato" w:cs="Times New Roman"/>
          <w:i/>
          <w:iCs/>
          <w:color w:val="000000"/>
          <w:spacing w:val="5"/>
          <w:sz w:val="24"/>
          <w:szCs w:val="24"/>
          <w:lang w:eastAsia="it-IT"/>
        </w:rPr>
        <w:t>b</w:t>
      </w:r>
      <w:r w:rsidRPr="00692E4A">
        <w:rPr>
          <w:rFonts w:ascii="Lato" w:eastAsia="Times New Roman" w:hAnsi="Lato" w:cs="Times New Roman"/>
          <w:color w:val="000000"/>
          <w:spacing w:val="5"/>
          <w:sz w:val="24"/>
          <w:szCs w:val="24"/>
          <w:lang w:eastAsia="it-IT"/>
        </w:rPr>
        <w:t>) la società deve esplicare statutariamente la propria attività prevalente in favore degli enti partecipanti, in modo che l'eventuale attività accessoria non implichi una significativa presenza sul mercato e rivesta una valenza meramente strumentale; </w:t>
      </w:r>
      <w:r w:rsidRPr="00692E4A">
        <w:rPr>
          <w:rFonts w:ascii="Lato" w:eastAsia="Times New Roman" w:hAnsi="Lato" w:cs="Times New Roman"/>
          <w:i/>
          <w:iCs/>
          <w:color w:val="000000"/>
          <w:spacing w:val="5"/>
          <w:sz w:val="24"/>
          <w:szCs w:val="24"/>
          <w:lang w:eastAsia="it-IT"/>
        </w:rPr>
        <w:t>c</w:t>
      </w:r>
      <w:r w:rsidRPr="00692E4A">
        <w:rPr>
          <w:rFonts w:ascii="Lato" w:eastAsia="Times New Roman" w:hAnsi="Lato" w:cs="Times New Roman"/>
          <w:color w:val="000000"/>
          <w:spacing w:val="5"/>
          <w:sz w:val="24"/>
          <w:szCs w:val="24"/>
          <w:lang w:eastAsia="it-IT"/>
        </w:rPr>
        <w:t>) la gestione deve essere per statuto assoggettata a forme di controllo analoghe a quelle esercitate dagli enti pubblici sui propri uffici. Tali requisiti devono sussistere tutti contemporaneamente e risultare da precise disposizioni statutarie in vigore al momento in cui risale la condotta ipotizzata come illecita.</w:t>
      </w:r>
    </w:p>
    <w:p w14:paraId="1B3EAC64"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5.4. - Tratto distintivo della società in house è, dunque, la sussistenza, in primo luogo, di una relazione di partecipazione da parte di una o più pubbliche amministrazioni socie, le quali, congiuntamente o disgiuntamente, debbono esercitare su tale società un controllo non solo economico, bensì un controllo analogo a quello che l'ente pubblico socio avrebbe su di un proprio reparto o ufficio o altra struttura organizzativa, ancorché in forma congiunta.</w:t>
      </w:r>
    </w:p>
    <w:p w14:paraId="4E684BF3"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La partecipazione pubblica costituisce un presupposto del controllo analogo.</w:t>
      </w:r>
    </w:p>
    <w:p w14:paraId="12367808"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5.5. - Il dato legislativo conferma l'approdo giurisprudenziale.</w:t>
      </w:r>
    </w:p>
    <w:p w14:paraId="4EA77AB6"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Infatti, nel dettare le disposizioni che hanno a oggetto «la costituzione di società da parte di amministrazioni pubbliche» (così l'art. 1, 1° comma), il testo unico in materia di società a partecipazione pubblica, approvato con il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19 agosto 2016 n. 175, se da un lato ribadisce che sussiste la giurisdizione della Corte dei conti per il danno erariale causato dagli amministratori e dai dipendenti delle società in house (art. 12, 1° comma), dall'altro conferma che il superamento del «velo societario» e l'applicazione della giurisdizione contabile alle società in house in tanto si giustificano in quanto il socio partecipante sia una pubblica amministrazione.</w:t>
      </w:r>
    </w:p>
    <w:p w14:paraId="0A1B6D9D"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È quanto si ricava dalla definizione recata dall'art. 2, 1° comma, lett. </w:t>
      </w:r>
      <w:r w:rsidRPr="00692E4A">
        <w:rPr>
          <w:rFonts w:ascii="Lato" w:eastAsia="Times New Roman" w:hAnsi="Lato" w:cs="Times New Roman"/>
          <w:i/>
          <w:iCs/>
          <w:color w:val="000000"/>
          <w:spacing w:val="5"/>
          <w:sz w:val="24"/>
          <w:szCs w:val="24"/>
          <w:lang w:eastAsia="it-IT"/>
        </w:rPr>
        <w:t>o</w:t>
      </w:r>
      <w:r w:rsidRPr="00692E4A">
        <w:rPr>
          <w:rFonts w:ascii="Lato" w:eastAsia="Times New Roman" w:hAnsi="Lato" w:cs="Times New Roman"/>
          <w:color w:val="000000"/>
          <w:spacing w:val="5"/>
          <w:sz w:val="24"/>
          <w:szCs w:val="24"/>
          <w:lang w:eastAsia="it-IT"/>
        </w:rPr>
        <w:t xml:space="preserve">), ai cui sensi per società in house si intendono «le società sulle quali un'amministrazione esercita il controllo analogo o più amministrazioni esercitano il controllo analogo congiunto, nelle </w:t>
      </w:r>
      <w:r w:rsidRPr="00692E4A">
        <w:rPr>
          <w:rFonts w:ascii="Lato" w:eastAsia="Times New Roman" w:hAnsi="Lato" w:cs="Times New Roman"/>
          <w:color w:val="000000"/>
          <w:spacing w:val="5"/>
          <w:sz w:val="24"/>
          <w:szCs w:val="24"/>
          <w:lang w:eastAsia="it-IT"/>
        </w:rPr>
        <w:lastRenderedPageBreak/>
        <w:t>quali la partecipazione di capitali privati avviene nelle forme di cui all'art. 16, 1° comma, e che soddisfano il requisito dell'attività prevalente di cui all'art. 16, 3° comma».</w:t>
      </w:r>
    </w:p>
    <w:p w14:paraId="5948DD2D"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5.6. - Si tratta a questo punto di stabilire se la fondazione Enpam sia o meno, ai fini del testo unico in materia di società a partecipazione pubblica, un'amministrazione pubblica.</w:t>
      </w:r>
    </w:p>
    <w:p w14:paraId="5B59E994"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5.6.1. - Per rispondere al quesito, occorre premettere che, nel corso degli ultimi anni, la nozione di pubblica amministrazione si è progressivamente frantumata e relativizzata.</w:t>
      </w:r>
    </w:p>
    <w:p w14:paraId="2362B1A0"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Come ha sottolineato la dottrina, l'ingresso di nuovi soggetti, l'ampliamento delle funzioni svolte dagli apparati amministrativi e, soprattutto, il carattere flessibile della nozione di ente pubblico hanno mutato l'assetto tradizionale: se prima la pubblica amministrazione evocava l'immagine di un pianeta con i suoi satelliti (l'amministrazione statale, in posizione di centralità, con gli altri enti pubblici che le gravitavano intorno), oggi essa ha invece assunto le sembianze di una costellazione multilivello e policentrica.</w:t>
      </w:r>
    </w:p>
    <w:p w14:paraId="1C451F51"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Questa trasformazione, dalla pubblica amministrazione alle pubbliche amministrazioni, è rispecchiata nell'evoluzione legislativa e giurisprudenziale: con il legislatore che via via sottopone, con espresse disposizioni, soggetti formalmente privati a regole pubblicistiche, e con il formante giurisprudenziale pronto a riconoscere, dando rilievo a dati sostanziali e funzionali, natura pubblicistica a soggetti formalmente privati, al fine di assoggettarli in tutto o in parte ad un regime di diritto amministrativo.</w:t>
      </w:r>
    </w:p>
    <w:p w14:paraId="22CF3840"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Tale fenomeno ha trovato un punto di emersione anche in sede processuale, tanto che l'</w:t>
      </w:r>
      <w:hyperlink r:id="rId78" w:history="1">
        <w:r w:rsidRPr="00692E4A">
          <w:rPr>
            <w:rFonts w:ascii="Lato" w:eastAsia="Times New Roman" w:hAnsi="Lato" w:cs="Times New Roman"/>
            <w:b/>
            <w:bCs/>
            <w:color w:val="FFA403"/>
            <w:spacing w:val="5"/>
            <w:sz w:val="24"/>
            <w:szCs w:val="24"/>
            <w:lang w:eastAsia="it-IT"/>
          </w:rPr>
          <w:t xml:space="preserve">art. 7 cod. proc. </w:t>
        </w:r>
        <w:proofErr w:type="spellStart"/>
        <w:r w:rsidRPr="00692E4A">
          <w:rPr>
            <w:rFonts w:ascii="Lato" w:eastAsia="Times New Roman" w:hAnsi="Lato" w:cs="Times New Roman"/>
            <w:b/>
            <w:bCs/>
            <w:color w:val="FFA403"/>
            <w:spacing w:val="5"/>
            <w:sz w:val="24"/>
            <w:szCs w:val="24"/>
            <w:lang w:eastAsia="it-IT"/>
          </w:rPr>
          <w:t>amm</w:t>
        </w:r>
        <w:proofErr w:type="spellEnd"/>
        <w:r w:rsidRPr="00692E4A">
          <w:rPr>
            <w:rFonts w:ascii="Lato" w:eastAsia="Times New Roman" w:hAnsi="Lato" w:cs="Times New Roman"/>
            <w:b/>
            <w:bCs/>
            <w:color w:val="FFA403"/>
            <w:spacing w:val="5"/>
            <w:sz w:val="24"/>
            <w:szCs w:val="24"/>
            <w:lang w:eastAsia="it-IT"/>
          </w:rPr>
          <w:t>.</w:t>
        </w:r>
      </w:hyperlink>
      <w:r w:rsidRPr="00692E4A">
        <w:rPr>
          <w:rFonts w:ascii="Lato" w:eastAsia="Times New Roman" w:hAnsi="Lato" w:cs="Times New Roman"/>
          <w:color w:val="000000"/>
          <w:spacing w:val="5"/>
          <w:sz w:val="24"/>
          <w:szCs w:val="24"/>
          <w:lang w:eastAsia="it-IT"/>
        </w:rPr>
        <w:t>, rubricato «giurisdizione amministrativa», espressamente prevede, al 2° comma, che «[p]</w:t>
      </w:r>
      <w:proofErr w:type="spellStart"/>
      <w:r w:rsidRPr="00692E4A">
        <w:rPr>
          <w:rFonts w:ascii="Lato" w:eastAsia="Times New Roman" w:hAnsi="Lato" w:cs="Times New Roman"/>
          <w:color w:val="000000"/>
          <w:spacing w:val="5"/>
          <w:sz w:val="24"/>
          <w:szCs w:val="24"/>
          <w:lang w:eastAsia="it-IT"/>
        </w:rPr>
        <w:t>er</w:t>
      </w:r>
      <w:proofErr w:type="spellEnd"/>
      <w:r w:rsidRPr="00692E4A">
        <w:rPr>
          <w:rFonts w:ascii="Lato" w:eastAsia="Times New Roman" w:hAnsi="Lato" w:cs="Times New Roman"/>
          <w:color w:val="000000"/>
          <w:spacing w:val="5"/>
          <w:sz w:val="24"/>
          <w:szCs w:val="24"/>
          <w:lang w:eastAsia="it-IT"/>
        </w:rPr>
        <w:t xml:space="preserve"> pubbliche amministrazioni, ai fini del presente codice, si intendono anche i soggetti ad esse equiparati o comunque tenuti al rispetto dei principî del procedimento amministrativo».</w:t>
      </w:r>
    </w:p>
    <w:p w14:paraId="02ADB038"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La giurisprudenza amministrativa (Cons. Stato, sez. VI, 26 maggio 2015, n. 2660,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2015, voce </w:t>
      </w:r>
      <w:r w:rsidRPr="00692E4A">
        <w:rPr>
          <w:rFonts w:ascii="Lato" w:eastAsia="Times New Roman" w:hAnsi="Lato" w:cs="Times New Roman"/>
          <w:i/>
          <w:iCs/>
          <w:color w:val="000000"/>
          <w:spacing w:val="5"/>
          <w:sz w:val="24"/>
          <w:szCs w:val="24"/>
          <w:lang w:eastAsia="it-IT"/>
        </w:rPr>
        <w:t>Contratti pubblici</w:t>
      </w:r>
      <w:r w:rsidRPr="00692E4A">
        <w:rPr>
          <w:rFonts w:ascii="Lato" w:eastAsia="Times New Roman" w:hAnsi="Lato" w:cs="Times New Roman"/>
          <w:color w:val="000000"/>
          <w:spacing w:val="5"/>
          <w:sz w:val="24"/>
          <w:szCs w:val="24"/>
          <w:lang w:eastAsia="it-IT"/>
        </w:rPr>
        <w:t xml:space="preserve">, n. 250), a sua volta, ha chiarito che la nozione di ente pubblico nell'attuale assetto ordinamentale non può ritenersi fissa ed </w:t>
      </w:r>
      <w:proofErr w:type="spellStart"/>
      <w:r w:rsidRPr="00692E4A">
        <w:rPr>
          <w:rFonts w:ascii="Lato" w:eastAsia="Times New Roman" w:hAnsi="Lato" w:cs="Times New Roman"/>
          <w:color w:val="000000"/>
          <w:spacing w:val="5"/>
          <w:sz w:val="24"/>
          <w:szCs w:val="24"/>
          <w:lang w:eastAsia="it-IT"/>
        </w:rPr>
        <w:t>immutevole</w:t>
      </w:r>
      <w:proofErr w:type="spellEnd"/>
      <w:r w:rsidRPr="00692E4A">
        <w:rPr>
          <w:rFonts w:ascii="Lato" w:eastAsia="Times New Roman" w:hAnsi="Lato" w:cs="Times New Roman"/>
          <w:color w:val="000000"/>
          <w:spacing w:val="5"/>
          <w:sz w:val="24"/>
          <w:szCs w:val="24"/>
          <w:lang w:eastAsia="it-IT"/>
        </w:rPr>
        <w:t>: il riconoscimento ad un determinato soggetto della natura pubblicistica a certi fini non ne implica automaticamente la integrale sottoposizione alla disciplina valevole in generale per la pubblica amministrazione: «al contrario, l'ordinamento si è ormai orientato verso una nozione funzionale e cangiante di ente pubblico; si ammette ... senza difficoltà che uno stesso soggetto possa avere la natura di ente pubblico a certi fini e rispetto a certi istituti, e possa, invece, non averla ad altri fini, conservando rispetto ad altri istituti regimi normativi di natura privatistica».</w:t>
      </w:r>
    </w:p>
    <w:p w14:paraId="5C4DF3F6"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5.6.2. - Ora, proprio con riferimento alle società a partecipazione pubblica, il citato testo unico delinea il perimetro soggettivo della nozione di pubblica amministrazione.</w:t>
      </w:r>
    </w:p>
    <w:p w14:paraId="3595173C"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L'art. 2, 1° comma, lett.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xml:space="preserve">),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xml:space="preserve">. n. 175 del 2016, infatti, definisce come amministrazioni pubbliche «le amministrazioni di cui all'art. 1, 2° comma,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165 del 2001, i loro consorzi o associazioni per qualsiasi fine istituiti, gli enti pubblici economici e le autorità di sistema portuale».</w:t>
      </w:r>
    </w:p>
    <w:p w14:paraId="33A934BC"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Ai fini della disciplina del testo unico in materia di società a partecipazione pubblica, sono, dunque, amministrazioni pubbliche:</w:t>
      </w:r>
    </w:p>
    <w:p w14:paraId="7D58E543"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—per effetto del rinvio al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xml:space="preserve">. n. 165 del 2001, recante le norme generali sull'ordinamento del lavoro alle dipendenze delle amministrazioni pubbliche, tutte le amministrazioni dello Stato, ivi compresi gli istituti e le scuole di ogni ordine e grado e le istituzioni educative, le aziende ed amministrazioni dello Stato ad ordinamento autonomo, le regioni, le province, i comuni, le comunità montane, e loro consorzi e associazioni, le istituzioni universitarie, gli istituti autonomi case popolari, le camere di commercio, industria, artigianato e agricoltura e loro associazioni, tutti gli enti pubblici non economici nazionali, regionali e locali, le amministrazioni, le aziende e gli enti del </w:t>
      </w:r>
      <w:r w:rsidRPr="00692E4A">
        <w:rPr>
          <w:rFonts w:ascii="Lato" w:eastAsia="Times New Roman" w:hAnsi="Lato" w:cs="Times New Roman"/>
          <w:color w:val="000000"/>
          <w:spacing w:val="5"/>
          <w:sz w:val="24"/>
          <w:szCs w:val="24"/>
          <w:lang w:eastAsia="it-IT"/>
        </w:rPr>
        <w:lastRenderedPageBreak/>
        <w:t xml:space="preserve">servizio sanitario nazionale, l'agenzia per la rappresentanza negoziale delle pubbliche amministrazioni (Aran) e le agenzie di cui al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30 luglio 1999 n. 300, nonché, fino alla revisione organica della disciplina di settore, il Coni;</w:t>
      </w:r>
    </w:p>
    <w:p w14:paraId="56603ACB"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—i consorzi o le associazioni per qualsiasi fine istituiti tra le pubbliche amministrazioni, sopra menzionate, di cui al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165 del 2001;</w:t>
      </w:r>
    </w:p>
    <w:p w14:paraId="44BC5689"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—gli enti pubblici economici;</w:t>
      </w:r>
    </w:p>
    <w:p w14:paraId="0850A8FA"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—le autorità di sistema portuale.</w:t>
      </w:r>
    </w:p>
    <w:p w14:paraId="196F452E"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5.6.3. - La fondazione Enpam non è ricompresa nel novero delle amministrazioni pubbliche, come tali definite dall'art. 2, 1° comma, lett.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xml:space="preserve">), </w:t>
      </w:r>
      <w:proofErr w:type="spellStart"/>
      <w:r w:rsidRPr="00692E4A">
        <w:rPr>
          <w:rFonts w:ascii="Lato" w:eastAsia="Times New Roman" w:hAnsi="Lato" w:cs="Times New Roman"/>
          <w:color w:val="000000"/>
          <w:spacing w:val="5"/>
          <w:sz w:val="24"/>
          <w:szCs w:val="24"/>
          <w:lang w:eastAsia="it-IT"/>
        </w:rPr>
        <w:t>t.u.</w:t>
      </w:r>
      <w:proofErr w:type="spellEnd"/>
    </w:p>
    <w:p w14:paraId="5CBDBEB1"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L'Ente nazionale di previdenza ed assistenza medici - Enpam è infatti stato trasformato in fondazione senza scopo di lucro e con la personalità giuridica di diritto privato, con la denominazione di Ente nazionale di previdenza ed assistenza dei medici e degli odontoiatri - fondazione Enpam.</w:t>
      </w:r>
    </w:p>
    <w:p w14:paraId="764962FD"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In particolare, con l'art. 1, commi 32 e 33, lett.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punto 4, </w:t>
      </w:r>
      <w:hyperlink r:id="rId79" w:history="1">
        <w:r w:rsidRPr="00692E4A">
          <w:rPr>
            <w:rFonts w:ascii="Lato" w:eastAsia="Times New Roman" w:hAnsi="Lato" w:cs="Times New Roman"/>
            <w:b/>
            <w:bCs/>
            <w:color w:val="FFA403"/>
            <w:spacing w:val="5"/>
            <w:sz w:val="24"/>
            <w:szCs w:val="24"/>
            <w:lang w:eastAsia="it-IT"/>
          </w:rPr>
          <w:t>l. 24 dicembre 1993 n. 537</w:t>
        </w:r>
      </w:hyperlink>
      <w:r w:rsidRPr="00692E4A">
        <w:rPr>
          <w:rFonts w:ascii="Lato" w:eastAsia="Times New Roman" w:hAnsi="Lato" w:cs="Times New Roman"/>
          <w:color w:val="000000"/>
          <w:spacing w:val="5"/>
          <w:sz w:val="24"/>
          <w:szCs w:val="24"/>
          <w:lang w:eastAsia="it-IT"/>
        </w:rPr>
        <w:t>, era stata conferita delega al governo per riordinare e sopprimere enti pubblici di previdenza ed assistenza, ed era stata prevista la possibilità di privatizzare — nelle forme dell'associazione o della fondazione — gli enti che non usufruissero di finanziamenti pubblici, con garanzie di autonomia gestionale, organizzativa, amministrativa e contabile, ferme restandone le finalità istitutive e l'obbligatoria iscrizione e contribuzione agli stessi degli appartenenti alle categorie di personale a favore dei quali essi risultano istituiti.</w:t>
      </w:r>
    </w:p>
    <w:p w14:paraId="78678A2E"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In attuazione di tale delega, l'art. 1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509 del 1994 ha contemplato siffatto tipo di trasformazione («Gli enti trasformati continuano a sussistere come enti senza scopo di lucro e assumono la personalità giuridica di diritto privato, ai sensi degli </w:t>
      </w:r>
      <w:hyperlink r:id="rId80" w:history="1">
        <w:r w:rsidRPr="00692E4A">
          <w:rPr>
            <w:rFonts w:ascii="Lato" w:eastAsia="Times New Roman" w:hAnsi="Lato" w:cs="Times New Roman"/>
            <w:b/>
            <w:bCs/>
            <w:color w:val="FFA403"/>
            <w:spacing w:val="5"/>
            <w:sz w:val="24"/>
            <w:szCs w:val="24"/>
            <w:lang w:eastAsia="it-IT"/>
          </w:rPr>
          <w:t>art. 12 ss. c.c.</w:t>
        </w:r>
      </w:hyperlink>
      <w:r w:rsidRPr="00692E4A">
        <w:rPr>
          <w:rFonts w:ascii="Lato" w:eastAsia="Times New Roman" w:hAnsi="Lato" w:cs="Times New Roman"/>
          <w:color w:val="000000"/>
          <w:spacing w:val="5"/>
          <w:sz w:val="24"/>
          <w:szCs w:val="24"/>
          <w:lang w:eastAsia="it-IT"/>
        </w:rPr>
        <w:t>»: art. 1, 2° comma), condizionandolo all'assenza di finanziamenti pubblici ed esplicitamente sottolineando la continuità della collocazione dell'ente nel sistema.</w:t>
      </w:r>
    </w:p>
    <w:p w14:paraId="372CF3BC"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In particolare, non vale il rinvio che l'art. 2, 1° comma, lett.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xml:space="preserve">), </w:t>
      </w:r>
      <w:proofErr w:type="spellStart"/>
      <w:r w:rsidRPr="00692E4A">
        <w:rPr>
          <w:rFonts w:ascii="Lato" w:eastAsia="Times New Roman" w:hAnsi="Lato" w:cs="Times New Roman"/>
          <w:color w:val="000000"/>
          <w:spacing w:val="5"/>
          <w:sz w:val="24"/>
          <w:szCs w:val="24"/>
          <w:lang w:eastAsia="it-IT"/>
        </w:rPr>
        <w:t>t.u.</w:t>
      </w:r>
      <w:proofErr w:type="spellEnd"/>
      <w:r w:rsidRPr="00692E4A">
        <w:rPr>
          <w:rFonts w:ascii="Lato" w:eastAsia="Times New Roman" w:hAnsi="Lato" w:cs="Times New Roman"/>
          <w:color w:val="000000"/>
          <w:spacing w:val="5"/>
          <w:sz w:val="24"/>
          <w:szCs w:val="24"/>
          <w:lang w:eastAsia="it-IT"/>
        </w:rPr>
        <w:t xml:space="preserve"> in materia di società a partecipazione pubblica effettua all'elenco delle amministrazioni di cui all'art. 1, 2° comma,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xml:space="preserve">. n. 165 del 2001, avendo la sezione lavoro di questa corte già affermato che, una volta intervenuta la trasformazione dell'Enpam in fondazione di diritto privato, l'ente non è più compreso nell'ambito delle pubbliche amministrazioni, come appunto definito dall'art. 1, 2° comma, citato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165 del 2001, con la conseguente giuridica impossibilità di considerarlo parte di un rapporto di pubblico impiego (Cass. 7 aprile 2008, n. 8986,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2008, voce </w:t>
      </w:r>
      <w:r w:rsidRPr="00692E4A">
        <w:rPr>
          <w:rFonts w:ascii="Lato" w:eastAsia="Times New Roman" w:hAnsi="Lato" w:cs="Times New Roman"/>
          <w:i/>
          <w:iCs/>
          <w:color w:val="000000"/>
          <w:spacing w:val="5"/>
          <w:sz w:val="24"/>
          <w:szCs w:val="24"/>
          <w:lang w:eastAsia="it-IT"/>
        </w:rPr>
        <w:t>Impiegato dello Stato</w:t>
      </w:r>
      <w:r w:rsidRPr="00692E4A">
        <w:rPr>
          <w:rFonts w:ascii="Lato" w:eastAsia="Times New Roman" w:hAnsi="Lato" w:cs="Times New Roman"/>
          <w:color w:val="000000"/>
          <w:spacing w:val="5"/>
          <w:sz w:val="24"/>
          <w:szCs w:val="24"/>
          <w:lang w:eastAsia="it-IT"/>
        </w:rPr>
        <w:t>, n. 378).</w:t>
      </w:r>
    </w:p>
    <w:p w14:paraId="528F31DC"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5.6.4. - Non v’è dubbio che la trasformazione dell'Enpam operata dal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509 del 1994, pur avendo inciso sulla forma giuridica dell'ente e sulle modalità organizzative delle sue funzioni, non ha modificato il carattere pubblicistico dell'attività istituzionale di previdenza ed assistenza, che mantiene una funzione strettamente correlata all'interesse pubblico di assicurare dette prestazioni sociali a particolari categorie di lavoratori (Corte cost. n. 7 del 2017,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Rep. 2017, voce </w:t>
      </w:r>
      <w:r w:rsidRPr="00692E4A">
        <w:rPr>
          <w:rFonts w:ascii="Lato" w:eastAsia="Times New Roman" w:hAnsi="Lato" w:cs="Times New Roman"/>
          <w:i/>
          <w:iCs/>
          <w:color w:val="000000"/>
          <w:spacing w:val="5"/>
          <w:sz w:val="24"/>
          <w:szCs w:val="24"/>
          <w:lang w:eastAsia="it-IT"/>
        </w:rPr>
        <w:t>Amministrazione dello Stato</w:t>
      </w:r>
      <w:r w:rsidRPr="00692E4A">
        <w:rPr>
          <w:rFonts w:ascii="Lato" w:eastAsia="Times New Roman" w:hAnsi="Lato" w:cs="Times New Roman"/>
          <w:color w:val="000000"/>
          <w:spacing w:val="5"/>
          <w:sz w:val="24"/>
          <w:szCs w:val="24"/>
          <w:lang w:eastAsia="it-IT"/>
        </w:rPr>
        <w:t>, n. 345). Al riguardo, la giurisprudenza costituzionale ha avuto modo di affermare che «dal quadro così tracciato [dalla riforma] emerge che la suddetta trasformazione ha lasciato immutato il carattere pubblicistico dell'attività istituzionale di previdenza ed assistenza svolta dagli enti, articolandosi invece sul diverso piano di una modifica degli strumenti di gestione e della differente qualificazione giuridica dei soggetti stessi: l'obbligo contributivo costituisce un corollario, appunto, della rilevanza pubblicistica dell'inalterato fine previdenziale. L'esclusione di un intervento a carico della solidarietà generale consegue alla stessa scelta di trasformare gli enti, in quanto implicita nella premessa che nega il finanziamento pubblico o altri ausili pubblici di carattere finanziario» (Corte cost. n. 248 del 1997, </w:t>
      </w:r>
      <w:r w:rsidRPr="00692E4A">
        <w:rPr>
          <w:rFonts w:ascii="Lato" w:eastAsia="Times New Roman" w:hAnsi="Lato" w:cs="Times New Roman"/>
          <w:i/>
          <w:iCs/>
          <w:color w:val="000000"/>
          <w:spacing w:val="5"/>
          <w:sz w:val="24"/>
          <w:szCs w:val="24"/>
          <w:lang w:eastAsia="it-IT"/>
        </w:rPr>
        <w:t>id</w:t>
      </w:r>
      <w:r w:rsidRPr="00692E4A">
        <w:rPr>
          <w:rFonts w:ascii="Lato" w:eastAsia="Times New Roman" w:hAnsi="Lato" w:cs="Times New Roman"/>
          <w:color w:val="000000"/>
          <w:spacing w:val="5"/>
          <w:sz w:val="24"/>
          <w:szCs w:val="24"/>
          <w:lang w:eastAsia="it-IT"/>
        </w:rPr>
        <w:t>., 1997, I, 2755).</w:t>
      </w:r>
    </w:p>
    <w:p w14:paraId="5A78B876"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lastRenderedPageBreak/>
        <w:t xml:space="preserve">Gli art. 2 e 3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509 del 1994 evidenziano, d'altra parte, numerosi ed incisivi momenti di ingerenza e intervento nell'attività gestionale, organizzativa e contabile dell'ente previdenziale privatizzato.</w:t>
      </w:r>
    </w:p>
    <w:p w14:paraId="64496427"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Dell'esistenza di un'evidente influenza è espressione, in particolare, la previsione di un potere di vigilanza affidato al ministero del lavoro e della previdenza sociale, unitamente al ministero dell'economia e delle finanze. Nell'esercizio della vigilanza, il ministero del lavoro e della previdenza sociale, di concerto con il ministero dell'economia e delle finanze, approva lo statuto e i regolamenti della fondazione, nonché le delibere in materia di contributi e prestazioni. Il ministero del lavoro e della previdenza sociale, d'intesa con il ministero dell'economia e delle finanze, può formulare motivati rilievi sui bilanci preventivi e i conti consuntivi, sulle note di variazione al bilancio di previsione, sui criteri di individuazione e di ripartizione del rischio nella scelta degli investimenti e sulle delibere contenenti criteri direttivi generali. Nel collegio dei sindaci della fondazione deve essere assicurata la presenza di rappresentanti delle predette amministrazioni.</w:t>
      </w:r>
    </w:p>
    <w:p w14:paraId="6E940B79"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 xml:space="preserve">A sua volta, la Corte dei conti è chiamata ad esercitare il controllo generale sulla gestione, da parte della fondazione, delle assicurazioni obbligatorie, per assicurarne la legalità e l'efficacia, e a riferirne annualmente al parlamento (art. 3, 5° comma,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509 del 1994).</w:t>
      </w:r>
    </w:p>
    <w:p w14:paraId="408922F5"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Viene altresì in evidenza la disposizione (l'</w:t>
      </w:r>
      <w:proofErr w:type="spellStart"/>
      <w:r w:rsidRPr="00692E4A">
        <w:rPr>
          <w:rFonts w:ascii="Lato" w:eastAsia="Times New Roman" w:hAnsi="Lato" w:cs="Times New Roman"/>
          <w:color w:val="000000"/>
          <w:spacing w:val="5"/>
          <w:sz w:val="24"/>
          <w:szCs w:val="24"/>
          <w:lang w:eastAsia="it-IT"/>
        </w:rPr>
        <w:t>all</w:t>
      </w:r>
      <w:proofErr w:type="spellEnd"/>
      <w:r w:rsidRPr="00692E4A">
        <w:rPr>
          <w:rFonts w:ascii="Lato" w:eastAsia="Times New Roman" w:hAnsi="Lato" w:cs="Times New Roman"/>
          <w:color w:val="000000"/>
          <w:spacing w:val="5"/>
          <w:sz w:val="24"/>
          <w:szCs w:val="24"/>
          <w:lang w:eastAsia="it-IT"/>
        </w:rPr>
        <w:t xml:space="preserve">. IV del codice dei contratti pubblici, approvato con il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18 aprile 2016 n. 50) che qualifica la fondazione Enpam come organismo di diritto pubblico.</w:t>
      </w:r>
    </w:p>
    <w:p w14:paraId="680EF089"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Con riguardo, poi, all'applicazione delle disposizioni in materia di finanza pubblica, il permanere dei connotati pubblicistici è avvalorato dall'inserimento dell'Enpam nell'elenco delle amministrazioni pubbliche comprese nel conto economico consolidato, individuate ai sensi dell'art. 1, 3° comma, </w:t>
      </w:r>
      <w:hyperlink r:id="rId81" w:history="1">
        <w:r w:rsidRPr="00692E4A">
          <w:rPr>
            <w:rFonts w:ascii="Lato" w:eastAsia="Times New Roman" w:hAnsi="Lato" w:cs="Times New Roman"/>
            <w:b/>
            <w:bCs/>
            <w:color w:val="FFA403"/>
            <w:spacing w:val="5"/>
            <w:sz w:val="24"/>
            <w:szCs w:val="24"/>
            <w:lang w:eastAsia="it-IT"/>
          </w:rPr>
          <w:t>l. n. 196 del 2009</w:t>
        </w:r>
      </w:hyperlink>
      <w:r w:rsidRPr="00692E4A">
        <w:rPr>
          <w:rFonts w:ascii="Lato" w:eastAsia="Times New Roman" w:hAnsi="Lato" w:cs="Times New Roman"/>
          <w:color w:val="000000"/>
          <w:spacing w:val="5"/>
          <w:sz w:val="24"/>
          <w:szCs w:val="24"/>
          <w:lang w:eastAsia="it-IT"/>
        </w:rPr>
        <w:t>, e successive modificazioni.</w:t>
      </w:r>
    </w:p>
    <w:p w14:paraId="202EA850"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Sotto questo profilo, è opportuno sottolineare che l'elenco delle amministrazioni pubbliche appartenenti al conto economico consolidato previsto dall'art. 1, 3° comma, citata </w:t>
      </w:r>
      <w:hyperlink r:id="rId82" w:history="1">
        <w:r w:rsidRPr="00692E4A">
          <w:rPr>
            <w:rFonts w:ascii="Lato" w:eastAsia="Times New Roman" w:hAnsi="Lato" w:cs="Times New Roman"/>
            <w:b/>
            <w:bCs/>
            <w:color w:val="FFA403"/>
            <w:spacing w:val="5"/>
            <w:sz w:val="24"/>
            <w:szCs w:val="24"/>
            <w:lang w:eastAsia="it-IT"/>
          </w:rPr>
          <w:t>l. n. 196 del 2009</w:t>
        </w:r>
      </w:hyperlink>
      <w:r w:rsidRPr="00692E4A">
        <w:rPr>
          <w:rFonts w:ascii="Lato" w:eastAsia="Times New Roman" w:hAnsi="Lato" w:cs="Times New Roman"/>
          <w:color w:val="000000"/>
          <w:spacing w:val="5"/>
          <w:sz w:val="24"/>
          <w:szCs w:val="24"/>
          <w:lang w:eastAsia="it-IT"/>
        </w:rPr>
        <w:t> è stato istituito — come ha ricordato la Corte costituzionale (sentenza n. 7 del 2017, cit.) — in attuazione di precisi obblighi comunitari sulla base di norme classificatorie e definitorie proprie del sistema statistico nazionale ed europeo, ai sensi del regolamento Ce 2223/96 del consiglio del 25 giugno 1996 modificato dal regolamento Ue 549/2013 relativo al «sistema europeo dei conti nazionali e regionali nell'Unione europea» (SEC2010). I criteri utilizzati per la classificazione sono di natura statistico-economica. Tale regolamento è servente alla definizione delle politiche dell'Unione europea ed al monitoraggio delle economie degli Stati membri e dell'Unione economica e monetaria (</w:t>
      </w:r>
      <w:proofErr w:type="spellStart"/>
      <w:r w:rsidRPr="00692E4A">
        <w:rPr>
          <w:rFonts w:ascii="Lato" w:eastAsia="Times New Roman" w:hAnsi="Lato" w:cs="Times New Roman"/>
          <w:color w:val="000000"/>
          <w:spacing w:val="5"/>
          <w:sz w:val="24"/>
          <w:szCs w:val="24"/>
          <w:lang w:eastAsia="it-IT"/>
        </w:rPr>
        <w:t>Uem</w:t>
      </w:r>
      <w:proofErr w:type="spellEnd"/>
      <w:r w:rsidRPr="00692E4A">
        <w:rPr>
          <w:rFonts w:ascii="Lato" w:eastAsia="Times New Roman" w:hAnsi="Lato" w:cs="Times New Roman"/>
          <w:color w:val="000000"/>
          <w:spacing w:val="5"/>
          <w:sz w:val="24"/>
          <w:szCs w:val="24"/>
          <w:lang w:eastAsia="it-IT"/>
        </w:rPr>
        <w:t>), i quali «richiedono informazioni comparabili, aggiornate e affidabili sulla struttura dell'economia e l'evoluzione della situazione economica di ogni Stato membro o regione» (‘considerando’ n. 1 del regolamento Ue 549/2013). L'Enpam è classificato, secondo l'</w:t>
      </w:r>
      <w:proofErr w:type="spellStart"/>
      <w:r w:rsidRPr="00692E4A">
        <w:rPr>
          <w:rFonts w:ascii="Lato" w:eastAsia="Times New Roman" w:hAnsi="Lato" w:cs="Times New Roman"/>
          <w:color w:val="000000"/>
          <w:spacing w:val="5"/>
          <w:sz w:val="24"/>
          <w:szCs w:val="24"/>
          <w:lang w:eastAsia="it-IT"/>
        </w:rPr>
        <w:t>all</w:t>
      </w:r>
      <w:proofErr w:type="spellEnd"/>
      <w:r w:rsidRPr="00692E4A">
        <w:rPr>
          <w:rFonts w:ascii="Lato" w:eastAsia="Times New Roman" w:hAnsi="Lato" w:cs="Times New Roman"/>
          <w:color w:val="000000"/>
          <w:spacing w:val="5"/>
          <w:sz w:val="24"/>
          <w:szCs w:val="24"/>
          <w:lang w:eastAsia="it-IT"/>
        </w:rPr>
        <w:t>.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(capitolo 2 «unità e insiemi di unità» - i settori istituzionali - amministrazioni pubbliche S.13) del regolamento Ue 549/2013, nel sottosettore S.1314, afferente agli «enti di previdenza e assistenza sociale» (2.117), il quale «comprende le unità istituzionali centrali, di Stati federati e locali, la cui attività principale consiste nell'erogare prestazioni sociali che rispondono ai seguenti due criteri: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in forza di disposizioni legislative o regolamentari determinati gruppi della popolazione sono tenuti a partecipare al regime o a versare contributi; </w:t>
      </w:r>
      <w:r w:rsidRPr="00692E4A">
        <w:rPr>
          <w:rFonts w:ascii="Lato" w:eastAsia="Times New Roman" w:hAnsi="Lato" w:cs="Times New Roman"/>
          <w:i/>
          <w:iCs/>
          <w:color w:val="000000"/>
          <w:spacing w:val="5"/>
          <w:sz w:val="24"/>
          <w:szCs w:val="24"/>
          <w:lang w:eastAsia="it-IT"/>
        </w:rPr>
        <w:t>b</w:t>
      </w:r>
      <w:r w:rsidRPr="00692E4A">
        <w:rPr>
          <w:rFonts w:ascii="Lato" w:eastAsia="Times New Roman" w:hAnsi="Lato" w:cs="Times New Roman"/>
          <w:color w:val="000000"/>
          <w:spacing w:val="5"/>
          <w:sz w:val="24"/>
          <w:szCs w:val="24"/>
          <w:lang w:eastAsia="it-IT"/>
        </w:rPr>
        <w:t>) le amministrazioni pubbliche sono responsabili della gestione dell'istituzione per quanto riguarda la fissazione o l'approvazione dei contributi e delle prestazioni, a prescindere dal loro ruolo di organismo di sorveglianza o di datore di lavoro».</w:t>
      </w:r>
    </w:p>
    <w:p w14:paraId="38FBD829"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lastRenderedPageBreak/>
        <w:t>5.6.5. - Nonostante la presenza di tali indici pubblicistici, derivanti dalla funzione che è chiamata a svolgere, la fondazione Enpam costituisce pur sempre un soggetto cui è formalmente attribuita natura di ente privato, il che non consente di ricomprenderla nell'ambito della definizione di amministrazione pubblica data dal testo unico ai fini della disciplina delle società a partecipazione pubblica (e, tra queste, delle società in house).</w:t>
      </w:r>
    </w:p>
    <w:p w14:paraId="30A0613B"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5.7. - Deve pertanto affermarsi il principio secondo cui ai fini del sorgere della giurisdizione della Corte dei conti per il danno erariale causato dagli amministratori e dai dipendenti delle società in house, la nozione di società in house, come codificata nel testo unico in materia di società a partecipazione pubblica, non può spingersi sino a ricomprendere società partecipate, non già da una pubblica amministrazione secondo la definizione desumibile dall'art. 2, 1° comma, lett. </w:t>
      </w:r>
      <w:r w:rsidRPr="00692E4A">
        <w:rPr>
          <w:rFonts w:ascii="Lato" w:eastAsia="Times New Roman" w:hAnsi="Lato" w:cs="Times New Roman"/>
          <w:i/>
          <w:iCs/>
          <w:color w:val="000000"/>
          <w:spacing w:val="5"/>
          <w:sz w:val="24"/>
          <w:szCs w:val="24"/>
          <w:lang w:eastAsia="it-IT"/>
        </w:rPr>
        <w:t>a</w:t>
      </w:r>
      <w:r w:rsidRPr="00692E4A">
        <w:rPr>
          <w:rFonts w:ascii="Lato" w:eastAsia="Times New Roman" w:hAnsi="Lato" w:cs="Times New Roman"/>
          <w:color w:val="000000"/>
          <w:spacing w:val="5"/>
          <w:sz w:val="24"/>
          <w:szCs w:val="24"/>
          <w:lang w:eastAsia="it-IT"/>
        </w:rPr>
        <w:t xml:space="preserve">), </w:t>
      </w:r>
      <w:proofErr w:type="spellStart"/>
      <w:r w:rsidRPr="00692E4A">
        <w:rPr>
          <w:rFonts w:ascii="Lato" w:eastAsia="Times New Roman" w:hAnsi="Lato" w:cs="Times New Roman"/>
          <w:color w:val="000000"/>
          <w:spacing w:val="5"/>
          <w:sz w:val="24"/>
          <w:szCs w:val="24"/>
          <w:lang w:eastAsia="it-IT"/>
        </w:rPr>
        <w:t>t.u.</w:t>
      </w:r>
      <w:proofErr w:type="spellEnd"/>
      <w:r w:rsidRPr="00692E4A">
        <w:rPr>
          <w:rFonts w:ascii="Lato" w:eastAsia="Times New Roman" w:hAnsi="Lato" w:cs="Times New Roman"/>
          <w:color w:val="000000"/>
          <w:spacing w:val="5"/>
          <w:sz w:val="24"/>
          <w:szCs w:val="24"/>
          <w:lang w:eastAsia="it-IT"/>
        </w:rPr>
        <w:t xml:space="preserve"> approvato con il </w:t>
      </w:r>
      <w:proofErr w:type="spellStart"/>
      <w:r w:rsidRPr="00692E4A">
        <w:rPr>
          <w:rFonts w:ascii="Lato" w:eastAsia="Times New Roman" w:hAnsi="Lato" w:cs="Times New Roman"/>
          <w:color w:val="000000"/>
          <w:spacing w:val="5"/>
          <w:sz w:val="24"/>
          <w:szCs w:val="24"/>
          <w:lang w:eastAsia="it-IT"/>
        </w:rPr>
        <w:t>d.leg</w:t>
      </w:r>
      <w:proofErr w:type="spellEnd"/>
      <w:r w:rsidRPr="00692E4A">
        <w:rPr>
          <w:rFonts w:ascii="Lato" w:eastAsia="Times New Roman" w:hAnsi="Lato" w:cs="Times New Roman"/>
          <w:color w:val="000000"/>
          <w:spacing w:val="5"/>
          <w:sz w:val="24"/>
          <w:szCs w:val="24"/>
          <w:lang w:eastAsia="it-IT"/>
        </w:rPr>
        <w:t>. n. 175 del 2016, bensì da un soggetto — la fondazione Enpam — che, pur svolgendo un'attività pubblicistica ed essendo conseguenzialmente sottoposto alla vigilanza ministeriale e al controllo della Corte dei conti, ha la qualificazione giuridica di ente privato e come tale si presenta all'esterno.</w:t>
      </w:r>
    </w:p>
    <w:p w14:paraId="13BEE117"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5.8. - Ne deriva che gli strumenti di reazione a fronte di condotte di </w:t>
      </w:r>
      <w:r w:rsidRPr="00692E4A">
        <w:rPr>
          <w:rFonts w:ascii="Lato" w:eastAsia="Times New Roman" w:hAnsi="Lato" w:cs="Times New Roman"/>
          <w:i/>
          <w:iCs/>
          <w:color w:val="000000"/>
          <w:spacing w:val="5"/>
          <w:sz w:val="24"/>
          <w:szCs w:val="24"/>
          <w:lang w:eastAsia="it-IT"/>
        </w:rPr>
        <w:t xml:space="preserve">mala </w:t>
      </w:r>
      <w:proofErr w:type="spellStart"/>
      <w:r w:rsidRPr="00692E4A">
        <w:rPr>
          <w:rFonts w:ascii="Lato" w:eastAsia="Times New Roman" w:hAnsi="Lato" w:cs="Times New Roman"/>
          <w:i/>
          <w:iCs/>
          <w:color w:val="000000"/>
          <w:spacing w:val="5"/>
          <w:sz w:val="24"/>
          <w:szCs w:val="24"/>
          <w:lang w:eastAsia="it-IT"/>
        </w:rPr>
        <w:t>gestio</w:t>
      </w:r>
      <w:proofErr w:type="spellEnd"/>
      <w:r w:rsidRPr="00692E4A">
        <w:rPr>
          <w:rFonts w:ascii="Lato" w:eastAsia="Times New Roman" w:hAnsi="Lato" w:cs="Times New Roman"/>
          <w:color w:val="000000"/>
          <w:spacing w:val="5"/>
          <w:sz w:val="24"/>
          <w:szCs w:val="24"/>
          <w:lang w:eastAsia="it-IT"/>
        </w:rPr>
        <w:t> di società partecipate dalla fondazione sono quelli apprestati dal diritto privato.</w:t>
      </w:r>
    </w:p>
    <w:p w14:paraId="1CCDDBDE"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Tali strumenti sono stati in concreto attivati, come risulta dallo stesso atto introduttivo del procuratore regionale della Corte dei conti, il quale riferisce non solo che la fondazione Enpam ha iniziato, dinanzi al tribunale ordinario, un giudizio civile contro il Milillo e il Santini, chiedendo la loro condanna al risarcimento dei danni arrecati alla fondazione, quantificati dalla attrice in non meno di euro 1.500.000 quale danno all'immagine, e di euro 300.000 quale danno da perdita di credito su finanziamento soci; ma anche che analoga iniziativa è stata intrapresa da Enpam sicura (con atto di citazione del 13 ottobre 2016 dinanzi al Tribunale civile di Roma, sempre contro il Milillo e il Santini), con un danno risarcibile quantificato in non meno di euro 4.150.000, distinto nelle voci del danno derivante dal costo del personale nel periodo di liquidazione, per almeno euro 1.650.000, e del danno derivante dall'omesso svolgimento dell'attività di intermediazione, per un periodo di cinque anni, per almeno euro 2.500.000.</w:t>
      </w:r>
    </w:p>
    <w:p w14:paraId="20788315" w14:textId="77777777" w:rsidR="00692E4A" w:rsidRPr="00692E4A" w:rsidRDefault="00692E4A" w:rsidP="00692E4A">
      <w:pPr>
        <w:shd w:val="clear" w:color="auto" w:fill="FFFFFF"/>
        <w:spacing w:after="0" w:line="240" w:lineRule="auto"/>
        <w:jc w:val="both"/>
        <w:rPr>
          <w:rFonts w:ascii="Lato" w:eastAsia="Times New Roman" w:hAnsi="Lato" w:cs="Times New Roman"/>
          <w:color w:val="000000"/>
          <w:spacing w:val="5"/>
          <w:sz w:val="24"/>
          <w:szCs w:val="24"/>
          <w:lang w:eastAsia="it-IT"/>
        </w:rPr>
      </w:pPr>
      <w:r w:rsidRPr="00692E4A">
        <w:rPr>
          <w:rFonts w:ascii="Lato" w:eastAsia="Times New Roman" w:hAnsi="Lato" w:cs="Times New Roman"/>
          <w:color w:val="000000"/>
          <w:spacing w:val="5"/>
          <w:sz w:val="24"/>
          <w:szCs w:val="24"/>
          <w:lang w:eastAsia="it-IT"/>
        </w:rPr>
        <w:t>6. - È dichiarato il difetto di giurisdizione della Corte dei conti.</w:t>
      </w:r>
    </w:p>
    <w:p w14:paraId="4203E8E3" w14:textId="77777777" w:rsidR="00517A16" w:rsidRDefault="00517A16"/>
    <w:p w14:paraId="3E163F66" w14:textId="77777777" w:rsidR="00517A16" w:rsidRDefault="00517A16"/>
    <w:p w14:paraId="4D1DA2FE" w14:textId="77777777" w:rsidR="00517A16" w:rsidRDefault="00517A16"/>
    <w:p w14:paraId="59607938" w14:textId="77777777" w:rsidR="00517A16" w:rsidRDefault="00517A16"/>
    <w:p w14:paraId="1E001CB6" w14:textId="77777777" w:rsidR="00517A16" w:rsidRPr="00517A16" w:rsidRDefault="00517A16" w:rsidP="00517A16">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proofErr w:type="spellStart"/>
      <w:r w:rsidRPr="00517A16">
        <w:rPr>
          <w:rFonts w:ascii="Lato" w:eastAsia="Times New Roman" w:hAnsi="Lato" w:cs="Times New Roman"/>
          <w:color w:val="3E4249"/>
          <w:spacing w:val="5"/>
          <w:kern w:val="36"/>
          <w:sz w:val="45"/>
          <w:szCs w:val="45"/>
          <w:lang w:eastAsia="it-IT"/>
        </w:rPr>
        <w:t>orte</w:t>
      </w:r>
      <w:proofErr w:type="spellEnd"/>
      <w:r w:rsidRPr="00517A16">
        <w:rPr>
          <w:rFonts w:ascii="Lato" w:eastAsia="Times New Roman" w:hAnsi="Lato" w:cs="Times New Roman"/>
          <w:color w:val="3E4249"/>
          <w:spacing w:val="5"/>
          <w:kern w:val="36"/>
          <w:sz w:val="45"/>
          <w:szCs w:val="45"/>
          <w:lang w:eastAsia="it-IT"/>
        </w:rPr>
        <w:t xml:space="preserve"> di cassazione civile, sez. un., 19 dicembre 2009 n. 26806</w:t>
      </w:r>
    </w:p>
    <w:p w14:paraId="7CFE278D" w14:textId="2260306D" w:rsidR="00517A16" w:rsidRPr="00517A16" w:rsidRDefault="00517A16" w:rsidP="00517A16">
      <w:pPr>
        <w:shd w:val="clear" w:color="auto" w:fill="FFFFFF"/>
        <w:spacing w:after="0" w:line="240" w:lineRule="auto"/>
        <w:rPr>
          <w:rFonts w:ascii="Lato" w:eastAsia="Times New Roman" w:hAnsi="Lato" w:cs="Times New Roman"/>
          <w:color w:val="000000"/>
          <w:spacing w:val="5"/>
          <w:sz w:val="24"/>
          <w:szCs w:val="24"/>
          <w:lang w:eastAsia="it-IT"/>
        </w:rPr>
      </w:pPr>
    </w:p>
    <w:p w14:paraId="3D403BDE"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517A16">
        <w:rPr>
          <w:rFonts w:ascii="Lato" w:eastAsia="Times New Roman" w:hAnsi="Lato" w:cs="Times New Roman"/>
          <w:b/>
          <w:bCs/>
          <w:color w:val="000000"/>
          <w:spacing w:val="5"/>
          <w:sz w:val="26"/>
          <w:szCs w:val="26"/>
          <w:lang w:eastAsia="it-IT"/>
        </w:rPr>
        <w:t>Svolgimento del processo</w:t>
      </w:r>
    </w:p>
    <w:p w14:paraId="64458000"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Con atto di citazione depositato in data 8 aprile 2005 la Procura regionale della Corte dei Conti per la Lombardia evocava in giudizio G.L., in qualità di amministratore delegato di Enel Power s.p.a., C.A., in qualità di amministratore delegato di Enel distribuzione s.p.a., C.G., in qualità di vicepresidente pro tempore di Enel Power s.p.a. ed A.V., dipendente di Enel s.p.a. fino al 30 novembre 2000 e poi in rapporto di collaborazione coordinata con Enel Power fino all'11.6.2003, e ne chiedeva la condanna al risarcimento per complessivi Euro 62.442.681,01, in relazione a molteplici condotte illecite dai </w:t>
      </w:r>
      <w:r w:rsidRPr="00517A16">
        <w:rPr>
          <w:rFonts w:ascii="Lato" w:eastAsia="Times New Roman" w:hAnsi="Lato" w:cs="Times New Roman"/>
          <w:color w:val="000000"/>
          <w:spacing w:val="5"/>
          <w:sz w:val="24"/>
          <w:szCs w:val="24"/>
          <w:lang w:eastAsia="it-IT"/>
        </w:rPr>
        <w:lastRenderedPageBreak/>
        <w:t>medesimi tenute, consistenti nell'avere concordato ed accettato indebite dazioni di denaro al fine di favorire le imprese costruttrici nell'aggiudicazione e successiva gestione di appalti in danno di società pubbliche.</w:t>
      </w:r>
    </w:p>
    <w:p w14:paraId="594C5D5C"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I fatti venivano desunti dagli atti del procedimento penale e dalle dichiarazioni confessorie rese dai convenuti.</w:t>
      </w:r>
    </w:p>
    <w:p w14:paraId="61A678B2"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Con sentenza del 9.11.2 005, la Sezione regionale di 1^ grado della Corte dei Conti accoglieva solo parzialmente la domanda risarcitoria, sia con riferimento al danno patrimoniale diretto che al danno all'immagine.</w:t>
      </w:r>
    </w:p>
    <w:p w14:paraId="4A71428B"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Proponevano appello i convenuti ed appello incidentale il Procuratore regionale.</w:t>
      </w:r>
    </w:p>
    <w:p w14:paraId="7612AE54"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La Sezione giurisdizionale centrale della Corte dei Conti, con sentenza depositata il 3 dicembre 2008, rigettava gli appelli dei convenuti, accogliendo solo parzialmente l'appello </w:t>
      </w:r>
      <w:proofErr w:type="gramStart"/>
      <w:r w:rsidRPr="00517A16">
        <w:rPr>
          <w:rFonts w:ascii="Lato" w:eastAsia="Times New Roman" w:hAnsi="Lato" w:cs="Times New Roman"/>
          <w:color w:val="000000"/>
          <w:spacing w:val="5"/>
          <w:sz w:val="24"/>
          <w:szCs w:val="24"/>
          <w:lang w:eastAsia="it-IT"/>
        </w:rPr>
        <w:t>dell' A.</w:t>
      </w:r>
      <w:proofErr w:type="gramEnd"/>
      <w:r w:rsidRPr="00517A16">
        <w:rPr>
          <w:rFonts w:ascii="Lato" w:eastAsia="Times New Roman" w:hAnsi="Lato" w:cs="Times New Roman"/>
          <w:color w:val="000000"/>
          <w:spacing w:val="5"/>
          <w:sz w:val="24"/>
          <w:szCs w:val="24"/>
          <w:lang w:eastAsia="it-IT"/>
        </w:rPr>
        <w:t>, quanto al danno all'immagine, condannando lo stesso per tale titolo al pagamento di Euro 100.000,00.</w:t>
      </w:r>
    </w:p>
    <w:p w14:paraId="45B6B291"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La Sezione centrale della Corte dei conti affermava, come già il 1^ giudice, la sua giurisdizione, ritenendo ipotizzabile la responsabilità amministrativa degli amministratori e dipendenti di s.p.a. a partecipazione azionaria pubblica ed effettivamente sussistente la stessa nella fattispecie.</w:t>
      </w:r>
    </w:p>
    <w:p w14:paraId="0CED4DC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Avverso questa sentenza hanno proposto ricorso per cassazione G.L., C.A., C.G., </w:t>
      </w:r>
      <w:proofErr w:type="spellStart"/>
      <w:r w:rsidRPr="00517A16">
        <w:rPr>
          <w:rFonts w:ascii="Lato" w:eastAsia="Times New Roman" w:hAnsi="Lato" w:cs="Times New Roman"/>
          <w:color w:val="000000"/>
          <w:spacing w:val="5"/>
          <w:sz w:val="24"/>
          <w:szCs w:val="24"/>
          <w:lang w:eastAsia="it-IT"/>
        </w:rPr>
        <w:t>nonchè</w:t>
      </w:r>
      <w:proofErr w:type="spellEnd"/>
      <w:r w:rsidRPr="00517A16">
        <w:rPr>
          <w:rFonts w:ascii="Lato" w:eastAsia="Times New Roman" w:hAnsi="Lato" w:cs="Times New Roman"/>
          <w:color w:val="000000"/>
          <w:spacing w:val="5"/>
          <w:sz w:val="24"/>
          <w:szCs w:val="24"/>
          <w:lang w:eastAsia="it-IT"/>
        </w:rPr>
        <w:t xml:space="preserve"> ricorso incidentale </w:t>
      </w:r>
      <w:proofErr w:type="gramStart"/>
      <w:r w:rsidRPr="00517A16">
        <w:rPr>
          <w:rFonts w:ascii="Lato" w:eastAsia="Times New Roman" w:hAnsi="Lato" w:cs="Times New Roman"/>
          <w:color w:val="000000"/>
          <w:spacing w:val="5"/>
          <w:sz w:val="24"/>
          <w:szCs w:val="24"/>
          <w:lang w:eastAsia="it-IT"/>
        </w:rPr>
        <w:t>A.V..</w:t>
      </w:r>
      <w:proofErr w:type="gramEnd"/>
    </w:p>
    <w:p w14:paraId="06CE853F"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Resiste con controricorso il P.G. presso la Corte dei Conti.</w:t>
      </w:r>
    </w:p>
    <w:p w14:paraId="3BDA7836" w14:textId="77777777" w:rsidR="00517A16" w:rsidRPr="00517A16" w:rsidRDefault="00517A16" w:rsidP="00517A16">
      <w:pPr>
        <w:shd w:val="clear" w:color="auto" w:fill="FFFFFF"/>
        <w:spacing w:after="0" w:line="240" w:lineRule="auto"/>
        <w:rPr>
          <w:rFonts w:ascii="Lato" w:eastAsia="Times New Roman" w:hAnsi="Lato" w:cs="Times New Roman"/>
          <w:color w:val="000000"/>
          <w:spacing w:val="5"/>
          <w:sz w:val="24"/>
          <w:szCs w:val="24"/>
          <w:lang w:eastAsia="it-IT"/>
        </w:rPr>
      </w:pPr>
    </w:p>
    <w:p w14:paraId="47427D8B"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517A16">
        <w:rPr>
          <w:rFonts w:ascii="Lato" w:eastAsia="Times New Roman" w:hAnsi="Lato" w:cs="Times New Roman"/>
          <w:b/>
          <w:bCs/>
          <w:color w:val="000000"/>
          <w:spacing w:val="5"/>
          <w:sz w:val="26"/>
          <w:szCs w:val="26"/>
          <w:lang w:eastAsia="it-IT"/>
        </w:rPr>
        <w:t>Motivi della decisione</w:t>
      </w:r>
    </w:p>
    <w:p w14:paraId="5CD713BD"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1.1. Preliminarmente vanno riuniti i ricorsi.</w:t>
      </w:r>
    </w:p>
    <w:p w14:paraId="421D161F"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Con il primo motivo dei rispettivi ricorsi, sostanzialmente simili, i ricorrenti C., G. e C.G., lamentano, ai sensi dell'</w:t>
      </w:r>
      <w:hyperlink r:id="rId83" w:history="1">
        <w:r w:rsidRPr="00517A16">
          <w:rPr>
            <w:rFonts w:ascii="Lato" w:eastAsia="Times New Roman" w:hAnsi="Lato" w:cs="Times New Roman"/>
            <w:b/>
            <w:bCs/>
            <w:color w:val="FFA403"/>
            <w:spacing w:val="5"/>
            <w:sz w:val="24"/>
            <w:szCs w:val="24"/>
            <w:lang w:eastAsia="it-IT"/>
          </w:rPr>
          <w:t>art. 360 n. 1 c.p.c.</w:t>
        </w:r>
      </w:hyperlink>
      <w:r w:rsidRPr="00517A16">
        <w:rPr>
          <w:rFonts w:ascii="Lato" w:eastAsia="Times New Roman" w:hAnsi="Lato" w:cs="Times New Roman"/>
          <w:color w:val="000000"/>
          <w:spacing w:val="5"/>
          <w:sz w:val="24"/>
          <w:szCs w:val="24"/>
          <w:lang w:eastAsia="it-IT"/>
        </w:rPr>
        <w:t>, la violazione della </w:t>
      </w:r>
      <w:hyperlink r:id="rId84" w:history="1">
        <w:r w:rsidRPr="00517A16">
          <w:rPr>
            <w:rFonts w:ascii="Lato" w:eastAsia="Times New Roman" w:hAnsi="Lato" w:cs="Times New Roman"/>
            <w:b/>
            <w:bCs/>
            <w:color w:val="FFA403"/>
            <w:spacing w:val="5"/>
            <w:sz w:val="24"/>
            <w:szCs w:val="24"/>
            <w:lang w:eastAsia="it-IT"/>
          </w:rPr>
          <w:t>L. n. 20 del 1994</w:t>
        </w:r>
      </w:hyperlink>
      <w:r w:rsidRPr="00517A16">
        <w:rPr>
          <w:rFonts w:ascii="Lato" w:eastAsia="Times New Roman" w:hAnsi="Lato" w:cs="Times New Roman"/>
          <w:color w:val="000000"/>
          <w:spacing w:val="5"/>
          <w:sz w:val="24"/>
          <w:szCs w:val="24"/>
          <w:lang w:eastAsia="it-IT"/>
        </w:rPr>
        <w:t>, </w:t>
      </w:r>
      <w:hyperlink r:id="rId85" w:history="1">
        <w:r w:rsidRPr="00517A16">
          <w:rPr>
            <w:rFonts w:ascii="Lato" w:eastAsia="Times New Roman" w:hAnsi="Lato" w:cs="Times New Roman"/>
            <w:b/>
            <w:bCs/>
            <w:color w:val="FFA403"/>
            <w:spacing w:val="5"/>
            <w:sz w:val="24"/>
            <w:szCs w:val="24"/>
            <w:lang w:eastAsia="it-IT"/>
          </w:rPr>
          <w:t>art. 1, L. n. 97 del 2001</w:t>
        </w:r>
      </w:hyperlink>
      <w:r w:rsidRPr="00517A16">
        <w:rPr>
          <w:rFonts w:ascii="Lato" w:eastAsia="Times New Roman" w:hAnsi="Lato" w:cs="Times New Roman"/>
          <w:color w:val="000000"/>
          <w:spacing w:val="5"/>
          <w:sz w:val="24"/>
          <w:szCs w:val="24"/>
          <w:lang w:eastAsia="it-IT"/>
        </w:rPr>
        <w:t>, artt. 3 e 7, dell'</w:t>
      </w:r>
      <w:hyperlink r:id="rId86" w:history="1">
        <w:r w:rsidRPr="00517A16">
          <w:rPr>
            <w:rFonts w:ascii="Lato" w:eastAsia="Times New Roman" w:hAnsi="Lato" w:cs="Times New Roman"/>
            <w:b/>
            <w:bCs/>
            <w:color w:val="FFA403"/>
            <w:spacing w:val="5"/>
            <w:sz w:val="24"/>
            <w:szCs w:val="24"/>
            <w:lang w:eastAsia="it-IT"/>
          </w:rPr>
          <w:t>art. 81,R.D. n. 2440 del 1923</w:t>
        </w:r>
      </w:hyperlink>
      <w:r w:rsidRPr="00517A16">
        <w:rPr>
          <w:rFonts w:ascii="Lato" w:eastAsia="Times New Roman" w:hAnsi="Lato" w:cs="Times New Roman"/>
          <w:color w:val="000000"/>
          <w:spacing w:val="5"/>
          <w:sz w:val="24"/>
          <w:szCs w:val="24"/>
          <w:lang w:eastAsia="it-IT"/>
        </w:rPr>
        <w:t>, e </w:t>
      </w:r>
      <w:hyperlink r:id="rId87" w:history="1">
        <w:r w:rsidRPr="00517A16">
          <w:rPr>
            <w:rFonts w:ascii="Lato" w:eastAsia="Times New Roman" w:hAnsi="Lato" w:cs="Times New Roman"/>
            <w:b/>
            <w:bCs/>
            <w:color w:val="FFA403"/>
            <w:spacing w:val="5"/>
            <w:sz w:val="24"/>
            <w:szCs w:val="24"/>
            <w:lang w:eastAsia="it-IT"/>
          </w:rPr>
          <w:t>art. 52,R.D. n. 1234 del 1214</w:t>
        </w:r>
      </w:hyperlink>
      <w:r w:rsidRPr="00517A16">
        <w:rPr>
          <w:rFonts w:ascii="Lato" w:eastAsia="Times New Roman" w:hAnsi="Lato" w:cs="Times New Roman"/>
          <w:color w:val="000000"/>
          <w:spacing w:val="5"/>
          <w:sz w:val="24"/>
          <w:szCs w:val="24"/>
          <w:lang w:eastAsia="it-IT"/>
        </w:rPr>
        <w:t>, per avere la Corte dei conti affermato la sussistenza della responsabilità amministrativa di essi amministratori di s.p.a. a partecipazione pubblica, mentre tale responsabilità non era ipotizzabile, segnatamente tenuto conto che l'Enel svolgeva attività di impresa su mercati liberi e concorrenziali, esercitata con finalità di lucro e senza finalità pubblicistiche, con conseguente difetto di giurisdizione della Corte dei Conti.</w:t>
      </w:r>
    </w:p>
    <w:p w14:paraId="70E682A5"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1.2. Con il primo motivo del ricorso incidentale l' A. lamenta la violazione delle norme che disciplinano la giurisdizione della Corte dei Conti (</w:t>
      </w:r>
      <w:hyperlink r:id="rId88" w:history="1">
        <w:r w:rsidRPr="00517A16">
          <w:rPr>
            <w:rFonts w:ascii="Lato" w:eastAsia="Times New Roman" w:hAnsi="Lato" w:cs="Times New Roman"/>
            <w:b/>
            <w:bCs/>
            <w:color w:val="FFA403"/>
            <w:spacing w:val="5"/>
            <w:sz w:val="24"/>
            <w:szCs w:val="24"/>
            <w:lang w:eastAsia="it-IT"/>
          </w:rPr>
          <w:t>L. n. 20 del 1994</w:t>
        </w:r>
      </w:hyperlink>
      <w:r w:rsidRPr="00517A16">
        <w:rPr>
          <w:rFonts w:ascii="Lato" w:eastAsia="Times New Roman" w:hAnsi="Lato" w:cs="Times New Roman"/>
          <w:color w:val="000000"/>
          <w:spacing w:val="5"/>
          <w:sz w:val="24"/>
          <w:szCs w:val="24"/>
          <w:lang w:eastAsia="it-IT"/>
        </w:rPr>
        <w:t>, </w:t>
      </w:r>
      <w:hyperlink r:id="rId89" w:history="1">
        <w:r w:rsidRPr="00517A16">
          <w:rPr>
            <w:rFonts w:ascii="Lato" w:eastAsia="Times New Roman" w:hAnsi="Lato" w:cs="Times New Roman"/>
            <w:b/>
            <w:bCs/>
            <w:color w:val="FFA403"/>
            <w:spacing w:val="5"/>
            <w:sz w:val="24"/>
            <w:szCs w:val="24"/>
            <w:lang w:eastAsia="it-IT"/>
          </w:rPr>
          <w:t>art. 1, L. n. 97 del 2001</w:t>
        </w:r>
      </w:hyperlink>
      <w:r w:rsidRPr="00517A16">
        <w:rPr>
          <w:rFonts w:ascii="Lato" w:eastAsia="Times New Roman" w:hAnsi="Lato" w:cs="Times New Roman"/>
          <w:color w:val="000000"/>
          <w:spacing w:val="5"/>
          <w:sz w:val="24"/>
          <w:szCs w:val="24"/>
          <w:lang w:eastAsia="it-IT"/>
        </w:rPr>
        <w:t>, artt. 3 e 7, dell'</w:t>
      </w:r>
      <w:hyperlink r:id="rId90" w:history="1">
        <w:r w:rsidRPr="00517A16">
          <w:rPr>
            <w:rFonts w:ascii="Lato" w:eastAsia="Times New Roman" w:hAnsi="Lato" w:cs="Times New Roman"/>
            <w:b/>
            <w:bCs/>
            <w:color w:val="FFA403"/>
            <w:spacing w:val="5"/>
            <w:sz w:val="24"/>
            <w:szCs w:val="24"/>
            <w:lang w:eastAsia="it-IT"/>
          </w:rPr>
          <w:t>art. 81,R.D. n. 2440 del 1923</w:t>
        </w:r>
      </w:hyperlink>
      <w:r w:rsidRPr="00517A16">
        <w:rPr>
          <w:rFonts w:ascii="Lato" w:eastAsia="Times New Roman" w:hAnsi="Lato" w:cs="Times New Roman"/>
          <w:color w:val="000000"/>
          <w:spacing w:val="5"/>
          <w:sz w:val="24"/>
          <w:szCs w:val="24"/>
          <w:lang w:eastAsia="it-IT"/>
        </w:rPr>
        <w:t> e </w:t>
      </w:r>
      <w:hyperlink r:id="rId91" w:history="1">
        <w:r w:rsidRPr="00517A16">
          <w:rPr>
            <w:rFonts w:ascii="Lato" w:eastAsia="Times New Roman" w:hAnsi="Lato" w:cs="Times New Roman"/>
            <w:b/>
            <w:bCs/>
            <w:color w:val="FFA403"/>
            <w:spacing w:val="5"/>
            <w:sz w:val="24"/>
            <w:szCs w:val="24"/>
            <w:lang w:eastAsia="it-IT"/>
          </w:rPr>
          <w:t>art. 52,R.D. n. 1234 del 1214</w:t>
        </w:r>
      </w:hyperlink>
      <w:r w:rsidRPr="00517A16">
        <w:rPr>
          <w:rFonts w:ascii="Lato" w:eastAsia="Times New Roman" w:hAnsi="Lato" w:cs="Times New Roman"/>
          <w:color w:val="000000"/>
          <w:spacing w:val="5"/>
          <w:sz w:val="24"/>
          <w:szCs w:val="24"/>
          <w:lang w:eastAsia="it-IT"/>
        </w:rPr>
        <w:t>), assumendo il difetto di giurisdizione del giudice contabile nei confronti di esso incaricato di una s.p.a., per quanto facente parte di un gruppo societario la cui capogruppo, sempre una s.p.a., sia qualificabile come impresa pubblica.</w:t>
      </w:r>
    </w:p>
    <w:p w14:paraId="562ED68C"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2. Preliminarmente vanno riuniti i ricorsi a norma dell'</w:t>
      </w:r>
      <w:hyperlink r:id="rId92" w:history="1">
        <w:r w:rsidRPr="00517A16">
          <w:rPr>
            <w:rFonts w:ascii="Lato" w:eastAsia="Times New Roman" w:hAnsi="Lato" w:cs="Times New Roman"/>
            <w:b/>
            <w:bCs/>
            <w:color w:val="FFA403"/>
            <w:spacing w:val="5"/>
            <w:sz w:val="24"/>
            <w:szCs w:val="24"/>
            <w:lang w:eastAsia="it-IT"/>
          </w:rPr>
          <w:t>art. 335 c.p.c.</w:t>
        </w:r>
      </w:hyperlink>
      <w:r w:rsidRPr="00517A16">
        <w:rPr>
          <w:rFonts w:ascii="Lato" w:eastAsia="Times New Roman" w:hAnsi="Lato" w:cs="Times New Roman"/>
          <w:color w:val="000000"/>
          <w:spacing w:val="5"/>
          <w:sz w:val="24"/>
          <w:szCs w:val="24"/>
          <w:lang w:eastAsia="it-IT"/>
        </w:rPr>
        <w:t>.</w:t>
      </w:r>
    </w:p>
    <w:p w14:paraId="5DE99432"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Il problema che si pone è quello relativo alla questione se agli amministratori e dipendenti di una s.p.a. cosiddetta "in mano pubblica" si applichino le norme di diritto societario o se dalla presenza di capitali pubblici consegua invece l'assoggettamento di questi soggetti alle norme proprie della responsabilità amministrativa, con la conseguente giurisdizione della Corte dei Conti.</w:t>
      </w:r>
    </w:p>
    <w:p w14:paraId="64E72C1C"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Il problema non è quello di definire se, come e quando una s.p.a.</w:t>
      </w:r>
    </w:p>
    <w:p w14:paraId="1394283C"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"pubblica" risponda, come persona giuridica per danno erariale ad una P.A., ma si tratta di stabilire sulla base di quale statuto gli amministratori o i dipendenti di una </w:t>
      </w:r>
      <w:proofErr w:type="spellStart"/>
      <w:proofErr w:type="gramStart"/>
      <w:r w:rsidRPr="00517A16">
        <w:rPr>
          <w:rFonts w:ascii="Lato" w:eastAsia="Times New Roman" w:hAnsi="Lato" w:cs="Times New Roman"/>
          <w:color w:val="000000"/>
          <w:spacing w:val="5"/>
          <w:sz w:val="24"/>
          <w:szCs w:val="24"/>
          <w:lang w:eastAsia="it-IT"/>
        </w:rPr>
        <w:t>s,p.a</w:t>
      </w:r>
      <w:proofErr w:type="spellEnd"/>
      <w:r w:rsidRPr="00517A16">
        <w:rPr>
          <w:rFonts w:ascii="Lato" w:eastAsia="Times New Roman" w:hAnsi="Lato" w:cs="Times New Roman"/>
          <w:color w:val="000000"/>
          <w:spacing w:val="5"/>
          <w:sz w:val="24"/>
          <w:szCs w:val="24"/>
          <w:lang w:eastAsia="it-IT"/>
        </w:rPr>
        <w:t>.</w:t>
      </w:r>
      <w:proofErr w:type="gramEnd"/>
      <w:r w:rsidRPr="00517A16">
        <w:rPr>
          <w:rFonts w:ascii="Lato" w:eastAsia="Times New Roman" w:hAnsi="Lato" w:cs="Times New Roman"/>
          <w:color w:val="000000"/>
          <w:spacing w:val="5"/>
          <w:sz w:val="24"/>
          <w:szCs w:val="24"/>
          <w:lang w:eastAsia="it-IT"/>
        </w:rPr>
        <w:t xml:space="preserve"> "pubblica" rispondano dei danni ad essa direttamente prodotti ed indirettamente riflessi sulla p.a., in quanto titolare della partecipazione azionaria.</w:t>
      </w:r>
    </w:p>
    <w:p w14:paraId="35D83527"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lastRenderedPageBreak/>
        <w:t>La differenza è rilevante, se si considera che nel primo caso la s.p.a. "pubblica" è il soggetto responsabile del danno che deve risarcire con il proprio patrimonio sociale, nel secondo caso essa diviene il soggetto danneggiato il cui patrimonio deve essere reintegrato.</w:t>
      </w:r>
    </w:p>
    <w:p w14:paraId="427BEB37"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Vanno, quindi, fissati alcuni principi generali.</w:t>
      </w:r>
    </w:p>
    <w:p w14:paraId="26FB72DA"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3.1. Com'è noto, il limite esterno della giurisdizione della Corte dei conti, sul quale le sezioni unite della Corte di cassazione sono chiamate a pronunciarsi, ha rilevanza costituzionale: discende dal disposto dell'</w:t>
      </w:r>
      <w:hyperlink r:id="rId93" w:history="1">
        <w:r w:rsidRPr="00517A16">
          <w:rPr>
            <w:rFonts w:ascii="Lato" w:eastAsia="Times New Roman" w:hAnsi="Lato" w:cs="Times New Roman"/>
            <w:b/>
            <w:bCs/>
            <w:color w:val="FFA403"/>
            <w:spacing w:val="5"/>
            <w:sz w:val="24"/>
            <w:szCs w:val="24"/>
            <w:lang w:eastAsia="it-IT"/>
          </w:rPr>
          <w:t>art. 103 Cost.</w:t>
        </w:r>
      </w:hyperlink>
      <w:r w:rsidRPr="00517A16">
        <w:rPr>
          <w:rFonts w:ascii="Lato" w:eastAsia="Times New Roman" w:hAnsi="Lato" w:cs="Times New Roman"/>
          <w:color w:val="000000"/>
          <w:spacing w:val="5"/>
          <w:sz w:val="24"/>
          <w:szCs w:val="24"/>
          <w:lang w:eastAsia="it-IT"/>
        </w:rPr>
        <w:t>, comma 2, a tenore del quale "la Corte dei conti ha giurisdizione nelle materie di contabilità pubblica e nelle altre specificate dalla legge".</w:t>
      </w:r>
    </w:p>
    <w:p w14:paraId="1771CED1"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Al di fuori delle materie di contabilità pubblica, e quindi anche in tema di responsabilità, occorre dunque che la giurisdizione della Corte dei conti abbia il suo fondamento in una specifica disposizione di legge.</w:t>
      </w:r>
    </w:p>
    <w:p w14:paraId="0417F58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In termini generali, il contenuto ed i limiti della giurisdizione della Corte dei conti in tema di responsabilità trovano la loro base normativa nella previsione dell'</w:t>
      </w:r>
      <w:hyperlink r:id="rId94" w:history="1">
        <w:r w:rsidRPr="00517A16">
          <w:rPr>
            <w:rFonts w:ascii="Lato" w:eastAsia="Times New Roman" w:hAnsi="Lato" w:cs="Times New Roman"/>
            <w:b/>
            <w:bCs/>
            <w:color w:val="FFA403"/>
            <w:spacing w:val="5"/>
            <w:sz w:val="24"/>
            <w:szCs w:val="24"/>
            <w:lang w:eastAsia="it-IT"/>
          </w:rPr>
          <w:t>art. 13, R.D. 12 luglio 1934, n. 1214</w:t>
        </w:r>
      </w:hyperlink>
      <w:r w:rsidRPr="00517A16">
        <w:rPr>
          <w:rFonts w:ascii="Lato" w:eastAsia="Times New Roman" w:hAnsi="Lato" w:cs="Times New Roman"/>
          <w:color w:val="000000"/>
          <w:spacing w:val="5"/>
          <w:sz w:val="24"/>
          <w:szCs w:val="24"/>
          <w:lang w:eastAsia="it-IT"/>
        </w:rPr>
        <w:t>, secondo cui la corte giudica sulla responsabilità per danni arrecati all'erario da pubblici funzionari nell'esercizio delle loro funzioni.</w:t>
      </w:r>
    </w:p>
    <w:p w14:paraId="263402F5"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Tali limiti sono stati successivamente ampliati dell'</w:t>
      </w:r>
      <w:hyperlink r:id="rId95" w:history="1">
        <w:r w:rsidRPr="00517A16">
          <w:rPr>
            <w:rFonts w:ascii="Lato" w:eastAsia="Times New Roman" w:hAnsi="Lato" w:cs="Times New Roman"/>
            <w:b/>
            <w:bCs/>
            <w:color w:val="FFA403"/>
            <w:spacing w:val="5"/>
            <w:sz w:val="24"/>
            <w:szCs w:val="24"/>
            <w:lang w:eastAsia="it-IT"/>
          </w:rPr>
          <w:t>art. 1, L. 14 gennaio 1994, n. 20</w:t>
        </w:r>
      </w:hyperlink>
      <w:r w:rsidRPr="00517A16">
        <w:rPr>
          <w:rFonts w:ascii="Lato" w:eastAsia="Times New Roman" w:hAnsi="Lato" w:cs="Times New Roman"/>
          <w:color w:val="000000"/>
          <w:spacing w:val="5"/>
          <w:sz w:val="24"/>
          <w:szCs w:val="24"/>
          <w:lang w:eastAsia="it-IT"/>
        </w:rPr>
        <w:t>, comma 4, che ha esteso il giudizio della Corte dei conti alla responsabilità di amministratori e dipendenti pubblici anche per danni cagionati ad amministrazioni o enti pubblici diversi da quelli di appartenenza. La giurisdizione di detta corte non è quindi circoscritta alla sola ipotesi di responsabilità contrattuale dell'agente, ma può esplicarsi anche in caso di responsabilità aquiliana.</w:t>
      </w:r>
    </w:p>
    <w:p w14:paraId="34623796"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3.2. In passato i limiti esterni della giurisdizione della Corte dei conti, al pari di quella del giudice amministrativo, erano però (relativamente) più agevoli da tracciare: la più netta distinzione tra l'area del pubblico e quella del privato, la normale corrispondenza tra la natura pubblica dell'attività svolta dall'agente ed il suo organico inserimento nei ranghi della pubblica amministrazione, la conseguente più agevole demarcazione di confini tra l'agire dell'amministrazione in forza della potestà pubblica ad essa spettante e per le finalità tipicamente a questa connesse ed il suo agire invece iure </w:t>
      </w:r>
      <w:proofErr w:type="spellStart"/>
      <w:r w:rsidRPr="00517A16">
        <w:rPr>
          <w:rFonts w:ascii="Lato" w:eastAsia="Times New Roman" w:hAnsi="Lato" w:cs="Times New Roman"/>
          <w:color w:val="000000"/>
          <w:spacing w:val="5"/>
          <w:sz w:val="24"/>
          <w:szCs w:val="24"/>
          <w:lang w:eastAsia="it-IT"/>
        </w:rPr>
        <w:t>privatorum</w:t>
      </w:r>
      <w:proofErr w:type="spellEnd"/>
      <w:r w:rsidRPr="00517A16">
        <w:rPr>
          <w:rFonts w:ascii="Lato" w:eastAsia="Times New Roman" w:hAnsi="Lato" w:cs="Times New Roman"/>
          <w:color w:val="000000"/>
          <w:spacing w:val="5"/>
          <w:sz w:val="24"/>
          <w:szCs w:val="24"/>
          <w:lang w:eastAsia="it-IT"/>
        </w:rPr>
        <w:t>: erano tutti elementi che facilitavano anche l'individuazione dei limiti esterni della giurisdizione in esame.</w:t>
      </w:r>
    </w:p>
    <w:p w14:paraId="36FB5361"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La più recente evoluzione dell'ordinamento ha reso ora questi confini assai meno chiari, da un lato incanalando sovente le finalità della pubblica amministrazione in ambiti tipicamente privatistici, dall'altro affidando con maggiore frequenza a soggetti privati la realizzazione di finalità una volta ritenute di pertinenza esclusiva degli organi pubblici.</w:t>
      </w:r>
    </w:p>
    <w:p w14:paraId="62BA7A91"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In quest'ottica anche le sezioni unite della Cassazione, per evitare il rischio di un sostanziale svuotamento - o almeno di un grave indebolimento - della giurisdizione della corte contabile in punto di responsabilità, ha teso a privilegiare un approccio più "sostanzialistico", sostituendo ad un criterio eminentemente soggettivo, che identificava l'elemento fondante della giurisdizione della Corte dei conti nella condizione giuridica pubblica dell'agente, un criterio oggettivo che fa leva sulla natura pubblica delle funzioni espletate e delle risorse finanziarie a tal fine adoperate.</w:t>
      </w:r>
    </w:p>
    <w:p w14:paraId="26FCEDB6"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Si è perciò affermato che, quando si discute del riparto della giurisdizione tra Corte dei conti e giudice ordinario, occorre aver riguardo al rapporto di servizio tra l'agente e la pubblica amministrazione, ma che per tale può intendersi anche una relazione con la pubblica amministrazione caratterizzata dal fatto di investire un soggetto, altrimenti estraneo all'amministrazione medesima, del compito di porre in essere in sua vece un'attività, senza che rilevi </w:t>
      </w:r>
      <w:proofErr w:type="spellStart"/>
      <w:r w:rsidRPr="00517A16">
        <w:rPr>
          <w:rFonts w:ascii="Lato" w:eastAsia="Times New Roman" w:hAnsi="Lato" w:cs="Times New Roman"/>
          <w:color w:val="000000"/>
          <w:spacing w:val="5"/>
          <w:sz w:val="24"/>
          <w:szCs w:val="24"/>
          <w:lang w:eastAsia="it-IT"/>
        </w:rPr>
        <w:t>nè</w:t>
      </w:r>
      <w:proofErr w:type="spellEnd"/>
      <w:r w:rsidRPr="00517A16">
        <w:rPr>
          <w:rFonts w:ascii="Lato" w:eastAsia="Times New Roman" w:hAnsi="Lato" w:cs="Times New Roman"/>
          <w:color w:val="000000"/>
          <w:spacing w:val="5"/>
          <w:sz w:val="24"/>
          <w:szCs w:val="24"/>
          <w:lang w:eastAsia="it-IT"/>
        </w:rPr>
        <w:t xml:space="preserve"> la natura giuridica dell'atto di investitura - provvedimento, </w:t>
      </w:r>
      <w:r w:rsidRPr="00517A16">
        <w:rPr>
          <w:rFonts w:ascii="Lato" w:eastAsia="Times New Roman" w:hAnsi="Lato" w:cs="Times New Roman"/>
          <w:color w:val="000000"/>
          <w:spacing w:val="5"/>
          <w:sz w:val="24"/>
          <w:szCs w:val="24"/>
          <w:lang w:eastAsia="it-IT"/>
        </w:rPr>
        <w:lastRenderedPageBreak/>
        <w:t xml:space="preserve">convenzione o contratto - </w:t>
      </w:r>
      <w:proofErr w:type="spellStart"/>
      <w:r w:rsidRPr="00517A16">
        <w:rPr>
          <w:rFonts w:ascii="Lato" w:eastAsia="Times New Roman" w:hAnsi="Lato" w:cs="Times New Roman"/>
          <w:color w:val="000000"/>
          <w:spacing w:val="5"/>
          <w:sz w:val="24"/>
          <w:szCs w:val="24"/>
          <w:lang w:eastAsia="it-IT"/>
        </w:rPr>
        <w:t>nè</w:t>
      </w:r>
      <w:proofErr w:type="spellEnd"/>
      <w:r w:rsidRPr="00517A16">
        <w:rPr>
          <w:rFonts w:ascii="Lato" w:eastAsia="Times New Roman" w:hAnsi="Lato" w:cs="Times New Roman"/>
          <w:color w:val="000000"/>
          <w:spacing w:val="5"/>
          <w:sz w:val="24"/>
          <w:szCs w:val="24"/>
          <w:lang w:eastAsia="it-IT"/>
        </w:rPr>
        <w:t xml:space="preserve"> quella del soggetto che la riceve, sia essa una persona giuridica o fisica, privata o pubblica (Sez. un. 3 luglio 2009, n. 15599; 31 gennaio 2008, n. 2289; 22 febbraio 2007, n. 4112; 20 ottobre 2006, n. 22513; 5 giugno 2000, n. 400; Sez. un., 30 marzo 1990, n. 2611, ed altre conformi).</w:t>
      </w:r>
    </w:p>
    <w:p w14:paraId="50381B36"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b/>
          <w:bCs/>
          <w:color w:val="000000"/>
          <w:spacing w:val="5"/>
          <w:sz w:val="24"/>
          <w:szCs w:val="24"/>
          <w:lang w:eastAsia="it-IT"/>
        </w:rPr>
        <w:t>L'affidamento da parte di un ente pubblico ad un soggetto esterno, da esso controllato, della gestione di un servizio pubblico integra quindi una relazione funzionale incentrata sull'inserimento del soggetto medesimo nell'organizzazione funzionale dell'ente pubblico e ne implica, conseguentemente, l'assoggettamento alla giurisdizione della Corte dei conti per danno erariale, a prescindere dalla natura privatistica dello stesso soggetto e dello strumento contrattuale con il quale si sia costituito ed attuato il rapporto</w:t>
      </w:r>
      <w:r w:rsidRPr="00517A16">
        <w:rPr>
          <w:rFonts w:ascii="Lato" w:eastAsia="Times New Roman" w:hAnsi="Lato" w:cs="Times New Roman"/>
          <w:color w:val="000000"/>
          <w:spacing w:val="5"/>
          <w:sz w:val="24"/>
          <w:szCs w:val="24"/>
          <w:lang w:eastAsia="it-IT"/>
        </w:rPr>
        <w:t xml:space="preserve"> (Sez. un. 27 settembre 2006, n. 20886; </w:t>
      </w:r>
      <w:proofErr w:type="gramStart"/>
      <w:r w:rsidRPr="00517A16">
        <w:rPr>
          <w:rFonts w:ascii="Lato" w:eastAsia="Times New Roman" w:hAnsi="Lato" w:cs="Times New Roman"/>
          <w:color w:val="000000"/>
          <w:spacing w:val="5"/>
          <w:sz w:val="24"/>
          <w:szCs w:val="24"/>
          <w:lang w:eastAsia="it-IT"/>
        </w:rPr>
        <w:t>1 aprile</w:t>
      </w:r>
      <w:proofErr w:type="gramEnd"/>
      <w:r w:rsidRPr="00517A16">
        <w:rPr>
          <w:rFonts w:ascii="Lato" w:eastAsia="Times New Roman" w:hAnsi="Lato" w:cs="Times New Roman"/>
          <w:color w:val="000000"/>
          <w:spacing w:val="5"/>
          <w:sz w:val="24"/>
          <w:szCs w:val="24"/>
          <w:lang w:eastAsia="it-IT"/>
        </w:rPr>
        <w:t xml:space="preserve"> 2008, n. 8409; 1 marzo 2006, n. 4511; 19 febbraio 2004, 2004, n. 3351), anche se l'estraneo venga investito solo di fatto dello svolgimento di una data attività in favore della pubblica amministrazione (Sez. un. 9 settembre 2008, n. 22652) ed anche se difetti una gestione del danaro secondo moduli contabili di tipo pubblico o secondo procedure di rendicontazione proprie della giurisdizione contabile in senso stretto (Sez. un. 12 ottobre 2004, n. 20132). Lo stesso dicasi per l'accertamento della responsabilità erariale conseguente all'illecito o indebito utilizzo, da parte di una società privata, di finanziamenti pubblici (Sez. un. 5 giugno 2008, n. 14825, e Sez. un., n. 4511/06, cit.); o per la responsabilità in cui può incorrere il concessionario privato di un pubblico servizio o di un'opera pubblica, quando la concessione investe il privato dell'esercizio di funzioni obiettivamente pubbliche, attribuendogli la qualifica di organo indiretto dell'amministrazione, onde egli agisce per le finalità proprie di quest'ultima (Sez. un., n. 4112/07, cit.). Nella medesima ottica, a partire dal 2003, le sezioni unite di questa l'hanno ritenuto spettare alla Corte dei conti, dopo l'entrata in vigore della </w:t>
      </w:r>
      <w:hyperlink r:id="rId96" w:history="1">
        <w:r w:rsidRPr="00517A16">
          <w:rPr>
            <w:rFonts w:ascii="Lato" w:eastAsia="Times New Roman" w:hAnsi="Lato" w:cs="Times New Roman"/>
            <w:b/>
            <w:bCs/>
            <w:color w:val="FFA403"/>
            <w:spacing w:val="5"/>
            <w:sz w:val="24"/>
            <w:szCs w:val="24"/>
            <w:lang w:eastAsia="it-IT"/>
          </w:rPr>
          <w:t>L. n. 20 del 1994</w:t>
        </w:r>
      </w:hyperlink>
      <w:r w:rsidRPr="00517A16">
        <w:rPr>
          <w:rFonts w:ascii="Lato" w:eastAsia="Times New Roman" w:hAnsi="Lato" w:cs="Times New Roman"/>
          <w:color w:val="000000"/>
          <w:spacing w:val="5"/>
          <w:sz w:val="24"/>
          <w:szCs w:val="24"/>
          <w:lang w:eastAsia="it-IT"/>
        </w:rPr>
        <w:t xml:space="preserve">, art. 1, </w:t>
      </w:r>
      <w:proofErr w:type="spellStart"/>
      <w:r w:rsidRPr="00517A16">
        <w:rPr>
          <w:rFonts w:ascii="Lato" w:eastAsia="Times New Roman" w:hAnsi="Lato" w:cs="Times New Roman"/>
          <w:color w:val="000000"/>
          <w:spacing w:val="5"/>
          <w:sz w:val="24"/>
          <w:szCs w:val="24"/>
          <w:lang w:eastAsia="it-IT"/>
        </w:rPr>
        <w:t>u.c.</w:t>
      </w:r>
      <w:proofErr w:type="spellEnd"/>
      <w:r w:rsidRPr="00517A16">
        <w:rPr>
          <w:rFonts w:ascii="Lato" w:eastAsia="Times New Roman" w:hAnsi="Lato" w:cs="Times New Roman"/>
          <w:color w:val="000000"/>
          <w:spacing w:val="5"/>
          <w:sz w:val="24"/>
          <w:szCs w:val="24"/>
          <w:lang w:eastAsia="it-IT"/>
        </w:rPr>
        <w:t xml:space="preserve">, </w:t>
      </w:r>
      <w:r w:rsidRPr="00517A16">
        <w:rPr>
          <w:rFonts w:ascii="Lato" w:eastAsia="Times New Roman" w:hAnsi="Lato" w:cs="Times New Roman"/>
          <w:b/>
          <w:bCs/>
          <w:color w:val="000000"/>
          <w:spacing w:val="5"/>
          <w:sz w:val="24"/>
          <w:szCs w:val="24"/>
          <w:lang w:eastAsia="it-IT"/>
        </w:rPr>
        <w:t>la giurisdizione sulle controversie aventi ad oggetto la responsabilità di privati funzionar di enti pubblici economici (quali, ad esempio, i consorzi per la gestione di opere) anche per i danni conseguenti allo svolgimento dell'ordinaria attività imprenditoriale e non soltanto per quelli cagionati nell'espletamento di funzioni pubbliche o comunque di poteri pubblicistici (Sez. un., 22 dicembre 2003, n. 19667).</w:t>
      </w:r>
      <w:r w:rsidRPr="00517A16">
        <w:rPr>
          <w:rFonts w:ascii="Lato" w:eastAsia="Times New Roman" w:hAnsi="Lato" w:cs="Times New Roman"/>
          <w:color w:val="000000"/>
          <w:spacing w:val="5"/>
          <w:sz w:val="24"/>
          <w:szCs w:val="24"/>
          <w:lang w:eastAsia="it-IT"/>
        </w:rPr>
        <w:t xml:space="preserve"> Si è sottolineato che si esercita attività amministrativa non solo quando si svolgono pubbliche funzioni e poteri autoritativi, </w:t>
      </w:r>
      <w:r w:rsidRPr="00517A16">
        <w:rPr>
          <w:rFonts w:ascii="Lato" w:eastAsia="Times New Roman" w:hAnsi="Lato" w:cs="Times New Roman"/>
          <w:b/>
          <w:bCs/>
          <w:color w:val="000000"/>
          <w:spacing w:val="5"/>
          <w:sz w:val="24"/>
          <w:szCs w:val="24"/>
          <w:u w:val="single"/>
          <w:lang w:eastAsia="it-IT"/>
        </w:rPr>
        <w:t>ma anche quando, nei limiti consentiti dall'ordinamento, si perseguono le finalità istituzionali proprie dell'amministrazione pubblica mediante un'attività disciplinata in tutto o in parte dal diritto privato</w:t>
      </w:r>
      <w:r w:rsidRPr="00517A16">
        <w:rPr>
          <w:rFonts w:ascii="Lato" w:eastAsia="Times New Roman" w:hAnsi="Lato" w:cs="Times New Roman"/>
          <w:color w:val="000000"/>
          <w:spacing w:val="5"/>
          <w:sz w:val="24"/>
          <w:szCs w:val="24"/>
          <w:lang w:eastAsia="it-IT"/>
        </w:rPr>
        <w:t xml:space="preserve">; con la conseguenza - si è precisato - che, nell'attuale assetto normativo, </w:t>
      </w:r>
      <w:r w:rsidRPr="00517A16">
        <w:rPr>
          <w:rFonts w:ascii="Lato" w:eastAsia="Times New Roman" w:hAnsi="Lato" w:cs="Times New Roman"/>
          <w:b/>
          <w:bCs/>
          <w:color w:val="000000"/>
          <w:spacing w:val="5"/>
          <w:sz w:val="24"/>
          <w:szCs w:val="24"/>
          <w:lang w:eastAsia="it-IT"/>
        </w:rPr>
        <w:t>il dato essenziale che radica la giurisdizione della corte contabile è rappresentato dall'evento dannoso verificatosi a carico di una pubblica amministrazione e non più dal quadro di riferimento - pubblico o privato - nel quale si colloca la condotta produttiva del danno (Sez. un., 25 maggio 2005, n. 10973; 20 giugno 2006, n. 14101; 1 marzo 2006, n. 4511; Cass. 15 febbraio 2007, n. 3367</w:t>
      </w:r>
      <w:r w:rsidRPr="00517A16">
        <w:rPr>
          <w:rFonts w:ascii="Lato" w:eastAsia="Times New Roman" w:hAnsi="Lato" w:cs="Times New Roman"/>
          <w:color w:val="000000"/>
          <w:spacing w:val="5"/>
          <w:sz w:val="24"/>
          <w:szCs w:val="24"/>
          <w:lang w:eastAsia="it-IT"/>
        </w:rPr>
        <w:t>).</w:t>
      </w:r>
    </w:p>
    <w:p w14:paraId="1378B405"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3.3. Se quanto appena osservato vale certamente per gli enti pubblici economici, i quali restano nell'alveo della pubblica amministrazione pur quando eventualmente operino imprenditorialmente con strumenti privatistici, è da stabilire entro quali limiti alla medesima conclusione si debba pervenire anche nel diverso caso della responsabilità di amministratori di società di diritto privato partecipate da un ente pubblico. Le quali non perdono la loro natura di enti privati per il solo fatto che il loro capitale sia alimentato anche da conferimenti provenienti dallo Stato o da altro ente pubblico.</w:t>
      </w:r>
    </w:p>
    <w:p w14:paraId="189EEFA6"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Il c.c. dedica alla società per azioni a partecipazione pubblica solo alcune scarne disposizioni, oggi contenute nell'art. 2449 (come modificato dall'</w:t>
      </w:r>
      <w:hyperlink r:id="rId97" w:history="1">
        <w:r w:rsidRPr="00517A16">
          <w:rPr>
            <w:rFonts w:ascii="Lato" w:eastAsia="Times New Roman" w:hAnsi="Lato" w:cs="Times New Roman"/>
            <w:b/>
            <w:bCs/>
            <w:color w:val="FFA403"/>
            <w:spacing w:val="5"/>
            <w:sz w:val="24"/>
            <w:szCs w:val="24"/>
            <w:lang w:eastAsia="it-IT"/>
          </w:rPr>
          <w:t>art. 13, L. 25 febbraio 2008, n. 34</w:t>
        </w:r>
      </w:hyperlink>
      <w:r w:rsidRPr="00517A16">
        <w:rPr>
          <w:rFonts w:ascii="Lato" w:eastAsia="Times New Roman" w:hAnsi="Lato" w:cs="Times New Roman"/>
          <w:color w:val="000000"/>
          <w:spacing w:val="5"/>
          <w:sz w:val="24"/>
          <w:szCs w:val="24"/>
          <w:lang w:eastAsia="it-IT"/>
        </w:rPr>
        <w:t xml:space="preserve">, a seguito della pronuncia della Corte giustizia delle Comunità europee, 6 </w:t>
      </w:r>
      <w:r w:rsidRPr="00517A16">
        <w:rPr>
          <w:rFonts w:ascii="Lato" w:eastAsia="Times New Roman" w:hAnsi="Lato" w:cs="Times New Roman"/>
          <w:color w:val="000000"/>
          <w:spacing w:val="5"/>
          <w:sz w:val="24"/>
          <w:szCs w:val="24"/>
          <w:lang w:eastAsia="it-IT"/>
        </w:rPr>
        <w:lastRenderedPageBreak/>
        <w:t>dicembre 2007, n. 463/04), essendo stato il successivo art. 2450 ormai abrogato dall'</w:t>
      </w:r>
      <w:hyperlink r:id="rId98" w:history="1">
        <w:r w:rsidRPr="00517A16">
          <w:rPr>
            <w:rFonts w:ascii="Lato" w:eastAsia="Times New Roman" w:hAnsi="Lato" w:cs="Times New Roman"/>
            <w:b/>
            <w:bCs/>
            <w:color w:val="FFA403"/>
            <w:spacing w:val="5"/>
            <w:sz w:val="24"/>
            <w:szCs w:val="24"/>
            <w:lang w:eastAsia="it-IT"/>
          </w:rPr>
          <w:t>art. 3, comma 1, D.L. 15 febbraio 2007, n. 10</w:t>
        </w:r>
      </w:hyperlink>
      <w:r w:rsidRPr="00517A16">
        <w:rPr>
          <w:rFonts w:ascii="Lato" w:eastAsia="Times New Roman" w:hAnsi="Lato" w:cs="Times New Roman"/>
          <w:color w:val="000000"/>
          <w:spacing w:val="5"/>
          <w:sz w:val="24"/>
          <w:szCs w:val="24"/>
          <w:lang w:eastAsia="it-IT"/>
        </w:rPr>
        <w:t>, convertito con modificazioni dalla </w:t>
      </w:r>
      <w:hyperlink r:id="rId99" w:history="1">
        <w:r w:rsidRPr="00517A16">
          <w:rPr>
            <w:rFonts w:ascii="Lato" w:eastAsia="Times New Roman" w:hAnsi="Lato" w:cs="Times New Roman"/>
            <w:b/>
            <w:bCs/>
            <w:color w:val="FFA403"/>
            <w:spacing w:val="5"/>
            <w:sz w:val="24"/>
            <w:szCs w:val="24"/>
            <w:lang w:eastAsia="it-IT"/>
          </w:rPr>
          <w:t>L. 6 aprile 2007, n. 46</w:t>
        </w:r>
      </w:hyperlink>
      <w:r w:rsidRPr="00517A16">
        <w:rPr>
          <w:rFonts w:ascii="Lato" w:eastAsia="Times New Roman" w:hAnsi="Lato" w:cs="Times New Roman"/>
          <w:color w:val="000000"/>
          <w:spacing w:val="5"/>
          <w:sz w:val="24"/>
          <w:szCs w:val="24"/>
          <w:lang w:eastAsia="it-IT"/>
        </w:rPr>
        <w:t>.</w:t>
      </w:r>
    </w:p>
    <w:p w14:paraId="245C5FE4"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Ma siffatte residue disposizioni del codice non valgono a configurare uno statuto speciale per dette società (spesso, viceversa, interessate da norme speciali, non sempre tra loro ben coordinate), salvo per i profili inerenti alla nomina e revoca degli organi sociali, specificamente ivi contemplati, </w:t>
      </w:r>
      <w:proofErr w:type="spellStart"/>
      <w:r w:rsidRPr="00517A16">
        <w:rPr>
          <w:rFonts w:ascii="Lato" w:eastAsia="Times New Roman" w:hAnsi="Lato" w:cs="Times New Roman"/>
          <w:color w:val="000000"/>
          <w:spacing w:val="5"/>
          <w:sz w:val="24"/>
          <w:szCs w:val="24"/>
          <w:lang w:eastAsia="it-IT"/>
        </w:rPr>
        <w:t>nè</w:t>
      </w:r>
      <w:proofErr w:type="spellEnd"/>
      <w:r w:rsidRPr="00517A16">
        <w:rPr>
          <w:rFonts w:ascii="Lato" w:eastAsia="Times New Roman" w:hAnsi="Lato" w:cs="Times New Roman"/>
          <w:color w:val="000000"/>
          <w:spacing w:val="5"/>
          <w:sz w:val="24"/>
          <w:szCs w:val="24"/>
          <w:lang w:eastAsia="it-IT"/>
        </w:rPr>
        <w:t xml:space="preserve"> comunque investono il tema della responsabilità di detti organi, che resta quindi disciplinato dalle ordinarie norme previste dal c.c. a questo riguardo, com'è confermato dalla immutata indicazione del comma 2 del citato art. 2449, a tenore del quale anche i componenti degli organi amministrativi e di controllo di nomina pubblica "hanno i diritti e gli obblighi dei membri nominati dall'assemblea".</w:t>
      </w:r>
    </w:p>
    <w:p w14:paraId="06D7643B"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proofErr w:type="spellStart"/>
      <w:r w:rsidRPr="00517A16">
        <w:rPr>
          <w:rFonts w:ascii="Lato" w:eastAsia="Times New Roman" w:hAnsi="Lato" w:cs="Times New Roman"/>
          <w:color w:val="000000"/>
          <w:spacing w:val="5"/>
          <w:sz w:val="24"/>
          <w:szCs w:val="24"/>
          <w:lang w:eastAsia="it-IT"/>
        </w:rPr>
        <w:t>Nè</w:t>
      </w:r>
      <w:proofErr w:type="spellEnd"/>
      <w:r w:rsidRPr="00517A16">
        <w:rPr>
          <w:rFonts w:ascii="Lato" w:eastAsia="Times New Roman" w:hAnsi="Lato" w:cs="Times New Roman"/>
          <w:color w:val="000000"/>
          <w:spacing w:val="5"/>
          <w:sz w:val="24"/>
          <w:szCs w:val="24"/>
          <w:lang w:eastAsia="it-IT"/>
        </w:rPr>
        <w:t xml:space="preserve"> pare dubbio che quest'ultimo principio valga anche per le società a responsabilità limitata eventualmente partecipate da un ente pubblico, in difetto di qualsiasi specifica disposizione del codice che se ne occupi. Se ne è desunto - anche alla luce di quanto espressamente indicato nella relazione ("+ê lo Stato medesimo che si assoggetta alla legge delle società per azioni per assicurare alla propria gestione maggiore snellezza di forme e nuove possibilità realizzatrici") - che la scelta della pubblica amministrazione di acquisire partecipazioni in società private implica il suo assoggettamento alle regole proprie della forma giuridica prescelta.</w:t>
      </w:r>
    </w:p>
    <w:p w14:paraId="102CD9F8"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Dall'identità dei diritti e degli obblighi facenti capo ai componenti degli organi sociali di una società a partecipazione pubblica, pur quando direttamente designati dal socio pubblico, logicamente perciò discende la responsabilità di detti organi nei confronti della società, dei soci, dei creditori e dei terzi in genere, nei medesimi termini - contemplati dagli </w:t>
      </w:r>
      <w:hyperlink r:id="rId100" w:history="1">
        <w:r w:rsidRPr="00517A16">
          <w:rPr>
            <w:rFonts w:ascii="Lato" w:eastAsia="Times New Roman" w:hAnsi="Lato" w:cs="Times New Roman"/>
            <w:b/>
            <w:bCs/>
            <w:color w:val="FFA403"/>
            <w:spacing w:val="5"/>
            <w:sz w:val="24"/>
            <w:szCs w:val="24"/>
            <w:lang w:eastAsia="it-IT"/>
          </w:rPr>
          <w:t>artt. 2392 c.c.</w:t>
        </w:r>
      </w:hyperlink>
      <w:r w:rsidRPr="00517A16">
        <w:rPr>
          <w:rFonts w:ascii="Lato" w:eastAsia="Times New Roman" w:hAnsi="Lato" w:cs="Times New Roman"/>
          <w:color w:val="000000"/>
          <w:spacing w:val="5"/>
          <w:sz w:val="24"/>
          <w:szCs w:val="24"/>
          <w:lang w:eastAsia="it-IT"/>
        </w:rPr>
        <w:t> e segg. - in cui tali diverse possibili proiezioni della responsabilità sono configurabili per gli amministratori e per gli organi di controllo di qualsivoglia altra società privata.</w:t>
      </w:r>
    </w:p>
    <w:p w14:paraId="23B2AADB"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3.4. +ê innegabile, nondimeno, che si possano determinare dei problemi quando il modello giuridico - formale prescelto entra in tensione con il fenomeno economico sottostante, come non di rado accade proprio nel caso in cui lo Stato o altro ente pubblico assume una partecipazione in una società per perseguire in tal modo finalità di rilevanza pubblica.</w:t>
      </w:r>
    </w:p>
    <w:p w14:paraId="18514A09"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Ne è testimone, in certa misura, la sentenza delle sezioni unite 26 febbraio 2004, n. 3899, che, dopo aver ribadito il principio per cui una società per azioni costituita con capitale maggioritario del comune in vista dello svolgimento di un servizio pubblico ha una relazione funzionale con l'ente territoriale, caratterizzata dall'inserimento della società medesima nell'iter procedimentale dell'ente locale e dal conseguente rapporto di servizio venutosi così a determinare, ha riconosciuto la giurisdizione della Corte dei conti nelle controversie in materia di responsabilità patrimoniale per danno erariale riguardanti gli amministratori ed i dipendenti di una siffatta società. La portata di tale affermazione non risulta però del tutto univoca: </w:t>
      </w:r>
      <w:proofErr w:type="spellStart"/>
      <w:r w:rsidRPr="00517A16">
        <w:rPr>
          <w:rFonts w:ascii="Lato" w:eastAsia="Times New Roman" w:hAnsi="Lato" w:cs="Times New Roman"/>
          <w:color w:val="000000"/>
          <w:spacing w:val="5"/>
          <w:sz w:val="24"/>
          <w:szCs w:val="24"/>
          <w:lang w:eastAsia="it-IT"/>
        </w:rPr>
        <w:t>perchè</w:t>
      </w:r>
      <w:proofErr w:type="spellEnd"/>
      <w:r w:rsidRPr="00517A16">
        <w:rPr>
          <w:rFonts w:ascii="Lato" w:eastAsia="Times New Roman" w:hAnsi="Lato" w:cs="Times New Roman"/>
          <w:color w:val="000000"/>
          <w:spacing w:val="5"/>
          <w:sz w:val="24"/>
          <w:szCs w:val="24"/>
          <w:lang w:eastAsia="it-IT"/>
        </w:rPr>
        <w:t xml:space="preserve"> nella medesima sentenza si ha cura di specificare, per un verso, che l'elemento determinante della decisione era costituito, in quel caso, dal rapporto di servizio intercorrente tra la società privata ed il comune (piuttosto che dal rapporto partecipativo e dal conseguente investimento di risorse finanziarie pubbliche nel patrimonio della società privata) e, per altro verso, che la questione se il danno subito dal comune partecipante alla società fosse diretto, o meramente riflesso, rispetto a quello arrecato al patrimonio sociale, costituiva un profilo estraneo al giudizio sui limiti della giurisdizione.</w:t>
      </w:r>
    </w:p>
    <w:p w14:paraId="0191F0C6"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Proprio quest'ultimo profilo sembra invece meritare un ulteriore approfondimento, potendo assumere carattere decisivo ai fini che qui </w:t>
      </w:r>
      <w:proofErr w:type="spellStart"/>
      <w:r w:rsidRPr="00517A16">
        <w:rPr>
          <w:rFonts w:ascii="Lato" w:eastAsia="Times New Roman" w:hAnsi="Lato" w:cs="Times New Roman"/>
          <w:color w:val="000000"/>
          <w:spacing w:val="5"/>
          <w:sz w:val="24"/>
          <w:szCs w:val="24"/>
          <w:lang w:eastAsia="it-IT"/>
        </w:rPr>
        <w:t>interesano</w:t>
      </w:r>
      <w:proofErr w:type="spellEnd"/>
      <w:r w:rsidRPr="00517A16">
        <w:rPr>
          <w:rFonts w:ascii="Lato" w:eastAsia="Times New Roman" w:hAnsi="Lato" w:cs="Times New Roman"/>
          <w:color w:val="000000"/>
          <w:spacing w:val="5"/>
          <w:sz w:val="24"/>
          <w:szCs w:val="24"/>
          <w:lang w:eastAsia="it-IT"/>
        </w:rPr>
        <w:t>.</w:t>
      </w:r>
    </w:p>
    <w:p w14:paraId="56CE8391"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17A16">
        <w:rPr>
          <w:rFonts w:ascii="Lato" w:eastAsia="Times New Roman" w:hAnsi="Lato" w:cs="Times New Roman"/>
          <w:b/>
          <w:bCs/>
          <w:color w:val="000000"/>
          <w:spacing w:val="5"/>
          <w:sz w:val="24"/>
          <w:szCs w:val="24"/>
          <w:lang w:eastAsia="it-IT"/>
        </w:rPr>
        <w:lastRenderedPageBreak/>
        <w:t>3.5. In primo luogo, non sembra si possa prescindere dalla distinzione tra la posizione della società partecipata, cui eventualmente fa capo il rapporto di servizio instaurato con la pubblica amministrazione, e quella personale degli amministratori (</w:t>
      </w:r>
      <w:proofErr w:type="spellStart"/>
      <w:r w:rsidRPr="00517A16">
        <w:rPr>
          <w:rFonts w:ascii="Lato" w:eastAsia="Times New Roman" w:hAnsi="Lato" w:cs="Times New Roman"/>
          <w:b/>
          <w:bCs/>
          <w:color w:val="000000"/>
          <w:spacing w:val="5"/>
          <w:sz w:val="24"/>
          <w:szCs w:val="24"/>
          <w:lang w:eastAsia="it-IT"/>
        </w:rPr>
        <w:t>nonchè</w:t>
      </w:r>
      <w:proofErr w:type="spellEnd"/>
      <w:r w:rsidRPr="00517A16">
        <w:rPr>
          <w:rFonts w:ascii="Lato" w:eastAsia="Times New Roman" w:hAnsi="Lato" w:cs="Times New Roman"/>
          <w:b/>
          <w:bCs/>
          <w:color w:val="000000"/>
          <w:spacing w:val="5"/>
          <w:sz w:val="24"/>
          <w:szCs w:val="24"/>
          <w:lang w:eastAsia="it-IT"/>
        </w:rPr>
        <w:t xml:space="preserve"> dei sindaci o degli organi di controllo della stessa società): i quali, ovviamente, non s'identificano con la società, </w:t>
      </w:r>
      <w:proofErr w:type="spellStart"/>
      <w:r w:rsidRPr="00517A16">
        <w:rPr>
          <w:rFonts w:ascii="Lato" w:eastAsia="Times New Roman" w:hAnsi="Lato" w:cs="Times New Roman"/>
          <w:b/>
          <w:bCs/>
          <w:color w:val="000000"/>
          <w:spacing w:val="5"/>
          <w:sz w:val="24"/>
          <w:szCs w:val="24"/>
          <w:lang w:eastAsia="it-IT"/>
        </w:rPr>
        <w:t>sicchè</w:t>
      </w:r>
      <w:proofErr w:type="spellEnd"/>
      <w:r w:rsidRPr="00517A16">
        <w:rPr>
          <w:rFonts w:ascii="Lato" w:eastAsia="Times New Roman" w:hAnsi="Lato" w:cs="Times New Roman"/>
          <w:b/>
          <w:bCs/>
          <w:color w:val="000000"/>
          <w:spacing w:val="5"/>
          <w:sz w:val="24"/>
          <w:szCs w:val="24"/>
          <w:lang w:eastAsia="it-IT"/>
        </w:rPr>
        <w:t xml:space="preserve"> nulla consente di riferire loro, sic et simpliciter, il rapporto di servizio di cui la società medesima sia parte.</w:t>
      </w:r>
    </w:p>
    <w:p w14:paraId="4B9A2EE3"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Quanto appena osservato non vale però a chiudere ogni possibile spazio alla giurisdizione della Corte dei conti in ordine ad eventuali comportamenti illegittimi imputabili agli organi delle società a partecipazione pubblica, dai quali sia scaturito un danno per il socio pubblico.</w:t>
      </w:r>
    </w:p>
    <w:p w14:paraId="75059E44"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S'è già prima accennato vuoi alla possibilità che tale giurisdizione sia riferita anche ad ipotesi di responsabilità aquiliana, vuoi alla possibilità che essa si configuri pure in difetto di una formale investitura pubblica dell'agente. Entra allora in gioco un ulteriore importante elemento normativo, cui finora non si è fatto riferimento ma che occorre adesso prendere in considerazione. Si allude alla disposizione della </w:t>
      </w:r>
      <w:hyperlink r:id="rId101" w:history="1">
        <w:r w:rsidRPr="00517A16">
          <w:rPr>
            <w:rFonts w:ascii="Lato" w:eastAsia="Times New Roman" w:hAnsi="Lato" w:cs="Times New Roman"/>
            <w:b/>
            <w:bCs/>
            <w:color w:val="FFA403"/>
            <w:spacing w:val="5"/>
            <w:sz w:val="24"/>
            <w:szCs w:val="24"/>
            <w:lang w:eastAsia="it-IT"/>
          </w:rPr>
          <w:t>L. 28 febbraio 2008, n. 31, art. 16 bis,</w:t>
        </w:r>
      </w:hyperlink>
      <w:r w:rsidRPr="00517A16">
        <w:rPr>
          <w:rFonts w:ascii="Lato" w:eastAsia="Times New Roman" w:hAnsi="Lato" w:cs="Times New Roman"/>
          <w:color w:val="000000"/>
          <w:spacing w:val="5"/>
          <w:sz w:val="24"/>
          <w:szCs w:val="24"/>
          <w:lang w:eastAsia="it-IT"/>
        </w:rPr>
        <w:t>(che ha convertito il </w:t>
      </w:r>
      <w:hyperlink r:id="rId102" w:history="1">
        <w:r w:rsidRPr="00517A16">
          <w:rPr>
            <w:rFonts w:ascii="Lato" w:eastAsia="Times New Roman" w:hAnsi="Lato" w:cs="Times New Roman"/>
            <w:b/>
            <w:bCs/>
            <w:color w:val="FFA403"/>
            <w:spacing w:val="5"/>
            <w:sz w:val="24"/>
            <w:szCs w:val="24"/>
            <w:lang w:eastAsia="it-IT"/>
          </w:rPr>
          <w:t>D.L. 31 dicembre 2007, n. 248</w:t>
        </w:r>
      </w:hyperlink>
      <w:r w:rsidRPr="00517A16">
        <w:rPr>
          <w:rFonts w:ascii="Lato" w:eastAsia="Times New Roman" w:hAnsi="Lato" w:cs="Times New Roman"/>
          <w:color w:val="000000"/>
          <w:spacing w:val="5"/>
          <w:sz w:val="24"/>
          <w:szCs w:val="24"/>
          <w:lang w:eastAsia="it-IT"/>
        </w:rPr>
        <w:t xml:space="preserve">), così concepita: "Per le società con azioni quotate in mercati regolamentati, con partecipazione anche indiretta dello Stato o di altre amministrazioni o di enti pubblici, inferiore al 50 per cento, </w:t>
      </w:r>
      <w:proofErr w:type="spellStart"/>
      <w:r w:rsidRPr="00517A16">
        <w:rPr>
          <w:rFonts w:ascii="Lato" w:eastAsia="Times New Roman" w:hAnsi="Lato" w:cs="Times New Roman"/>
          <w:color w:val="000000"/>
          <w:spacing w:val="5"/>
          <w:sz w:val="24"/>
          <w:szCs w:val="24"/>
          <w:lang w:eastAsia="it-IT"/>
        </w:rPr>
        <w:t>nonchè</w:t>
      </w:r>
      <w:proofErr w:type="spellEnd"/>
      <w:r w:rsidRPr="00517A16">
        <w:rPr>
          <w:rFonts w:ascii="Lato" w:eastAsia="Times New Roman" w:hAnsi="Lato" w:cs="Times New Roman"/>
          <w:color w:val="000000"/>
          <w:spacing w:val="5"/>
          <w:sz w:val="24"/>
          <w:szCs w:val="24"/>
          <w:lang w:eastAsia="it-IT"/>
        </w:rPr>
        <w:t xml:space="preserve"> per le loro controllate, la responsabilità degli amministratori e dei dipendenti è regolata dalle norme del diritto civile e le relative controversie sono devolute esclusivamente alla giurisdizione del giudice ordinario".</w:t>
      </w:r>
    </w:p>
    <w:p w14:paraId="739594C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Tale norma, </w:t>
      </w:r>
      <w:proofErr w:type="spellStart"/>
      <w:r w:rsidRPr="00517A16">
        <w:rPr>
          <w:rFonts w:ascii="Lato" w:eastAsia="Times New Roman" w:hAnsi="Lato" w:cs="Times New Roman"/>
          <w:color w:val="000000"/>
          <w:spacing w:val="5"/>
          <w:sz w:val="24"/>
          <w:szCs w:val="24"/>
          <w:lang w:eastAsia="it-IT"/>
        </w:rPr>
        <w:t>benchè</w:t>
      </w:r>
      <w:proofErr w:type="spellEnd"/>
      <w:r w:rsidRPr="00517A16">
        <w:rPr>
          <w:rFonts w:ascii="Lato" w:eastAsia="Times New Roman" w:hAnsi="Lato" w:cs="Times New Roman"/>
          <w:color w:val="000000"/>
          <w:spacing w:val="5"/>
          <w:sz w:val="24"/>
          <w:szCs w:val="24"/>
          <w:lang w:eastAsia="it-IT"/>
        </w:rPr>
        <w:t xml:space="preserve"> la sua applicazione ai giudizi in corso alla data di entrata in vigore della legge di conversione sia espressamente esclusa, assume un evidente significato retrospettivo, nella misura in cui lascia chiaramente intendere che, in ordine alla responsabilità di amministratori e dipendenti di società a partecipazione pubblica, vi sia una naturale area di competenza giurisdizionale diversa da quella ordinaria.</w:t>
      </w:r>
    </w:p>
    <w:p w14:paraId="4C7A97A6"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Non si capirebbe, altrimenti, la ragione per la quale il legislatore ha inteso stabilire che, per l'avvenire (e limitatamente alle società quotate, o loro controllate, con partecipazione pubblica inferiore al 50%), la giurisdizione spetta invece in via esclusiva proprio al giudice ordinario.</w:t>
      </w:r>
    </w:p>
    <w:p w14:paraId="16189C0A"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Resta però da verificare entro quali limiti, al di fuori del ristretto campo d'applicazione della disposizione da ultimo richiamata, sia davvero configurabile la giurisdizione del giudice contabile che il legislatore ha in tal modo presupposto in rapporto ad atti di mala </w:t>
      </w:r>
      <w:proofErr w:type="spellStart"/>
      <w:r w:rsidRPr="00517A16">
        <w:rPr>
          <w:rFonts w:ascii="Lato" w:eastAsia="Times New Roman" w:hAnsi="Lato" w:cs="Times New Roman"/>
          <w:color w:val="000000"/>
          <w:spacing w:val="5"/>
          <w:sz w:val="24"/>
          <w:szCs w:val="24"/>
          <w:lang w:eastAsia="it-IT"/>
        </w:rPr>
        <w:t>gestio</w:t>
      </w:r>
      <w:proofErr w:type="spellEnd"/>
      <w:r w:rsidRPr="00517A16">
        <w:rPr>
          <w:rFonts w:ascii="Lato" w:eastAsia="Times New Roman" w:hAnsi="Lato" w:cs="Times New Roman"/>
          <w:color w:val="000000"/>
          <w:spacing w:val="5"/>
          <w:sz w:val="24"/>
          <w:szCs w:val="24"/>
          <w:lang w:eastAsia="it-IT"/>
        </w:rPr>
        <w:t xml:space="preserve"> degli organi di società a partecipazione pubblica.</w:t>
      </w:r>
    </w:p>
    <w:p w14:paraId="4926F237"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In difetto di norme esplicite in tal senso (e fatta salva la specificità di singole società a partecipazione pubblica il cui statuto sia soggetto a regole legali sui generis, come nel caso della Rai), è ai principi generali ed alle linee portanti del sistema che occorre aver riguardo. </w:t>
      </w:r>
      <w:r w:rsidRPr="00517A16">
        <w:rPr>
          <w:rFonts w:ascii="Lato" w:eastAsia="Times New Roman" w:hAnsi="Lato" w:cs="Times New Roman"/>
          <w:b/>
          <w:bCs/>
          <w:color w:val="000000"/>
          <w:spacing w:val="5"/>
          <w:sz w:val="24"/>
          <w:szCs w:val="24"/>
          <w:lang w:eastAsia="it-IT"/>
        </w:rPr>
        <w:t>Ed è proprio in quest'ottica che assume rilievo decisivo la già accennata distinzione tra la responsabilità in cui gli organi sociali possono incorrere nei confronti della società (prevista e disciplinata, per le società azionarie, dagli artt. 2393 e segg. e, per le società a responsabilità limitata, dell'</w:t>
      </w:r>
      <w:hyperlink r:id="rId103" w:history="1">
        <w:r w:rsidRPr="00517A16">
          <w:rPr>
            <w:rFonts w:ascii="Lato" w:eastAsia="Times New Roman" w:hAnsi="Lato" w:cs="Times New Roman"/>
            <w:b/>
            <w:bCs/>
            <w:color w:val="FFA403"/>
            <w:spacing w:val="5"/>
            <w:sz w:val="24"/>
            <w:szCs w:val="24"/>
            <w:lang w:eastAsia="it-IT"/>
          </w:rPr>
          <w:t>art. 2476 c.c.</w:t>
        </w:r>
      </w:hyperlink>
      <w:r w:rsidRPr="00517A16">
        <w:rPr>
          <w:rFonts w:ascii="Lato" w:eastAsia="Times New Roman" w:hAnsi="Lato" w:cs="Times New Roman"/>
          <w:b/>
          <w:bCs/>
          <w:color w:val="000000"/>
          <w:spacing w:val="5"/>
          <w:sz w:val="24"/>
          <w:szCs w:val="24"/>
          <w:lang w:eastAsia="it-IT"/>
        </w:rPr>
        <w:t>, commi 1, 3, 4 e 5) e la responsabilità che essi possono assumere direttamente nei confronti di singoli soci o terzi (prevista e disciplinata, per le società azionarie, dall'</w:t>
      </w:r>
      <w:hyperlink r:id="rId104" w:history="1">
        <w:r w:rsidRPr="00517A16">
          <w:rPr>
            <w:rFonts w:ascii="Lato" w:eastAsia="Times New Roman" w:hAnsi="Lato" w:cs="Times New Roman"/>
            <w:b/>
            <w:bCs/>
            <w:color w:val="FFA403"/>
            <w:spacing w:val="5"/>
            <w:sz w:val="24"/>
            <w:szCs w:val="24"/>
            <w:lang w:eastAsia="it-IT"/>
          </w:rPr>
          <w:t>art. 2395 c.c.</w:t>
        </w:r>
      </w:hyperlink>
      <w:r w:rsidRPr="00517A16">
        <w:rPr>
          <w:rFonts w:ascii="Lato" w:eastAsia="Times New Roman" w:hAnsi="Lato" w:cs="Times New Roman"/>
          <w:b/>
          <w:bCs/>
          <w:color w:val="000000"/>
          <w:spacing w:val="5"/>
          <w:sz w:val="24"/>
          <w:szCs w:val="24"/>
          <w:lang w:eastAsia="it-IT"/>
        </w:rPr>
        <w:t>, per le società a responsabilità limitata, del cit. </w:t>
      </w:r>
      <w:hyperlink r:id="rId105" w:history="1">
        <w:r w:rsidRPr="00517A16">
          <w:rPr>
            <w:rFonts w:ascii="Lato" w:eastAsia="Times New Roman" w:hAnsi="Lato" w:cs="Times New Roman"/>
            <w:b/>
            <w:bCs/>
            <w:color w:val="FFA403"/>
            <w:spacing w:val="5"/>
            <w:sz w:val="24"/>
            <w:szCs w:val="24"/>
            <w:lang w:eastAsia="it-IT"/>
          </w:rPr>
          <w:t>art. 2476 comma 6 c.c.</w:t>
        </w:r>
      </w:hyperlink>
      <w:r w:rsidRPr="00517A16">
        <w:rPr>
          <w:rFonts w:ascii="Lato" w:eastAsia="Times New Roman" w:hAnsi="Lato" w:cs="Times New Roman"/>
          <w:color w:val="000000"/>
          <w:spacing w:val="5"/>
          <w:sz w:val="24"/>
          <w:szCs w:val="24"/>
          <w:lang w:eastAsia="it-IT"/>
        </w:rPr>
        <w:t>).</w:t>
      </w:r>
    </w:p>
    <w:p w14:paraId="762705DD"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b/>
          <w:bCs/>
          <w:color w:val="000000"/>
          <w:spacing w:val="5"/>
          <w:sz w:val="24"/>
          <w:szCs w:val="24"/>
          <w:lang w:eastAsia="it-IT"/>
        </w:rPr>
        <w:t>3.6. In tale ultimo caso la configurabilità dell'azione del procuratore contabile, tesa a far valere la responsabilità dell'amministratore o del componente di organi di controllo della società partecipata dall'ente pubblico quando questo sia stato direttamente danneggiato dall'azione illegittima, non incontra particolari ostacoli</w:t>
      </w:r>
      <w:r w:rsidRPr="00517A16">
        <w:rPr>
          <w:rFonts w:ascii="Lato" w:eastAsia="Times New Roman" w:hAnsi="Lato" w:cs="Times New Roman"/>
          <w:color w:val="000000"/>
          <w:spacing w:val="5"/>
          <w:sz w:val="24"/>
          <w:szCs w:val="24"/>
          <w:lang w:eastAsia="it-IT"/>
        </w:rPr>
        <w:t xml:space="preserve"> (</w:t>
      </w:r>
      <w:proofErr w:type="spellStart"/>
      <w:r w:rsidRPr="00517A16">
        <w:rPr>
          <w:rFonts w:ascii="Lato" w:eastAsia="Times New Roman" w:hAnsi="Lato" w:cs="Times New Roman"/>
          <w:color w:val="000000"/>
          <w:spacing w:val="5"/>
          <w:sz w:val="24"/>
          <w:szCs w:val="24"/>
          <w:lang w:eastAsia="it-IT"/>
        </w:rPr>
        <w:t>nè</w:t>
      </w:r>
      <w:proofErr w:type="spellEnd"/>
      <w:r w:rsidRPr="00517A16">
        <w:rPr>
          <w:rFonts w:ascii="Lato" w:eastAsia="Times New Roman" w:hAnsi="Lato" w:cs="Times New Roman"/>
          <w:color w:val="000000"/>
          <w:spacing w:val="5"/>
          <w:sz w:val="24"/>
          <w:szCs w:val="24"/>
          <w:lang w:eastAsia="it-IT"/>
        </w:rPr>
        <w:t xml:space="preserve"> si pongono difficoltà derivanti dalla possibile concorrenza di siffatta azione con quella ipotizzata in </w:t>
      </w:r>
      <w:r w:rsidRPr="00517A16">
        <w:rPr>
          <w:rFonts w:ascii="Lato" w:eastAsia="Times New Roman" w:hAnsi="Lato" w:cs="Times New Roman"/>
          <w:color w:val="000000"/>
          <w:spacing w:val="5"/>
          <w:sz w:val="24"/>
          <w:szCs w:val="24"/>
          <w:lang w:eastAsia="it-IT"/>
        </w:rPr>
        <w:lastRenderedPageBreak/>
        <w:t>sede civile dai citati </w:t>
      </w:r>
      <w:hyperlink r:id="rId106" w:history="1">
        <w:r w:rsidRPr="00517A16">
          <w:rPr>
            <w:rFonts w:ascii="Lato" w:eastAsia="Times New Roman" w:hAnsi="Lato" w:cs="Times New Roman"/>
            <w:b/>
            <w:bCs/>
            <w:color w:val="FFA403"/>
            <w:spacing w:val="5"/>
            <w:sz w:val="24"/>
            <w:szCs w:val="24"/>
            <w:lang w:eastAsia="it-IT"/>
          </w:rPr>
          <w:t>art. 2395 c.c.</w:t>
        </w:r>
      </w:hyperlink>
      <w:r w:rsidRPr="00517A16">
        <w:rPr>
          <w:rFonts w:ascii="Lato" w:eastAsia="Times New Roman" w:hAnsi="Lato" w:cs="Times New Roman"/>
          <w:color w:val="000000"/>
          <w:spacing w:val="5"/>
          <w:sz w:val="24"/>
          <w:szCs w:val="24"/>
          <w:lang w:eastAsia="it-IT"/>
        </w:rPr>
        <w:t> e </w:t>
      </w:r>
      <w:hyperlink r:id="rId107" w:history="1">
        <w:r w:rsidRPr="00517A16">
          <w:rPr>
            <w:rFonts w:ascii="Lato" w:eastAsia="Times New Roman" w:hAnsi="Lato" w:cs="Times New Roman"/>
            <w:b/>
            <w:bCs/>
            <w:color w:val="FFA403"/>
            <w:spacing w:val="5"/>
            <w:sz w:val="24"/>
            <w:szCs w:val="24"/>
            <w:lang w:eastAsia="it-IT"/>
          </w:rPr>
          <w:t>art. 2476 comma 6 c.c.</w:t>
        </w:r>
      </w:hyperlink>
      <w:r w:rsidRPr="00517A16">
        <w:rPr>
          <w:rFonts w:ascii="Lato" w:eastAsia="Times New Roman" w:hAnsi="Lato" w:cs="Times New Roman"/>
          <w:color w:val="000000"/>
          <w:spacing w:val="5"/>
          <w:sz w:val="24"/>
          <w:szCs w:val="24"/>
          <w:lang w:eastAsia="it-IT"/>
        </w:rPr>
        <w:t xml:space="preserve">, </w:t>
      </w:r>
      <w:proofErr w:type="spellStart"/>
      <w:r w:rsidRPr="00517A16">
        <w:rPr>
          <w:rFonts w:ascii="Lato" w:eastAsia="Times New Roman" w:hAnsi="Lato" w:cs="Times New Roman"/>
          <w:color w:val="000000"/>
          <w:spacing w:val="5"/>
          <w:sz w:val="24"/>
          <w:szCs w:val="24"/>
          <w:lang w:eastAsia="it-IT"/>
        </w:rPr>
        <w:t>poichè</w:t>
      </w:r>
      <w:proofErr w:type="spellEnd"/>
      <w:r w:rsidRPr="00517A16">
        <w:rPr>
          <w:rFonts w:ascii="Lato" w:eastAsia="Times New Roman" w:hAnsi="Lato" w:cs="Times New Roman"/>
          <w:color w:val="000000"/>
          <w:spacing w:val="5"/>
          <w:sz w:val="24"/>
          <w:szCs w:val="24"/>
          <w:lang w:eastAsia="it-IT"/>
        </w:rPr>
        <w:t xml:space="preserve"> l'una e l'altra mirerebbero in definitiva al medesimo risultato). Non importa qui indagare sulla natura dell'indicata responsabilità: se essa abbia carattere extracontrattuale (come la giurisprudenza è per lo più incline a ritenere: si vedano, tra le altre, Cass. 5 agosto 2008, n. 21130; 25 luglio 2007, n. 16416; e 3 aprile 2007, n. 8359) o se pur sempre presupponga la violazione di un preesistente obbligo di corretto comportamento dell'amministratore e del componente dell'organo di controllo anche nei diretti confronti di ciascun singolo socio (onde alcune autorevoli voci di dottrina ravvisano anche in tal caso un'ipotesi di responsabilità almeno lato </w:t>
      </w:r>
      <w:proofErr w:type="spellStart"/>
      <w:r w:rsidRPr="00517A16">
        <w:rPr>
          <w:rFonts w:ascii="Lato" w:eastAsia="Times New Roman" w:hAnsi="Lato" w:cs="Times New Roman"/>
          <w:color w:val="000000"/>
          <w:spacing w:val="5"/>
          <w:sz w:val="24"/>
          <w:szCs w:val="24"/>
          <w:lang w:eastAsia="it-IT"/>
        </w:rPr>
        <w:t>sensu</w:t>
      </w:r>
      <w:proofErr w:type="spellEnd"/>
      <w:r w:rsidRPr="00517A16">
        <w:rPr>
          <w:rFonts w:ascii="Lato" w:eastAsia="Times New Roman" w:hAnsi="Lato" w:cs="Times New Roman"/>
          <w:color w:val="000000"/>
          <w:spacing w:val="5"/>
          <w:sz w:val="24"/>
          <w:szCs w:val="24"/>
          <w:lang w:eastAsia="it-IT"/>
        </w:rPr>
        <w:t xml:space="preserve"> contrattuale).</w:t>
      </w:r>
    </w:p>
    <w:p w14:paraId="5218DFFA"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Quel che appare certo è che la presenza dell'ente pubblico all'interno della compagine sociale ed il fatto che la sua partecipazione sia strumentale al perseguimento di finalità pubbliche ed abbia implicato l'impiego di pubbliche risorse non può sfuggire agli organi della società e non può non comportare, per loro, una peculiare cura nell'evitare comportamenti tali da compromettere la ragione stessa di detta partecipazione sociale dell'ente pubblico o che possano comunque direttamente cagionare un pregiudizio al patrimonio di quest'ultimo.</w:t>
      </w:r>
    </w:p>
    <w:p w14:paraId="1F555ADB"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17A16">
        <w:rPr>
          <w:rFonts w:ascii="Lato" w:eastAsia="Times New Roman" w:hAnsi="Lato" w:cs="Times New Roman"/>
          <w:b/>
          <w:bCs/>
          <w:color w:val="000000"/>
          <w:spacing w:val="5"/>
          <w:sz w:val="24"/>
          <w:szCs w:val="24"/>
          <w:lang w:eastAsia="it-IT"/>
        </w:rPr>
        <w:t>Tipico esempio di questa situazione è il danno all'immagine dell'ente pubblico (su cui si veda Sez. un. 20 giugno 2007, n. 14297) che derivi da atti illegittimi posti in essere dagli organi della società partecipata: danno che può eventualmente prodursi immediatamente in capo a detto ente pubblico, per il fatto stesso di essere partecipe di una società in cui quei comportamenti illegittimi si siano manifestati, e che non s'identifica con il mero riflesso di un pregiudizio arrecato al patrimonio sociale (indipendentemente dall'essere o meno configurabile e risarcibile anche un autonomo e distinto danno all'immagine della medesima società).</w:t>
      </w:r>
    </w:p>
    <w:p w14:paraId="288B3FA7"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Nessun dubbio, quindi, sulla sussistenza della giurisdizione della Corte dei conti in un'ipotesi siffatta; e se ne trae conferma anche dal disposto dell'</w:t>
      </w:r>
      <w:hyperlink r:id="rId108" w:history="1">
        <w:r w:rsidRPr="00517A16">
          <w:rPr>
            <w:rFonts w:ascii="Lato" w:eastAsia="Times New Roman" w:hAnsi="Lato" w:cs="Times New Roman"/>
            <w:b/>
            <w:bCs/>
            <w:color w:val="FFA403"/>
            <w:spacing w:val="5"/>
            <w:sz w:val="24"/>
            <w:szCs w:val="24"/>
            <w:lang w:eastAsia="it-IT"/>
          </w:rPr>
          <w:t>art. 17, L. 3 agosto 2009, n. 102</w:t>
        </w:r>
      </w:hyperlink>
      <w:r w:rsidRPr="00517A16">
        <w:rPr>
          <w:rFonts w:ascii="Lato" w:eastAsia="Times New Roman" w:hAnsi="Lato" w:cs="Times New Roman"/>
          <w:color w:val="000000"/>
          <w:spacing w:val="5"/>
          <w:sz w:val="24"/>
          <w:szCs w:val="24"/>
          <w:lang w:eastAsia="it-IT"/>
        </w:rPr>
        <w:t>, comma 30 - ter, (quale risulta dopo le modifiche apportate dal D.L. in pari data, n. 103, convertito con ulteriori modificazioni nella </w:t>
      </w:r>
      <w:hyperlink r:id="rId109" w:history="1">
        <w:r w:rsidRPr="00517A16">
          <w:rPr>
            <w:rFonts w:ascii="Lato" w:eastAsia="Times New Roman" w:hAnsi="Lato" w:cs="Times New Roman"/>
            <w:b/>
            <w:bCs/>
            <w:color w:val="FFA403"/>
            <w:spacing w:val="5"/>
            <w:sz w:val="24"/>
            <w:szCs w:val="24"/>
            <w:lang w:eastAsia="it-IT"/>
          </w:rPr>
          <w:t>L. 3 ottobre 2009, n. 141</w:t>
        </w:r>
      </w:hyperlink>
      <w:r w:rsidRPr="00517A16">
        <w:rPr>
          <w:rFonts w:ascii="Lato" w:eastAsia="Times New Roman" w:hAnsi="Lato" w:cs="Times New Roman"/>
          <w:color w:val="000000"/>
          <w:spacing w:val="5"/>
          <w:sz w:val="24"/>
          <w:szCs w:val="24"/>
          <w:lang w:eastAsia="it-IT"/>
        </w:rPr>
        <w:t>), che disciplina e limita le modalità dell'azione della magistratura contabile appunto in caso di danno all'immagine, nelle ipotesi previste dall'</w:t>
      </w:r>
      <w:hyperlink r:id="rId110" w:history="1">
        <w:r w:rsidRPr="00517A16">
          <w:rPr>
            <w:rFonts w:ascii="Lato" w:eastAsia="Times New Roman" w:hAnsi="Lato" w:cs="Times New Roman"/>
            <w:b/>
            <w:bCs/>
            <w:color w:val="FFA403"/>
            <w:spacing w:val="5"/>
            <w:sz w:val="24"/>
            <w:szCs w:val="24"/>
            <w:lang w:eastAsia="it-IT"/>
          </w:rPr>
          <w:t>art. 7, L. 27 marzo 2001, n. 97</w:t>
        </w:r>
      </w:hyperlink>
      <w:r w:rsidRPr="00517A16">
        <w:rPr>
          <w:rFonts w:ascii="Lato" w:eastAsia="Times New Roman" w:hAnsi="Lato" w:cs="Times New Roman"/>
          <w:color w:val="000000"/>
          <w:spacing w:val="5"/>
          <w:sz w:val="24"/>
          <w:szCs w:val="24"/>
          <w:lang w:eastAsia="it-IT"/>
        </w:rPr>
        <w:t>, ossia in presenza di una sentenza irrevocabile di condanna pronunciata nei confronti dei dipendenti indicati nel precedente art. 3 della stessa legge, compresi quelli evidenti a prevalente partecipazione pubblica". Non si vede come la medesima regola stabilita per i dipendenti non debba valere anche per gli amministratori e gli organi di controllo della società a partecipazione pubblica.</w:t>
      </w:r>
    </w:p>
    <w:p w14:paraId="0115B713"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3.7. Ad opposta conclusione si deve invece pervenire nel caso in cui l'azione sia proposta per reagire ad un danno cagionato al patrimonio della società.</w:t>
      </w:r>
    </w:p>
    <w:p w14:paraId="391CF95E"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17A16">
        <w:rPr>
          <w:rFonts w:ascii="Lato" w:eastAsia="Times New Roman" w:hAnsi="Lato" w:cs="Times New Roman"/>
          <w:b/>
          <w:bCs/>
          <w:color w:val="000000"/>
          <w:spacing w:val="5"/>
          <w:sz w:val="24"/>
          <w:szCs w:val="24"/>
          <w:lang w:eastAsia="it-IT"/>
        </w:rPr>
        <w:t xml:space="preserve">Non solo, come detto, non è configurabile alcun rapporto di servizio tra l'ente pubblico partecipante e l'amministratore (o componente di un organo di controllo) della società partecipata, il cui patrimonio sia stato leso dall'atto di mala </w:t>
      </w:r>
      <w:proofErr w:type="spellStart"/>
      <w:r w:rsidRPr="00517A16">
        <w:rPr>
          <w:rFonts w:ascii="Lato" w:eastAsia="Times New Roman" w:hAnsi="Lato" w:cs="Times New Roman"/>
          <w:b/>
          <w:bCs/>
          <w:color w:val="000000"/>
          <w:spacing w:val="5"/>
          <w:sz w:val="24"/>
          <w:szCs w:val="24"/>
          <w:lang w:eastAsia="it-IT"/>
        </w:rPr>
        <w:t>gestio</w:t>
      </w:r>
      <w:proofErr w:type="spellEnd"/>
      <w:r w:rsidRPr="00517A16">
        <w:rPr>
          <w:rFonts w:ascii="Lato" w:eastAsia="Times New Roman" w:hAnsi="Lato" w:cs="Times New Roman"/>
          <w:b/>
          <w:bCs/>
          <w:color w:val="000000"/>
          <w:spacing w:val="5"/>
          <w:sz w:val="24"/>
          <w:szCs w:val="24"/>
          <w:lang w:eastAsia="it-IT"/>
        </w:rPr>
        <w:t>, ma neppure sussiste in tale ipotesi un danno qualificabile come danno erariale, inteso come pregiudizio direttamente arrecato al patrimonio dello Stato o di altro ente pubblico che della suindicata società sia socio</w:t>
      </w:r>
      <w:r w:rsidRPr="00517A16">
        <w:rPr>
          <w:rFonts w:ascii="Lato" w:eastAsia="Times New Roman" w:hAnsi="Lato" w:cs="Times New Roman"/>
          <w:color w:val="000000"/>
          <w:spacing w:val="5"/>
          <w:sz w:val="24"/>
          <w:szCs w:val="24"/>
          <w:lang w:eastAsia="it-IT"/>
        </w:rPr>
        <w:t xml:space="preserve">. </w:t>
      </w:r>
      <w:r w:rsidRPr="00517A16">
        <w:rPr>
          <w:rFonts w:ascii="Lato" w:eastAsia="Times New Roman" w:hAnsi="Lato" w:cs="Times New Roman"/>
          <w:b/>
          <w:bCs/>
          <w:color w:val="000000"/>
          <w:spacing w:val="5"/>
          <w:sz w:val="24"/>
          <w:szCs w:val="24"/>
          <w:lang w:eastAsia="it-IT"/>
        </w:rPr>
        <w:t>La ben nota distinzione tra la personalità giuridica della società di capitali e quella dei singoli soci e la piena autonomia patrimoniale dell'una rispetto agli altri non consentono di riferire al patrimonio del socio pubblico il danno che l'illegittimo comportamento degli organi sociali abbia eventualmente arrecato al patrimonio dell'ente:</w:t>
      </w:r>
    </w:p>
    <w:p w14:paraId="27975E19"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b/>
          <w:bCs/>
          <w:color w:val="000000"/>
          <w:spacing w:val="5"/>
          <w:sz w:val="24"/>
          <w:szCs w:val="24"/>
          <w:lang w:eastAsia="it-IT"/>
        </w:rPr>
        <w:t>patrimonio che è e resta privato</w:t>
      </w:r>
      <w:r w:rsidRPr="00517A16">
        <w:rPr>
          <w:rFonts w:ascii="Lato" w:eastAsia="Times New Roman" w:hAnsi="Lato" w:cs="Times New Roman"/>
          <w:color w:val="000000"/>
          <w:spacing w:val="5"/>
          <w:sz w:val="24"/>
          <w:szCs w:val="24"/>
          <w:lang w:eastAsia="it-IT"/>
        </w:rPr>
        <w:t>.</w:t>
      </w:r>
    </w:p>
    <w:p w14:paraId="7501A6F1"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lastRenderedPageBreak/>
        <w:t>+</w:t>
      </w:r>
      <w:r w:rsidRPr="00517A16">
        <w:rPr>
          <w:rFonts w:ascii="Lato" w:eastAsia="Times New Roman" w:hAnsi="Lato" w:cs="Times New Roman"/>
          <w:b/>
          <w:bCs/>
          <w:color w:val="000000"/>
          <w:spacing w:val="5"/>
          <w:sz w:val="24"/>
          <w:szCs w:val="24"/>
          <w:lang w:eastAsia="it-IT"/>
        </w:rPr>
        <w:t>ê certo vero che il danno sofferto dal patrimonio della società è per lo più destinato a ripercuotersi anche sui soci, incidendo negativamente sul valore o sulla redditività della loro quota di partecipazione; ma - fatte salve le limitate eccezioni oggi introdotte dall'</w:t>
      </w:r>
      <w:hyperlink r:id="rId111" w:history="1">
        <w:r w:rsidRPr="00517A16">
          <w:rPr>
            <w:rFonts w:ascii="Lato" w:eastAsia="Times New Roman" w:hAnsi="Lato" w:cs="Times New Roman"/>
            <w:b/>
            <w:bCs/>
            <w:color w:val="FFA403"/>
            <w:spacing w:val="5"/>
            <w:sz w:val="24"/>
            <w:szCs w:val="24"/>
            <w:lang w:eastAsia="it-IT"/>
          </w:rPr>
          <w:t>art. 2497 c.c.</w:t>
        </w:r>
      </w:hyperlink>
      <w:r w:rsidRPr="00517A16">
        <w:rPr>
          <w:rFonts w:ascii="Lato" w:eastAsia="Times New Roman" w:hAnsi="Lato" w:cs="Times New Roman"/>
          <w:b/>
          <w:bCs/>
          <w:color w:val="000000"/>
          <w:spacing w:val="5"/>
          <w:sz w:val="24"/>
          <w:szCs w:val="24"/>
          <w:lang w:eastAsia="it-IT"/>
        </w:rPr>
        <w:t> (come modificato dal </w:t>
      </w:r>
      <w:hyperlink r:id="rId112" w:history="1">
        <w:r w:rsidRPr="00517A16">
          <w:rPr>
            <w:rFonts w:ascii="Lato" w:eastAsia="Times New Roman" w:hAnsi="Lato" w:cs="Times New Roman"/>
            <w:b/>
            <w:bCs/>
            <w:color w:val="FFA403"/>
            <w:spacing w:val="5"/>
            <w:sz w:val="24"/>
            <w:szCs w:val="24"/>
            <w:lang w:eastAsia="it-IT"/>
          </w:rPr>
          <w:t>D.L.vo n. 6 del 2003</w:t>
        </w:r>
      </w:hyperlink>
      <w:r w:rsidRPr="00517A16">
        <w:rPr>
          <w:rFonts w:ascii="Lato" w:eastAsia="Times New Roman" w:hAnsi="Lato" w:cs="Times New Roman"/>
          <w:b/>
          <w:bCs/>
          <w:color w:val="000000"/>
          <w:spacing w:val="5"/>
          <w:sz w:val="24"/>
          <w:szCs w:val="24"/>
          <w:lang w:eastAsia="it-IT"/>
        </w:rPr>
        <w:t>), in tema di responsabilità dell'ente posto a capo di un gruppo di imprese societarie, che qui non rilevano - il sistema del diritto societario impone di tener ben distinti i danni direttamente inferti al patrimonio del socio (o del terzo) da quelli che siano il mero riflesso di danni sofferti dalla società</w:t>
      </w:r>
      <w:r w:rsidRPr="00517A16">
        <w:rPr>
          <w:rFonts w:ascii="Lato" w:eastAsia="Times New Roman" w:hAnsi="Lato" w:cs="Times New Roman"/>
          <w:color w:val="000000"/>
          <w:spacing w:val="5"/>
          <w:sz w:val="24"/>
          <w:szCs w:val="24"/>
          <w:lang w:eastAsia="it-IT"/>
        </w:rPr>
        <w:t>.</w:t>
      </w:r>
    </w:p>
    <w:p w14:paraId="5B6E5ECA"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Dei danni diretti, cioè di quelli prodotti </w:t>
      </w:r>
      <w:r w:rsidRPr="00517A16">
        <w:rPr>
          <w:rFonts w:ascii="Lato" w:eastAsia="Times New Roman" w:hAnsi="Lato" w:cs="Times New Roman"/>
          <w:b/>
          <w:bCs/>
          <w:color w:val="000000"/>
          <w:spacing w:val="5"/>
          <w:sz w:val="24"/>
          <w:szCs w:val="24"/>
          <w:u w:val="single"/>
          <w:lang w:eastAsia="it-IT"/>
        </w:rPr>
        <w:t>immediatamente</w:t>
      </w:r>
      <w:r w:rsidRPr="00517A16">
        <w:rPr>
          <w:rFonts w:ascii="Lato" w:eastAsia="Times New Roman" w:hAnsi="Lato" w:cs="Times New Roman"/>
          <w:color w:val="000000"/>
          <w:spacing w:val="5"/>
          <w:sz w:val="24"/>
          <w:szCs w:val="24"/>
          <w:lang w:eastAsia="it-IT"/>
        </w:rPr>
        <w:t xml:space="preserve"> nella sfera giuridico - patrimoniale del socio e che non consistano nella semplice ripercussione di un danno inferto alla società, solo il socio stesso è legittimato a dolersi; </w:t>
      </w:r>
      <w:r w:rsidRPr="00517A16">
        <w:rPr>
          <w:rFonts w:ascii="Lato" w:eastAsia="Times New Roman" w:hAnsi="Lato" w:cs="Times New Roman"/>
          <w:b/>
          <w:bCs/>
          <w:color w:val="000000"/>
          <w:spacing w:val="5"/>
          <w:sz w:val="24"/>
          <w:szCs w:val="24"/>
          <w:lang w:eastAsia="it-IT"/>
        </w:rPr>
        <w:t xml:space="preserve">di quelli sociali, invece, solo alla società compete il risarcimento, di modo che per il socio anche il ristoro è destinato a realizzarsi unicamente nella medesima maniera indiretta in cui si è prodotto il suo pregiudizio (principio pacifico: si vedano, ex </w:t>
      </w:r>
      <w:proofErr w:type="spellStart"/>
      <w:r w:rsidRPr="00517A16">
        <w:rPr>
          <w:rFonts w:ascii="Lato" w:eastAsia="Times New Roman" w:hAnsi="Lato" w:cs="Times New Roman"/>
          <w:b/>
          <w:bCs/>
          <w:color w:val="000000"/>
          <w:spacing w:val="5"/>
          <w:sz w:val="24"/>
          <w:szCs w:val="24"/>
          <w:lang w:eastAsia="it-IT"/>
        </w:rPr>
        <w:t>multis</w:t>
      </w:r>
      <w:proofErr w:type="spellEnd"/>
      <w:r w:rsidRPr="00517A16">
        <w:rPr>
          <w:rFonts w:ascii="Lato" w:eastAsia="Times New Roman" w:hAnsi="Lato" w:cs="Times New Roman"/>
          <w:b/>
          <w:bCs/>
          <w:color w:val="000000"/>
          <w:spacing w:val="5"/>
          <w:sz w:val="24"/>
          <w:szCs w:val="24"/>
          <w:lang w:eastAsia="it-IT"/>
        </w:rPr>
        <w:t>, Cass. 5 agosto 2008, n. 21130; 3 aprile 2007, n. 8359; 27 giugno 1998, n. 6364; e 28 febbraio 1998, n. 2251).</w:t>
      </w:r>
    </w:p>
    <w:p w14:paraId="3437534F"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17A16">
        <w:rPr>
          <w:rFonts w:ascii="Lato" w:eastAsia="Times New Roman" w:hAnsi="Lato" w:cs="Times New Roman"/>
          <w:b/>
          <w:bCs/>
          <w:color w:val="000000"/>
          <w:spacing w:val="5"/>
          <w:sz w:val="24"/>
          <w:szCs w:val="24"/>
          <w:lang w:eastAsia="it-IT"/>
        </w:rPr>
        <w:t>Si capisce, allora, come il danno inferto dagli organi della società al patrimonio sociale, che nel sistema del c.c. può dar vita all'azione sociale di responsabilità ed eventualmente a quella dei creditori sociali, non è idoneo a configurare anche un'ipotesi di azione ricadente nella giurisdizione della Corte dei conti:</w:t>
      </w:r>
    </w:p>
    <w:p w14:paraId="4983D511"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4"/>
          <w:szCs w:val="24"/>
          <w:lang w:eastAsia="it-IT"/>
        </w:rPr>
      </w:pPr>
      <w:proofErr w:type="spellStart"/>
      <w:r w:rsidRPr="00517A16">
        <w:rPr>
          <w:rFonts w:ascii="Lato" w:eastAsia="Times New Roman" w:hAnsi="Lato" w:cs="Times New Roman"/>
          <w:b/>
          <w:bCs/>
          <w:color w:val="000000"/>
          <w:spacing w:val="5"/>
          <w:sz w:val="24"/>
          <w:szCs w:val="24"/>
          <w:lang w:eastAsia="it-IT"/>
        </w:rPr>
        <w:t>perchè</w:t>
      </w:r>
      <w:proofErr w:type="spellEnd"/>
      <w:r w:rsidRPr="00517A16">
        <w:rPr>
          <w:rFonts w:ascii="Lato" w:eastAsia="Times New Roman" w:hAnsi="Lato" w:cs="Times New Roman"/>
          <w:b/>
          <w:bCs/>
          <w:color w:val="000000"/>
          <w:spacing w:val="5"/>
          <w:sz w:val="24"/>
          <w:szCs w:val="24"/>
          <w:lang w:eastAsia="it-IT"/>
        </w:rPr>
        <w:t xml:space="preserve"> non implica alcun danno erariale, bensì unicamente un danno sofferto da un soggetto privato (appunto la società), riferibile al patrimonio appartenente soltanto a quel soggetto e non certo ai singoli soci - pubblici o privati - i quali sono unicamente titolari delle rispettive quote di partecipazione ed i cui originar conferimenti restano confusi ed assorbiti nell'unico patrimonio sociale.</w:t>
      </w:r>
    </w:p>
    <w:p w14:paraId="6191BF12"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L'esattezza di tale conclusione trova conferma anche nell'impossibilità di realizzare, altrimenti, un soddisfacente coordinamento sistematico tra l'ipotizzata azione di responsabilità dinanzi giudice contabile e l'esercizio delle surriferite azioni di responsabilità (sociale e dei creditori sociali) contemplate dal </w:t>
      </w:r>
      <w:proofErr w:type="gramStart"/>
      <w:r w:rsidRPr="00517A16">
        <w:rPr>
          <w:rFonts w:ascii="Lato" w:eastAsia="Times New Roman" w:hAnsi="Lato" w:cs="Times New Roman"/>
          <w:color w:val="000000"/>
          <w:spacing w:val="5"/>
          <w:sz w:val="24"/>
          <w:szCs w:val="24"/>
          <w:lang w:eastAsia="it-IT"/>
        </w:rPr>
        <w:t>c.c..</w:t>
      </w:r>
      <w:proofErr w:type="gramEnd"/>
      <w:r w:rsidRPr="00517A16">
        <w:rPr>
          <w:rFonts w:ascii="Lato" w:eastAsia="Times New Roman" w:hAnsi="Lato" w:cs="Times New Roman"/>
          <w:color w:val="000000"/>
          <w:spacing w:val="5"/>
          <w:sz w:val="24"/>
          <w:szCs w:val="24"/>
          <w:lang w:eastAsia="it-IT"/>
        </w:rPr>
        <w:t xml:space="preserve"> L'azione del procuratore contabile ha presupposti e caratteristiche completamente diverse dalle azioni di responsabilità sociale e dei creditori sociali contemplate dal c.c.: basta dire che l'una è obbligatoria, le altre discrezionali; l'una ha finalità essenzialmente sanzionatoria (onde non implica necessariamente il ristoro completo del pregiudizio subito dal patrimonio danneggiato dalla mala </w:t>
      </w:r>
      <w:proofErr w:type="spellStart"/>
      <w:r w:rsidRPr="00517A16">
        <w:rPr>
          <w:rFonts w:ascii="Lato" w:eastAsia="Times New Roman" w:hAnsi="Lato" w:cs="Times New Roman"/>
          <w:color w:val="000000"/>
          <w:spacing w:val="5"/>
          <w:sz w:val="24"/>
          <w:szCs w:val="24"/>
          <w:lang w:eastAsia="it-IT"/>
        </w:rPr>
        <w:t>gestio</w:t>
      </w:r>
      <w:proofErr w:type="spellEnd"/>
      <w:r w:rsidRPr="00517A16">
        <w:rPr>
          <w:rFonts w:ascii="Lato" w:eastAsia="Times New Roman" w:hAnsi="Lato" w:cs="Times New Roman"/>
          <w:color w:val="000000"/>
          <w:spacing w:val="5"/>
          <w:sz w:val="24"/>
          <w:szCs w:val="24"/>
          <w:lang w:eastAsia="it-IT"/>
        </w:rPr>
        <w:t xml:space="preserve"> dell'amministratore o dall'omesso controllo del vigilante), le altre hanno scopo ripristinatorio; l'una richiede il dolo o la colpa grave, e solo in determinati casi è esercitabile anche contro gli eredi del soggetto responsabile del danno; per le altre è sufficiente anche la colpa lieve ed il debito risarcitorio è pienamente trasmissibile agli eredi.</w:t>
      </w:r>
    </w:p>
    <w:p w14:paraId="2F5C03D6"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D'altronde, almeno in tutti i casi nei quali vi siano anche soci privati la cui partecipazione è suscettibile di subire danno per effetto del comportamento illegittimo degli organi sociali, sarebbe impossibile escludere l'esperibilità degli ordinari strumenti di tutela approntati dal c.c. a beneficio della società (e dei soci privati, </w:t>
      </w:r>
      <w:proofErr w:type="spellStart"/>
      <w:r w:rsidRPr="00517A16">
        <w:rPr>
          <w:rFonts w:ascii="Lato" w:eastAsia="Times New Roman" w:hAnsi="Lato" w:cs="Times New Roman"/>
          <w:color w:val="000000"/>
          <w:spacing w:val="5"/>
          <w:sz w:val="24"/>
          <w:szCs w:val="24"/>
          <w:lang w:eastAsia="it-IT"/>
        </w:rPr>
        <w:t>nonchè</w:t>
      </w:r>
      <w:proofErr w:type="spellEnd"/>
      <w:r w:rsidRPr="00517A16">
        <w:rPr>
          <w:rFonts w:ascii="Lato" w:eastAsia="Times New Roman" w:hAnsi="Lato" w:cs="Times New Roman"/>
          <w:color w:val="000000"/>
          <w:spacing w:val="5"/>
          <w:sz w:val="24"/>
          <w:szCs w:val="24"/>
          <w:lang w:eastAsia="it-IT"/>
        </w:rPr>
        <w:t xml:space="preserve"> eventualmente dei creditori).</w:t>
      </w:r>
    </w:p>
    <w:p w14:paraId="780BEA9A"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E però, se si ipotizzasse il possibile concorso tra l'azione del procuratore contabile e l'azione sociale di responsabilità contemplata dal c.c., occorrerebbe poter individuare il modo di disciplinare tale concorso, stante la descritta diversità delle rispettive caratteristiche delle differenti azioni. L'assenza del </w:t>
      </w:r>
      <w:proofErr w:type="spellStart"/>
      <w:r w:rsidRPr="00517A16">
        <w:rPr>
          <w:rFonts w:ascii="Lato" w:eastAsia="Times New Roman" w:hAnsi="Lato" w:cs="Times New Roman"/>
          <w:color w:val="000000"/>
          <w:spacing w:val="5"/>
          <w:sz w:val="24"/>
          <w:szCs w:val="24"/>
          <w:lang w:eastAsia="it-IT"/>
        </w:rPr>
        <w:t>benchè</w:t>
      </w:r>
      <w:proofErr w:type="spellEnd"/>
      <w:r w:rsidRPr="00517A16">
        <w:rPr>
          <w:rFonts w:ascii="Lato" w:eastAsia="Times New Roman" w:hAnsi="Lato" w:cs="Times New Roman"/>
          <w:color w:val="000000"/>
          <w:spacing w:val="5"/>
          <w:sz w:val="24"/>
          <w:szCs w:val="24"/>
          <w:lang w:eastAsia="it-IT"/>
        </w:rPr>
        <w:t xml:space="preserve"> </w:t>
      </w:r>
      <w:proofErr w:type="gramStart"/>
      <w:r w:rsidRPr="00517A16">
        <w:rPr>
          <w:rFonts w:ascii="Lato" w:eastAsia="Times New Roman" w:hAnsi="Lato" w:cs="Times New Roman"/>
          <w:color w:val="000000"/>
          <w:spacing w:val="5"/>
          <w:sz w:val="24"/>
          <w:szCs w:val="24"/>
          <w:lang w:eastAsia="it-IT"/>
        </w:rPr>
        <w:t>minino</w:t>
      </w:r>
      <w:proofErr w:type="gramEnd"/>
      <w:r w:rsidRPr="00517A16">
        <w:rPr>
          <w:rFonts w:ascii="Lato" w:eastAsia="Times New Roman" w:hAnsi="Lato" w:cs="Times New Roman"/>
          <w:color w:val="000000"/>
          <w:spacing w:val="5"/>
          <w:sz w:val="24"/>
          <w:szCs w:val="24"/>
          <w:lang w:eastAsia="it-IT"/>
        </w:rPr>
        <w:t xml:space="preserve"> abbozzo di coordinamento normativo in proposito suona palese conferma della non configurabilità, in simili situazioni, di un'azione diversa da quelle previste dal c.c., che sia destinata a ricadere nella giurisdizione del giudice contabile.</w:t>
      </w:r>
    </w:p>
    <w:p w14:paraId="7C34092F"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lastRenderedPageBreak/>
        <w:t>3.7. Giova ancora aggiungere che l'esclusione dell'ipotizzata giurisdizione del giudice contabile per l'azione di risarcimento di danni cagionati al patrimonio della società partecipata da un ente pubblico neppure provoca, a ben vedere, il rischio di una lacuna nella tutela dell'</w:t>
      </w:r>
      <w:proofErr w:type="spellStart"/>
      <w:r w:rsidRPr="00517A16">
        <w:rPr>
          <w:rFonts w:ascii="Lato" w:eastAsia="Times New Roman" w:hAnsi="Lato" w:cs="Times New Roman"/>
          <w:color w:val="000000"/>
          <w:spacing w:val="5"/>
          <w:sz w:val="24"/>
          <w:szCs w:val="24"/>
          <w:lang w:eastAsia="it-IT"/>
        </w:rPr>
        <w:t>interresse</w:t>
      </w:r>
      <w:proofErr w:type="spellEnd"/>
      <w:r w:rsidRPr="00517A16">
        <w:rPr>
          <w:rFonts w:ascii="Lato" w:eastAsia="Times New Roman" w:hAnsi="Lato" w:cs="Times New Roman"/>
          <w:color w:val="000000"/>
          <w:spacing w:val="5"/>
          <w:sz w:val="24"/>
          <w:szCs w:val="24"/>
          <w:lang w:eastAsia="it-IT"/>
        </w:rPr>
        <w:t xml:space="preserve"> pubblico coinvolto nella descritta situazione.</w:t>
      </w:r>
    </w:p>
    <w:p w14:paraId="735137FF"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Nell'attuale disciplina della società azionaria - ed in misura ancor maggiore in quella della società a responsabilità limitata - l'esercizio dell'azione sociale di responsabilità, in caso di mala </w:t>
      </w:r>
      <w:proofErr w:type="spellStart"/>
      <w:r w:rsidRPr="00517A16">
        <w:rPr>
          <w:rFonts w:ascii="Lato" w:eastAsia="Times New Roman" w:hAnsi="Lato" w:cs="Times New Roman"/>
          <w:color w:val="000000"/>
          <w:spacing w:val="5"/>
          <w:sz w:val="24"/>
          <w:szCs w:val="24"/>
          <w:lang w:eastAsia="it-IT"/>
        </w:rPr>
        <w:t>gestio</w:t>
      </w:r>
      <w:proofErr w:type="spellEnd"/>
      <w:r w:rsidRPr="00517A16">
        <w:rPr>
          <w:rFonts w:ascii="Lato" w:eastAsia="Times New Roman" w:hAnsi="Lato" w:cs="Times New Roman"/>
          <w:color w:val="000000"/>
          <w:spacing w:val="5"/>
          <w:sz w:val="24"/>
          <w:szCs w:val="24"/>
          <w:lang w:eastAsia="it-IT"/>
        </w:rPr>
        <w:t xml:space="preserve"> imputabile agli organi della società, non è più monopolio dell'assemblea e non è più, quindi, unicamente rimessa alla discrezionalità della maggioranza dei soci. Una minoranza qualificata dei partecipanti alla società azionaria (</w:t>
      </w:r>
      <w:hyperlink r:id="rId113" w:history="1">
        <w:r w:rsidRPr="00517A16">
          <w:rPr>
            <w:rFonts w:ascii="Lato" w:eastAsia="Times New Roman" w:hAnsi="Lato" w:cs="Times New Roman"/>
            <w:b/>
            <w:bCs/>
            <w:color w:val="FFA403"/>
            <w:spacing w:val="5"/>
            <w:sz w:val="24"/>
            <w:szCs w:val="24"/>
            <w:lang w:eastAsia="it-IT"/>
          </w:rPr>
          <w:t>art. 2393 - bis c.c.</w:t>
        </w:r>
      </w:hyperlink>
      <w:r w:rsidRPr="00517A16">
        <w:rPr>
          <w:rFonts w:ascii="Lato" w:eastAsia="Times New Roman" w:hAnsi="Lato" w:cs="Times New Roman"/>
          <w:color w:val="000000"/>
          <w:spacing w:val="5"/>
          <w:sz w:val="24"/>
          <w:szCs w:val="24"/>
          <w:lang w:eastAsia="it-IT"/>
        </w:rPr>
        <w:t>) ed addirittura ciascun singolo socio della società a responsabilità limitata (</w:t>
      </w:r>
      <w:hyperlink r:id="rId114" w:history="1">
        <w:r w:rsidRPr="00517A16">
          <w:rPr>
            <w:rFonts w:ascii="Lato" w:eastAsia="Times New Roman" w:hAnsi="Lato" w:cs="Times New Roman"/>
            <w:b/>
            <w:bCs/>
            <w:color w:val="FFA403"/>
            <w:spacing w:val="5"/>
            <w:sz w:val="24"/>
            <w:szCs w:val="24"/>
            <w:lang w:eastAsia="it-IT"/>
          </w:rPr>
          <w:t>art. 2476 comma 3 c.c.</w:t>
        </w:r>
      </w:hyperlink>
      <w:r w:rsidRPr="00517A16">
        <w:rPr>
          <w:rFonts w:ascii="Lato" w:eastAsia="Times New Roman" w:hAnsi="Lato" w:cs="Times New Roman"/>
          <w:color w:val="000000"/>
          <w:spacing w:val="5"/>
          <w:sz w:val="24"/>
          <w:szCs w:val="24"/>
          <w:lang w:eastAsia="it-IT"/>
        </w:rPr>
        <w:t>) sono infatti legittimati ad esercitare tale azione (anche nel proprio interesse, ma a beneficio della società) eventualmente sopperendo all'inerzia della maggioranza.</w:t>
      </w:r>
    </w:p>
    <w:p w14:paraId="0DDE2F72"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Ne consegue che, trattandosi di società a partecipazione pubblica, il socio pubblico è di regola in grado di tutelare egli stesso i propri interessi sociali mediante l'esercizio delle suindicate azioni civili. Se ciò non faccia e se, in conseguenza di tale omissione, l'ente pubblico abbia a subire un pregiudizio derivante dalla perdita di valore della partecipazione, è sicuramente prospettabile l'azione del procuratore contabile nei confronti (non già dell'amministratore della società partecipata, per il danno arrecato al patrimonio sociale, bensì nei confronti) di chi, quale rappresentante dell'ente partecipante o comunque titolare del potere di decidere per esso, abbia colpevolmente trascurato di esercitare i propri diritti di socio ed abbia perciò pregiudicato il valore della partecipazione.</w:t>
      </w:r>
    </w:p>
    <w:p w14:paraId="1FCEDAF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Ed è ovvio che, con riguardo ad un'azione siffatta, vi sia piena competenza giurisdizionale della Corte dei conti.</w:t>
      </w:r>
    </w:p>
    <w:p w14:paraId="5DB40D0D"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4.1. Sulla base dei suddetti principi la questione della giurisdizione ha semplice soluzione.</w:t>
      </w:r>
    </w:p>
    <w:p w14:paraId="5F659033" w14:textId="77777777" w:rsidR="00517A16" w:rsidRPr="00517A16" w:rsidRDefault="00517A16" w:rsidP="00517A16">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17A16">
        <w:rPr>
          <w:rFonts w:ascii="Lato" w:eastAsia="Times New Roman" w:hAnsi="Lato" w:cs="Times New Roman"/>
          <w:b/>
          <w:bCs/>
          <w:color w:val="000000"/>
          <w:spacing w:val="5"/>
          <w:sz w:val="24"/>
          <w:szCs w:val="24"/>
          <w:lang w:eastAsia="it-IT"/>
        </w:rPr>
        <w:t xml:space="preserve">La Corte dei conti ha pronunziato sentenza nei confronti degli attuali ricorrenti C., G., e C.G. per danni diretti al patrimonio delle Società, conseguenti all'aggiudicazione delle gare d'appalto, a condizioni meno vantaggiose per l'impresa appaltante ovvero al recupero da parte dell'impresa aggiudicataria della dazione illecita nel corso dell'esecuzione del contratto ovvero mediante la c.d. retrocessione dei corrispettivi contrattuali convenuti, </w:t>
      </w:r>
      <w:proofErr w:type="spellStart"/>
      <w:r w:rsidRPr="00517A16">
        <w:rPr>
          <w:rFonts w:ascii="Lato" w:eastAsia="Times New Roman" w:hAnsi="Lato" w:cs="Times New Roman"/>
          <w:b/>
          <w:bCs/>
          <w:color w:val="000000"/>
          <w:spacing w:val="5"/>
          <w:sz w:val="24"/>
          <w:szCs w:val="24"/>
          <w:lang w:eastAsia="it-IT"/>
        </w:rPr>
        <w:t>nonchè</w:t>
      </w:r>
      <w:proofErr w:type="spellEnd"/>
      <w:r w:rsidRPr="00517A16">
        <w:rPr>
          <w:rFonts w:ascii="Lato" w:eastAsia="Times New Roman" w:hAnsi="Lato" w:cs="Times New Roman"/>
          <w:b/>
          <w:bCs/>
          <w:color w:val="000000"/>
          <w:spacing w:val="5"/>
          <w:sz w:val="24"/>
          <w:szCs w:val="24"/>
          <w:lang w:eastAsia="it-IT"/>
        </w:rPr>
        <w:t xml:space="preserve"> per il danno patrimoniale da disservizio costituito dalle spese sostenute dalle società (</w:t>
      </w:r>
      <w:proofErr w:type="spellStart"/>
      <w:r w:rsidRPr="00517A16">
        <w:rPr>
          <w:rFonts w:ascii="Lato" w:eastAsia="Times New Roman" w:hAnsi="Lato" w:cs="Times New Roman"/>
          <w:b/>
          <w:bCs/>
          <w:color w:val="000000"/>
          <w:spacing w:val="5"/>
          <w:sz w:val="24"/>
          <w:szCs w:val="24"/>
          <w:lang w:eastAsia="it-IT"/>
        </w:rPr>
        <w:t>Enelpower</w:t>
      </w:r>
      <w:proofErr w:type="spellEnd"/>
      <w:r w:rsidRPr="00517A16">
        <w:rPr>
          <w:rFonts w:ascii="Lato" w:eastAsia="Times New Roman" w:hAnsi="Lato" w:cs="Times New Roman"/>
          <w:b/>
          <w:bCs/>
          <w:color w:val="000000"/>
          <w:spacing w:val="5"/>
          <w:sz w:val="24"/>
          <w:szCs w:val="24"/>
          <w:lang w:eastAsia="it-IT"/>
        </w:rPr>
        <w:t xml:space="preserve"> o Enel produzione) per ripristinare l'efficienza lesa.</w:t>
      </w:r>
    </w:p>
    <w:p w14:paraId="5659E49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Quanto all' A., questi egualmente è stato condannato al risarcimento di danni subiti direttamente dal patrimonio della società </w:t>
      </w:r>
      <w:proofErr w:type="spellStart"/>
      <w:r w:rsidRPr="00517A16">
        <w:rPr>
          <w:rFonts w:ascii="Lato" w:eastAsia="Times New Roman" w:hAnsi="Lato" w:cs="Times New Roman"/>
          <w:color w:val="000000"/>
          <w:spacing w:val="5"/>
          <w:sz w:val="24"/>
          <w:szCs w:val="24"/>
          <w:lang w:eastAsia="it-IT"/>
        </w:rPr>
        <w:t>Enelpower</w:t>
      </w:r>
      <w:proofErr w:type="spellEnd"/>
      <w:r w:rsidRPr="00517A16">
        <w:rPr>
          <w:rFonts w:ascii="Lato" w:eastAsia="Times New Roman" w:hAnsi="Lato" w:cs="Times New Roman"/>
          <w:color w:val="000000"/>
          <w:spacing w:val="5"/>
          <w:sz w:val="24"/>
          <w:szCs w:val="24"/>
          <w:lang w:eastAsia="it-IT"/>
        </w:rPr>
        <w:t xml:space="preserve"> in relazione a consulenze, ad </w:t>
      </w:r>
      <w:proofErr w:type="spellStart"/>
      <w:r w:rsidRPr="00517A16">
        <w:rPr>
          <w:rFonts w:ascii="Lato" w:eastAsia="Times New Roman" w:hAnsi="Lato" w:cs="Times New Roman"/>
          <w:color w:val="000000"/>
          <w:spacing w:val="5"/>
          <w:sz w:val="24"/>
          <w:szCs w:val="24"/>
          <w:lang w:eastAsia="it-IT"/>
        </w:rPr>
        <w:t>aoutsorcing</w:t>
      </w:r>
      <w:proofErr w:type="spellEnd"/>
      <w:r w:rsidRPr="00517A16">
        <w:rPr>
          <w:rFonts w:ascii="Lato" w:eastAsia="Times New Roman" w:hAnsi="Lato" w:cs="Times New Roman"/>
          <w:color w:val="000000"/>
          <w:spacing w:val="5"/>
          <w:sz w:val="24"/>
          <w:szCs w:val="24"/>
          <w:lang w:eastAsia="it-IT"/>
        </w:rPr>
        <w:t xml:space="preserve"> e ad un contratto dell'</w:t>
      </w:r>
      <w:proofErr w:type="spellStart"/>
      <w:r w:rsidRPr="00517A16">
        <w:rPr>
          <w:rFonts w:ascii="Lato" w:eastAsia="Times New Roman" w:hAnsi="Lato" w:cs="Times New Roman"/>
          <w:color w:val="000000"/>
          <w:spacing w:val="5"/>
          <w:sz w:val="24"/>
          <w:szCs w:val="24"/>
          <w:lang w:eastAsia="it-IT"/>
        </w:rPr>
        <w:t>Enelpower</w:t>
      </w:r>
      <w:proofErr w:type="spellEnd"/>
      <w:r w:rsidRPr="00517A16">
        <w:rPr>
          <w:rFonts w:ascii="Lato" w:eastAsia="Times New Roman" w:hAnsi="Lato" w:cs="Times New Roman"/>
          <w:color w:val="000000"/>
          <w:spacing w:val="5"/>
          <w:sz w:val="24"/>
          <w:szCs w:val="24"/>
          <w:lang w:eastAsia="it-IT"/>
        </w:rPr>
        <w:t xml:space="preserve"> con la società croata Centro </w:t>
      </w:r>
      <w:proofErr w:type="spellStart"/>
      <w:r w:rsidRPr="00517A16">
        <w:rPr>
          <w:rFonts w:ascii="Lato" w:eastAsia="Times New Roman" w:hAnsi="Lato" w:cs="Times New Roman"/>
          <w:color w:val="000000"/>
          <w:spacing w:val="5"/>
          <w:sz w:val="24"/>
          <w:szCs w:val="24"/>
          <w:lang w:eastAsia="it-IT"/>
        </w:rPr>
        <w:t>Promed</w:t>
      </w:r>
      <w:proofErr w:type="spellEnd"/>
      <w:r w:rsidRPr="00517A16">
        <w:rPr>
          <w:rFonts w:ascii="Lato" w:eastAsia="Times New Roman" w:hAnsi="Lato" w:cs="Times New Roman"/>
          <w:color w:val="000000"/>
          <w:spacing w:val="5"/>
          <w:sz w:val="24"/>
          <w:szCs w:val="24"/>
          <w:lang w:eastAsia="it-IT"/>
        </w:rPr>
        <w:t xml:space="preserve"> </w:t>
      </w:r>
      <w:proofErr w:type="spellStart"/>
      <w:r w:rsidRPr="00517A16">
        <w:rPr>
          <w:rFonts w:ascii="Lato" w:eastAsia="Times New Roman" w:hAnsi="Lato" w:cs="Times New Roman"/>
          <w:color w:val="000000"/>
          <w:spacing w:val="5"/>
          <w:sz w:val="24"/>
          <w:szCs w:val="24"/>
          <w:lang w:eastAsia="it-IT"/>
        </w:rPr>
        <w:t>Doo</w:t>
      </w:r>
      <w:proofErr w:type="spellEnd"/>
      <w:r w:rsidRPr="00517A16">
        <w:rPr>
          <w:rFonts w:ascii="Lato" w:eastAsia="Times New Roman" w:hAnsi="Lato" w:cs="Times New Roman"/>
          <w:color w:val="000000"/>
          <w:spacing w:val="5"/>
          <w:sz w:val="24"/>
          <w:szCs w:val="24"/>
          <w:lang w:eastAsia="it-IT"/>
        </w:rPr>
        <w:t>.</w:t>
      </w:r>
    </w:p>
    <w:p w14:paraId="51A47769"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Tutti e quattro i ricorrenti sono stati poi condannati al pagamento del danno all'immagine subito Enel s.p.a., Enel Produzione S.p.a. ed </w:t>
      </w:r>
      <w:proofErr w:type="spellStart"/>
      <w:r w:rsidRPr="00517A16">
        <w:rPr>
          <w:rFonts w:ascii="Lato" w:eastAsia="Times New Roman" w:hAnsi="Lato" w:cs="Times New Roman"/>
          <w:color w:val="000000"/>
          <w:spacing w:val="5"/>
          <w:sz w:val="24"/>
          <w:szCs w:val="24"/>
          <w:lang w:eastAsia="it-IT"/>
        </w:rPr>
        <w:t>Enelpower</w:t>
      </w:r>
      <w:proofErr w:type="spellEnd"/>
      <w:r w:rsidRPr="00517A16">
        <w:rPr>
          <w:rFonts w:ascii="Lato" w:eastAsia="Times New Roman" w:hAnsi="Lato" w:cs="Times New Roman"/>
          <w:color w:val="000000"/>
          <w:spacing w:val="5"/>
          <w:sz w:val="24"/>
          <w:szCs w:val="24"/>
          <w:lang w:eastAsia="it-IT"/>
        </w:rPr>
        <w:t xml:space="preserve"> </w:t>
      </w:r>
      <w:proofErr w:type="gramStart"/>
      <w:r w:rsidRPr="00517A16">
        <w:rPr>
          <w:rFonts w:ascii="Lato" w:eastAsia="Times New Roman" w:hAnsi="Lato" w:cs="Times New Roman"/>
          <w:color w:val="000000"/>
          <w:spacing w:val="5"/>
          <w:sz w:val="24"/>
          <w:szCs w:val="24"/>
          <w:lang w:eastAsia="it-IT"/>
        </w:rPr>
        <w:t>s.p.a..</w:t>
      </w:r>
      <w:proofErr w:type="gramEnd"/>
    </w:p>
    <w:p w14:paraId="2D85D435"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b/>
          <w:bCs/>
          <w:color w:val="000000"/>
          <w:spacing w:val="5"/>
          <w:sz w:val="24"/>
          <w:szCs w:val="24"/>
          <w:lang w:eastAsia="it-IT"/>
        </w:rPr>
        <w:t>Si tratta, all'evidenza, di tutti danni direttamente subiti dalla società. 4.2. Ne consegue che per le domande relative a tali danni va esclusa la giurisdizione della corte dei conti, dovendosi affermare la giurisdizione del giudice ordinario</w:t>
      </w:r>
      <w:r w:rsidRPr="00517A16">
        <w:rPr>
          <w:rFonts w:ascii="Lato" w:eastAsia="Times New Roman" w:hAnsi="Lato" w:cs="Times New Roman"/>
          <w:color w:val="000000"/>
          <w:spacing w:val="5"/>
          <w:sz w:val="24"/>
          <w:szCs w:val="24"/>
          <w:lang w:eastAsia="it-IT"/>
        </w:rPr>
        <w:t>.</w:t>
      </w:r>
    </w:p>
    <w:p w14:paraId="022ABFA9"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La giurisdizione della Corte dei conti era configurabile nei confronti di chi, all'interno dell'ente pubblico partecipante, avesse omesso di adottare, essendo chiamato a farlo, un comportamento volto all'esercizio da parte del socio - pubblica amministrazione- dell'azione sociale di responsabilità nei confronti degli amministratori, con conseguente danno della società partecipata e, dunque, dell'ente pubblico partecipante.</w:t>
      </w:r>
    </w:p>
    <w:p w14:paraId="3D077808"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5.1. </w:t>
      </w:r>
      <w:r w:rsidRPr="00517A16">
        <w:rPr>
          <w:rFonts w:ascii="Lato" w:eastAsia="Times New Roman" w:hAnsi="Lato" w:cs="Times New Roman"/>
          <w:b/>
          <w:bCs/>
          <w:color w:val="000000"/>
          <w:spacing w:val="5"/>
          <w:sz w:val="24"/>
          <w:szCs w:val="24"/>
          <w:lang w:eastAsia="it-IT"/>
        </w:rPr>
        <w:t xml:space="preserve">Invece va affermata la giurisdizione delle Corte dei conti solo relativamente alla condanna di risarcimento del danno all'immagine subita dal Ministero dell'Economia e delle Finanze. Rientra nella giurisdizione della Corte dei conti l'azione di responsabilità </w:t>
      </w:r>
      <w:r w:rsidRPr="00517A16">
        <w:rPr>
          <w:rFonts w:ascii="Lato" w:eastAsia="Times New Roman" w:hAnsi="Lato" w:cs="Times New Roman"/>
          <w:b/>
          <w:bCs/>
          <w:color w:val="000000"/>
          <w:spacing w:val="5"/>
          <w:sz w:val="24"/>
          <w:szCs w:val="24"/>
          <w:lang w:eastAsia="it-IT"/>
        </w:rPr>
        <w:lastRenderedPageBreak/>
        <w:t>per il danno arrecato all'immagine dell'ente da organi della società partecipata. Infatti, tale danno, anche se non comporta apparentemente una diminuzione patrimoniale alla pubblica amministrazione, è suscettibile di una valutazione economica finalizzata al ripristino del bene giuridico leso</w:t>
      </w:r>
      <w:r w:rsidRPr="00517A16">
        <w:rPr>
          <w:rFonts w:ascii="Lato" w:eastAsia="Times New Roman" w:hAnsi="Lato" w:cs="Times New Roman"/>
          <w:color w:val="000000"/>
          <w:spacing w:val="5"/>
          <w:sz w:val="24"/>
          <w:szCs w:val="24"/>
          <w:lang w:eastAsia="it-IT"/>
        </w:rPr>
        <w:t xml:space="preserve"> (Cass. civ., Sez. Unite, 02 aprile 2007, n. 8098).</w:t>
      </w:r>
    </w:p>
    <w:p w14:paraId="6294A93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5.2. Non può essere accolta la tesi sostenuta dai ricorrenti G. e C.G., secondo cui, in applicazione del </w:t>
      </w:r>
      <w:hyperlink r:id="rId115" w:history="1">
        <w:r w:rsidRPr="00517A16">
          <w:rPr>
            <w:rFonts w:ascii="Lato" w:eastAsia="Times New Roman" w:hAnsi="Lato" w:cs="Times New Roman"/>
            <w:b/>
            <w:bCs/>
            <w:color w:val="FFA403"/>
            <w:spacing w:val="5"/>
            <w:sz w:val="24"/>
            <w:szCs w:val="24"/>
            <w:lang w:eastAsia="it-IT"/>
          </w:rPr>
          <w:t>D.L. n 103 del 2009</w:t>
        </w:r>
      </w:hyperlink>
      <w:r w:rsidRPr="00517A16">
        <w:rPr>
          <w:rFonts w:ascii="Lato" w:eastAsia="Times New Roman" w:hAnsi="Lato" w:cs="Times New Roman"/>
          <w:color w:val="000000"/>
          <w:spacing w:val="5"/>
          <w:sz w:val="24"/>
          <w:szCs w:val="24"/>
          <w:lang w:eastAsia="it-IT"/>
        </w:rPr>
        <w:t>, art. 1, contenente modificazioni al </w:t>
      </w:r>
      <w:hyperlink r:id="rId116" w:history="1">
        <w:r w:rsidRPr="00517A16">
          <w:rPr>
            <w:rFonts w:ascii="Lato" w:eastAsia="Times New Roman" w:hAnsi="Lato" w:cs="Times New Roman"/>
            <w:b/>
            <w:bCs/>
            <w:color w:val="FFA403"/>
            <w:spacing w:val="5"/>
            <w:sz w:val="24"/>
            <w:szCs w:val="24"/>
            <w:lang w:eastAsia="it-IT"/>
          </w:rPr>
          <w:t>D.L. n. 78 del 2009</w:t>
        </w:r>
      </w:hyperlink>
      <w:r w:rsidRPr="00517A16">
        <w:rPr>
          <w:rFonts w:ascii="Lato" w:eastAsia="Times New Roman" w:hAnsi="Lato" w:cs="Times New Roman"/>
          <w:color w:val="000000"/>
          <w:spacing w:val="5"/>
          <w:sz w:val="24"/>
          <w:szCs w:val="24"/>
          <w:lang w:eastAsia="it-IT"/>
        </w:rPr>
        <w:t>, va dichiarato il difetto di giurisdizione per ogni tipo di danno all'immagine, in quanto tale danno potrebbe essere liquidato solo nei casi e nei modi di cui alla </w:t>
      </w:r>
      <w:hyperlink r:id="rId117" w:history="1">
        <w:r w:rsidRPr="00517A16">
          <w:rPr>
            <w:rFonts w:ascii="Lato" w:eastAsia="Times New Roman" w:hAnsi="Lato" w:cs="Times New Roman"/>
            <w:b/>
            <w:bCs/>
            <w:color w:val="FFA403"/>
            <w:spacing w:val="5"/>
            <w:sz w:val="24"/>
            <w:szCs w:val="24"/>
            <w:lang w:eastAsia="it-IT"/>
          </w:rPr>
          <w:t>L. n. 97 del 2001</w:t>
        </w:r>
      </w:hyperlink>
      <w:r w:rsidRPr="00517A16">
        <w:rPr>
          <w:rFonts w:ascii="Lato" w:eastAsia="Times New Roman" w:hAnsi="Lato" w:cs="Times New Roman"/>
          <w:color w:val="000000"/>
          <w:spacing w:val="5"/>
          <w:sz w:val="24"/>
          <w:szCs w:val="24"/>
          <w:lang w:eastAsia="it-IT"/>
        </w:rPr>
        <w:t>, art. 7, e cioè in presenza di una sentenza penale irrevocabile di condanna per delitto contro la p.a., che nella fattispecie mancherebbe.</w:t>
      </w:r>
    </w:p>
    <w:p w14:paraId="7C2D944C"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Infatti, a parte altri rilievi, come rilevano gli stessi ricorrenti la norma nella sua formulazione letteraria fa salvi gli atti posti in essere dalla procura della Corte dei Conti nel caso in cui, alla data di entrata in vigore del D.L. convertito, fosse già intervenuta una sentenza nell'ambito del giudizio sottoposto alla cognizione del giudice contabile.</w:t>
      </w:r>
    </w:p>
    <w:p w14:paraId="7B9F3392"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6. Con il secondo motivo di ricorso il ricorrente C. lamenta la violazione dell'</w:t>
      </w:r>
      <w:hyperlink r:id="rId118" w:history="1">
        <w:r w:rsidRPr="00517A16">
          <w:rPr>
            <w:rFonts w:ascii="Lato" w:eastAsia="Times New Roman" w:hAnsi="Lato" w:cs="Times New Roman"/>
            <w:b/>
            <w:bCs/>
            <w:color w:val="FFA403"/>
            <w:spacing w:val="5"/>
            <w:sz w:val="24"/>
            <w:szCs w:val="24"/>
            <w:lang w:eastAsia="it-IT"/>
          </w:rPr>
          <w:t>art. 360 c.p.c.</w:t>
        </w:r>
      </w:hyperlink>
      <w:r w:rsidRPr="00517A16">
        <w:rPr>
          <w:rFonts w:ascii="Lato" w:eastAsia="Times New Roman" w:hAnsi="Lato" w:cs="Times New Roman"/>
          <w:color w:val="000000"/>
          <w:spacing w:val="5"/>
          <w:sz w:val="24"/>
          <w:szCs w:val="24"/>
          <w:lang w:eastAsia="it-IT"/>
        </w:rPr>
        <w:t>, della </w:t>
      </w:r>
      <w:hyperlink r:id="rId119" w:history="1">
        <w:r w:rsidRPr="00517A16">
          <w:rPr>
            <w:rFonts w:ascii="Lato" w:eastAsia="Times New Roman" w:hAnsi="Lato" w:cs="Times New Roman"/>
            <w:b/>
            <w:bCs/>
            <w:color w:val="FFA403"/>
            <w:spacing w:val="5"/>
            <w:sz w:val="24"/>
            <w:szCs w:val="24"/>
            <w:lang w:eastAsia="it-IT"/>
          </w:rPr>
          <w:t>L. n. 20 del 1994</w:t>
        </w:r>
      </w:hyperlink>
      <w:r w:rsidRPr="00517A16">
        <w:rPr>
          <w:rFonts w:ascii="Lato" w:eastAsia="Times New Roman" w:hAnsi="Lato" w:cs="Times New Roman"/>
          <w:color w:val="000000"/>
          <w:spacing w:val="5"/>
          <w:sz w:val="24"/>
          <w:szCs w:val="24"/>
          <w:lang w:eastAsia="it-IT"/>
        </w:rPr>
        <w:t>, </w:t>
      </w:r>
      <w:hyperlink r:id="rId120" w:history="1">
        <w:r w:rsidRPr="00517A16">
          <w:rPr>
            <w:rFonts w:ascii="Lato" w:eastAsia="Times New Roman" w:hAnsi="Lato" w:cs="Times New Roman"/>
            <w:b/>
            <w:bCs/>
            <w:color w:val="FFA403"/>
            <w:spacing w:val="5"/>
            <w:sz w:val="24"/>
            <w:szCs w:val="24"/>
            <w:lang w:eastAsia="it-IT"/>
          </w:rPr>
          <w:t>art. 1, L. n. 97 del 2001</w:t>
        </w:r>
      </w:hyperlink>
      <w:r w:rsidRPr="00517A16">
        <w:rPr>
          <w:rFonts w:ascii="Lato" w:eastAsia="Times New Roman" w:hAnsi="Lato" w:cs="Times New Roman"/>
          <w:color w:val="000000"/>
          <w:spacing w:val="5"/>
          <w:sz w:val="24"/>
          <w:szCs w:val="24"/>
          <w:lang w:eastAsia="it-IT"/>
        </w:rPr>
        <w:t>, artt. 3 e 7, </w:t>
      </w:r>
      <w:hyperlink r:id="rId121" w:history="1">
        <w:r w:rsidRPr="00517A16">
          <w:rPr>
            <w:rFonts w:ascii="Lato" w:eastAsia="Times New Roman" w:hAnsi="Lato" w:cs="Times New Roman"/>
            <w:b/>
            <w:bCs/>
            <w:color w:val="FFA403"/>
            <w:spacing w:val="5"/>
            <w:sz w:val="24"/>
            <w:szCs w:val="24"/>
            <w:lang w:eastAsia="it-IT"/>
          </w:rPr>
          <w:t>art. 81,R.D. n. 2440 del 1923</w:t>
        </w:r>
      </w:hyperlink>
      <w:r w:rsidRPr="00517A16">
        <w:rPr>
          <w:rFonts w:ascii="Lato" w:eastAsia="Times New Roman" w:hAnsi="Lato" w:cs="Times New Roman"/>
          <w:color w:val="000000"/>
          <w:spacing w:val="5"/>
          <w:sz w:val="24"/>
          <w:szCs w:val="24"/>
          <w:lang w:eastAsia="it-IT"/>
        </w:rPr>
        <w:t> e dell'</w:t>
      </w:r>
      <w:hyperlink r:id="rId122" w:history="1">
        <w:r w:rsidRPr="00517A16">
          <w:rPr>
            <w:rFonts w:ascii="Lato" w:eastAsia="Times New Roman" w:hAnsi="Lato" w:cs="Times New Roman"/>
            <w:b/>
            <w:bCs/>
            <w:color w:val="FFA403"/>
            <w:spacing w:val="5"/>
            <w:sz w:val="24"/>
            <w:szCs w:val="24"/>
            <w:lang w:eastAsia="it-IT"/>
          </w:rPr>
          <w:t>art. 52,R.D. n. 1234 del 1214</w:t>
        </w:r>
      </w:hyperlink>
      <w:r w:rsidRPr="00517A16">
        <w:rPr>
          <w:rFonts w:ascii="Lato" w:eastAsia="Times New Roman" w:hAnsi="Lato" w:cs="Times New Roman"/>
          <w:color w:val="000000"/>
          <w:spacing w:val="5"/>
          <w:sz w:val="24"/>
          <w:szCs w:val="24"/>
          <w:lang w:eastAsia="it-IT"/>
        </w:rPr>
        <w:t>.</w:t>
      </w:r>
    </w:p>
    <w:p w14:paraId="258A73EF"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Assume il ricorrente che erroneamente la sentenza impugnata ha ritenuto che egli fosse stato dipendente anche di </w:t>
      </w:r>
      <w:proofErr w:type="spellStart"/>
      <w:r w:rsidRPr="00517A16">
        <w:rPr>
          <w:rFonts w:ascii="Lato" w:eastAsia="Times New Roman" w:hAnsi="Lato" w:cs="Times New Roman"/>
          <w:color w:val="000000"/>
          <w:spacing w:val="5"/>
          <w:sz w:val="24"/>
          <w:szCs w:val="24"/>
          <w:lang w:eastAsia="it-IT"/>
        </w:rPr>
        <w:t>Enelpower</w:t>
      </w:r>
      <w:proofErr w:type="spellEnd"/>
      <w:r w:rsidRPr="00517A16">
        <w:rPr>
          <w:rFonts w:ascii="Lato" w:eastAsia="Times New Roman" w:hAnsi="Lato" w:cs="Times New Roman"/>
          <w:color w:val="000000"/>
          <w:spacing w:val="5"/>
          <w:sz w:val="24"/>
          <w:szCs w:val="24"/>
          <w:lang w:eastAsia="it-IT"/>
        </w:rPr>
        <w:t>, avendo svolto solo funzioni per Enel produzione. 7.11 motivo è inammissibile.</w:t>
      </w:r>
    </w:p>
    <w:p w14:paraId="4B8E5018"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Anche dopo l'inserimento della garanzia del giusto processo nella formulazione dell'</w:t>
      </w:r>
      <w:hyperlink r:id="rId123" w:history="1">
        <w:r w:rsidRPr="00517A16">
          <w:rPr>
            <w:rFonts w:ascii="Lato" w:eastAsia="Times New Roman" w:hAnsi="Lato" w:cs="Times New Roman"/>
            <w:b/>
            <w:bCs/>
            <w:color w:val="FFA403"/>
            <w:spacing w:val="5"/>
            <w:sz w:val="24"/>
            <w:szCs w:val="24"/>
            <w:lang w:eastAsia="it-IT"/>
          </w:rPr>
          <w:t>art. 111 Cost.</w:t>
        </w:r>
      </w:hyperlink>
      <w:r w:rsidRPr="00517A16">
        <w:rPr>
          <w:rFonts w:ascii="Lato" w:eastAsia="Times New Roman" w:hAnsi="Lato" w:cs="Times New Roman"/>
          <w:color w:val="000000"/>
          <w:spacing w:val="5"/>
          <w:sz w:val="24"/>
          <w:szCs w:val="24"/>
          <w:lang w:eastAsia="it-IT"/>
        </w:rPr>
        <w:t>, il sindacato delle Sezioni Unite della Corte di cassazione sulle decisioni della Corte dei conti in sede giurisdizionale continua ad essere circoscritto al controllo dell'eventuale violazione dei limiti esterni della giurisdizione del giudice contabile, ovvero all'esistenza dei vizi che attengono all'essenza della funzione giurisdizionale e non si estende al modo del suo esercizio. (Cass. Sez. Unite, 16 febbraio 2007, n. 3615).</w:t>
      </w:r>
    </w:p>
    <w:p w14:paraId="2DA3925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Nella fattispecie il ricorrente prospetta profili che attengono al merito del giudizio promosso davanti alla Corte dei Conti, negando il rapporto di servizio intrattenuto con </w:t>
      </w:r>
      <w:proofErr w:type="spellStart"/>
      <w:r w:rsidRPr="00517A16">
        <w:rPr>
          <w:rFonts w:ascii="Lato" w:eastAsia="Times New Roman" w:hAnsi="Lato" w:cs="Times New Roman"/>
          <w:color w:val="000000"/>
          <w:spacing w:val="5"/>
          <w:sz w:val="24"/>
          <w:szCs w:val="24"/>
          <w:lang w:eastAsia="it-IT"/>
        </w:rPr>
        <w:t>Enelpower</w:t>
      </w:r>
      <w:proofErr w:type="spellEnd"/>
      <w:r w:rsidRPr="00517A16">
        <w:rPr>
          <w:rFonts w:ascii="Lato" w:eastAsia="Times New Roman" w:hAnsi="Lato" w:cs="Times New Roman"/>
          <w:color w:val="000000"/>
          <w:spacing w:val="5"/>
          <w:sz w:val="24"/>
          <w:szCs w:val="24"/>
          <w:lang w:eastAsia="it-IT"/>
        </w:rPr>
        <w:t xml:space="preserve"> e la sua partecipazione agli illeciti in danno di società del gruppo Enel, </w:t>
      </w:r>
      <w:proofErr w:type="spellStart"/>
      <w:r w:rsidRPr="00517A16">
        <w:rPr>
          <w:rFonts w:ascii="Lato" w:eastAsia="Times New Roman" w:hAnsi="Lato" w:cs="Times New Roman"/>
          <w:color w:val="000000"/>
          <w:spacing w:val="5"/>
          <w:sz w:val="24"/>
          <w:szCs w:val="24"/>
          <w:lang w:eastAsia="it-IT"/>
        </w:rPr>
        <w:t>nonchè</w:t>
      </w:r>
      <w:proofErr w:type="spellEnd"/>
      <w:r w:rsidRPr="00517A16">
        <w:rPr>
          <w:rFonts w:ascii="Lato" w:eastAsia="Times New Roman" w:hAnsi="Lato" w:cs="Times New Roman"/>
          <w:color w:val="000000"/>
          <w:spacing w:val="5"/>
          <w:sz w:val="24"/>
          <w:szCs w:val="24"/>
          <w:lang w:eastAsia="it-IT"/>
        </w:rPr>
        <w:t xml:space="preserve"> il nesso causale tra la sua condotta ed i plurimi eventi dannosi. I vizi lamentati attengono, quindi, a pretesi </w:t>
      </w:r>
      <w:proofErr w:type="spellStart"/>
      <w:r w:rsidRPr="00517A16">
        <w:rPr>
          <w:rFonts w:ascii="Lato" w:eastAsia="Times New Roman" w:hAnsi="Lato" w:cs="Times New Roman"/>
          <w:color w:val="000000"/>
          <w:spacing w:val="5"/>
          <w:sz w:val="24"/>
          <w:szCs w:val="24"/>
          <w:lang w:eastAsia="it-IT"/>
        </w:rPr>
        <w:t>errores</w:t>
      </w:r>
      <w:proofErr w:type="spellEnd"/>
      <w:r w:rsidRPr="00517A16">
        <w:rPr>
          <w:rFonts w:ascii="Lato" w:eastAsia="Times New Roman" w:hAnsi="Lato" w:cs="Times New Roman"/>
          <w:color w:val="000000"/>
          <w:spacing w:val="5"/>
          <w:sz w:val="24"/>
          <w:szCs w:val="24"/>
          <w:lang w:eastAsia="it-IT"/>
        </w:rPr>
        <w:t xml:space="preserve"> in iudicando della Corte dei Conti, per cui la loro prospettazione è inammissibile in questa sede.</w:t>
      </w:r>
    </w:p>
    <w:p w14:paraId="7732FE55"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8. Con il secondo motivo di ricorso il ricorrente incidentale A. lamenta la carenza di giurisdizione della Corte dei conti per violazione delle disposizioni che disciplinano l'ambito della giurisdizione contabile nei confronti di collaboratori esterni consulenti di s.p.a. aventi natura pubblicistica (</w:t>
      </w:r>
      <w:hyperlink r:id="rId124" w:history="1">
        <w:r w:rsidRPr="00517A16">
          <w:rPr>
            <w:rFonts w:ascii="Lato" w:eastAsia="Times New Roman" w:hAnsi="Lato" w:cs="Times New Roman"/>
            <w:b/>
            <w:bCs/>
            <w:color w:val="FFA403"/>
            <w:spacing w:val="5"/>
            <w:sz w:val="24"/>
            <w:szCs w:val="24"/>
            <w:lang w:eastAsia="it-IT"/>
          </w:rPr>
          <w:t>L. n. 20 del 1994</w:t>
        </w:r>
      </w:hyperlink>
      <w:r w:rsidRPr="00517A16">
        <w:rPr>
          <w:rFonts w:ascii="Lato" w:eastAsia="Times New Roman" w:hAnsi="Lato" w:cs="Times New Roman"/>
          <w:color w:val="000000"/>
          <w:spacing w:val="5"/>
          <w:sz w:val="24"/>
          <w:szCs w:val="24"/>
          <w:lang w:eastAsia="it-IT"/>
        </w:rPr>
        <w:t>, </w:t>
      </w:r>
      <w:hyperlink r:id="rId125" w:history="1">
        <w:r w:rsidRPr="00517A16">
          <w:rPr>
            <w:rFonts w:ascii="Lato" w:eastAsia="Times New Roman" w:hAnsi="Lato" w:cs="Times New Roman"/>
            <w:b/>
            <w:bCs/>
            <w:color w:val="FFA403"/>
            <w:spacing w:val="5"/>
            <w:sz w:val="24"/>
            <w:szCs w:val="24"/>
            <w:lang w:eastAsia="it-IT"/>
          </w:rPr>
          <w:t>art. 1; L. n. 97 del 2001</w:t>
        </w:r>
      </w:hyperlink>
      <w:r w:rsidRPr="00517A16">
        <w:rPr>
          <w:rFonts w:ascii="Lato" w:eastAsia="Times New Roman" w:hAnsi="Lato" w:cs="Times New Roman"/>
          <w:color w:val="000000"/>
          <w:spacing w:val="5"/>
          <w:sz w:val="24"/>
          <w:szCs w:val="24"/>
          <w:lang w:eastAsia="it-IT"/>
        </w:rPr>
        <w:t>, artt. 3 e 7, </w:t>
      </w:r>
      <w:hyperlink r:id="rId126" w:history="1">
        <w:r w:rsidRPr="00517A16">
          <w:rPr>
            <w:rFonts w:ascii="Lato" w:eastAsia="Times New Roman" w:hAnsi="Lato" w:cs="Times New Roman"/>
            <w:b/>
            <w:bCs/>
            <w:color w:val="FFA403"/>
            <w:spacing w:val="5"/>
            <w:sz w:val="24"/>
            <w:szCs w:val="24"/>
            <w:lang w:eastAsia="it-IT"/>
          </w:rPr>
          <w:t>art. 81,R.D. n. 2440 del 1923</w:t>
        </w:r>
      </w:hyperlink>
      <w:r w:rsidRPr="00517A16">
        <w:rPr>
          <w:rFonts w:ascii="Lato" w:eastAsia="Times New Roman" w:hAnsi="Lato" w:cs="Times New Roman"/>
          <w:color w:val="000000"/>
          <w:spacing w:val="5"/>
          <w:sz w:val="24"/>
          <w:szCs w:val="24"/>
          <w:lang w:eastAsia="it-IT"/>
        </w:rPr>
        <w:t>; </w:t>
      </w:r>
      <w:hyperlink r:id="rId127" w:history="1">
        <w:r w:rsidRPr="00517A16">
          <w:rPr>
            <w:rFonts w:ascii="Lato" w:eastAsia="Times New Roman" w:hAnsi="Lato" w:cs="Times New Roman"/>
            <w:b/>
            <w:bCs/>
            <w:color w:val="FFA403"/>
            <w:spacing w:val="5"/>
            <w:sz w:val="24"/>
            <w:szCs w:val="24"/>
            <w:lang w:eastAsia="it-IT"/>
          </w:rPr>
          <w:t>art. 52,R.D. n. 1214 del 1934</w:t>
        </w:r>
      </w:hyperlink>
      <w:r w:rsidRPr="00517A16">
        <w:rPr>
          <w:rFonts w:ascii="Lato" w:eastAsia="Times New Roman" w:hAnsi="Lato" w:cs="Times New Roman"/>
          <w:color w:val="000000"/>
          <w:spacing w:val="5"/>
          <w:sz w:val="24"/>
          <w:szCs w:val="24"/>
          <w:lang w:eastAsia="it-IT"/>
        </w:rPr>
        <w:t>).</w:t>
      </w:r>
    </w:p>
    <w:p w14:paraId="7A53E914"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Assume il ricorrente che all'epoca dei fatti oggetto di causa egli non era dipendente di EPW, ma era legato ad essa solo da un contratto di collaborazione e poi di consulenza, donde il difetto di giurisdizione della Corte dei conti nei suoi confronti. 9.1.11 motivo è infondato.</w:t>
      </w:r>
    </w:p>
    <w:p w14:paraId="00219B2E"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In tema di responsabilità per danno erariale, l'esistenza di un rapporto di servizio, quale presupposto per un addebito di responsabilità al detto titolo, non è limitata al rapporto organico o al rapporto di impiego pubblico, ma è configurabile anche quando il soggetto, </w:t>
      </w:r>
      <w:proofErr w:type="spellStart"/>
      <w:r w:rsidRPr="00517A16">
        <w:rPr>
          <w:rFonts w:ascii="Lato" w:eastAsia="Times New Roman" w:hAnsi="Lato" w:cs="Times New Roman"/>
          <w:color w:val="000000"/>
          <w:spacing w:val="5"/>
          <w:sz w:val="24"/>
          <w:szCs w:val="24"/>
          <w:lang w:eastAsia="it-IT"/>
        </w:rPr>
        <w:t>benchè</w:t>
      </w:r>
      <w:proofErr w:type="spellEnd"/>
      <w:r w:rsidRPr="00517A16">
        <w:rPr>
          <w:rFonts w:ascii="Lato" w:eastAsia="Times New Roman" w:hAnsi="Lato" w:cs="Times New Roman"/>
          <w:color w:val="000000"/>
          <w:spacing w:val="5"/>
          <w:sz w:val="24"/>
          <w:szCs w:val="24"/>
          <w:lang w:eastAsia="it-IT"/>
        </w:rPr>
        <w:t xml:space="preserve"> estraneo alla Pubblica Amministrazione, venga investito, anche di fatto, dello svolgimento, in modo continuativo, di una determinata attività in favore della Pubblica Amministrazione, con inserimento nell'organizzazione della medesima, e con particolari vincoli ed obblighi diretti ad assicurare la rispondenza dell'attività stessa alle esigenze </w:t>
      </w:r>
      <w:r w:rsidRPr="00517A16">
        <w:rPr>
          <w:rFonts w:ascii="Lato" w:eastAsia="Times New Roman" w:hAnsi="Lato" w:cs="Times New Roman"/>
          <w:color w:val="000000"/>
          <w:spacing w:val="5"/>
          <w:sz w:val="24"/>
          <w:szCs w:val="24"/>
          <w:lang w:eastAsia="it-IT"/>
        </w:rPr>
        <w:lastRenderedPageBreak/>
        <w:t>generali cui è preordinata. (Cass. Sez. Unite, 12 marzo 2004, n. 5163; Cass. S.U. n. 19661/2003).</w:t>
      </w:r>
    </w:p>
    <w:p w14:paraId="244AF161"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9.2. Nella fattispecie la sentenza impugnata ha ravvisato tale inserimento </w:t>
      </w:r>
      <w:proofErr w:type="gramStart"/>
      <w:r w:rsidRPr="00517A16">
        <w:rPr>
          <w:rFonts w:ascii="Lato" w:eastAsia="Times New Roman" w:hAnsi="Lato" w:cs="Times New Roman"/>
          <w:color w:val="000000"/>
          <w:spacing w:val="5"/>
          <w:sz w:val="24"/>
          <w:szCs w:val="24"/>
          <w:lang w:eastAsia="it-IT"/>
        </w:rPr>
        <w:t>dell' A.</w:t>
      </w:r>
      <w:proofErr w:type="gramEnd"/>
      <w:r w:rsidRPr="00517A16">
        <w:rPr>
          <w:rFonts w:ascii="Lato" w:eastAsia="Times New Roman" w:hAnsi="Lato" w:cs="Times New Roman"/>
          <w:color w:val="000000"/>
          <w:spacing w:val="5"/>
          <w:sz w:val="24"/>
          <w:szCs w:val="24"/>
          <w:lang w:eastAsia="it-IT"/>
        </w:rPr>
        <w:t xml:space="preserve"> nell'organizzazione della s.p.a. </w:t>
      </w:r>
      <w:proofErr w:type="spellStart"/>
      <w:r w:rsidRPr="00517A16">
        <w:rPr>
          <w:rFonts w:ascii="Lato" w:eastAsia="Times New Roman" w:hAnsi="Lato" w:cs="Times New Roman"/>
          <w:color w:val="000000"/>
          <w:spacing w:val="5"/>
          <w:sz w:val="24"/>
          <w:szCs w:val="24"/>
          <w:lang w:eastAsia="it-IT"/>
        </w:rPr>
        <w:t>Enelpower</w:t>
      </w:r>
      <w:proofErr w:type="spellEnd"/>
      <w:r w:rsidRPr="00517A16">
        <w:rPr>
          <w:rFonts w:ascii="Lato" w:eastAsia="Times New Roman" w:hAnsi="Lato" w:cs="Times New Roman"/>
          <w:color w:val="000000"/>
          <w:spacing w:val="5"/>
          <w:sz w:val="24"/>
          <w:szCs w:val="24"/>
          <w:lang w:eastAsia="it-IT"/>
        </w:rPr>
        <w:t xml:space="preserve">, con l'assunzione di vincoli ed obblighi funzionali, </w:t>
      </w:r>
      <w:proofErr w:type="spellStart"/>
      <w:r w:rsidRPr="00517A16">
        <w:rPr>
          <w:rFonts w:ascii="Lato" w:eastAsia="Times New Roman" w:hAnsi="Lato" w:cs="Times New Roman"/>
          <w:color w:val="000000"/>
          <w:spacing w:val="5"/>
          <w:sz w:val="24"/>
          <w:szCs w:val="24"/>
          <w:lang w:eastAsia="it-IT"/>
        </w:rPr>
        <w:t>poichè</w:t>
      </w:r>
      <w:proofErr w:type="spellEnd"/>
      <w:r w:rsidRPr="00517A16">
        <w:rPr>
          <w:rFonts w:ascii="Lato" w:eastAsia="Times New Roman" w:hAnsi="Lato" w:cs="Times New Roman"/>
          <w:color w:val="000000"/>
          <w:spacing w:val="5"/>
          <w:sz w:val="24"/>
          <w:szCs w:val="24"/>
          <w:lang w:eastAsia="it-IT"/>
        </w:rPr>
        <w:t xml:space="preserve"> questi agiva nell'espletamento dell'attività consulenziale per conto di </w:t>
      </w:r>
      <w:proofErr w:type="spellStart"/>
      <w:r w:rsidRPr="00517A16">
        <w:rPr>
          <w:rFonts w:ascii="Lato" w:eastAsia="Times New Roman" w:hAnsi="Lato" w:cs="Times New Roman"/>
          <w:color w:val="000000"/>
          <w:spacing w:val="5"/>
          <w:sz w:val="24"/>
          <w:szCs w:val="24"/>
          <w:lang w:eastAsia="it-IT"/>
        </w:rPr>
        <w:t>Enelpower</w:t>
      </w:r>
      <w:proofErr w:type="spellEnd"/>
      <w:r w:rsidRPr="00517A16">
        <w:rPr>
          <w:rFonts w:ascii="Lato" w:eastAsia="Times New Roman" w:hAnsi="Lato" w:cs="Times New Roman"/>
          <w:color w:val="000000"/>
          <w:spacing w:val="5"/>
          <w:sz w:val="24"/>
          <w:szCs w:val="24"/>
          <w:lang w:eastAsia="it-IT"/>
        </w:rPr>
        <w:t>, sulla base di lettera di incarico e di due disposizioni interne.</w:t>
      </w:r>
    </w:p>
    <w:p w14:paraId="6A1ADC85"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Ne consegue che le censure mosse dal ricorrente sul punto attengono a vizi in iudicando che non possono trovare ingresso in questa sede, </w:t>
      </w:r>
      <w:proofErr w:type="spellStart"/>
      <w:r w:rsidRPr="00517A16">
        <w:rPr>
          <w:rFonts w:ascii="Lato" w:eastAsia="Times New Roman" w:hAnsi="Lato" w:cs="Times New Roman"/>
          <w:color w:val="000000"/>
          <w:spacing w:val="5"/>
          <w:sz w:val="24"/>
          <w:szCs w:val="24"/>
          <w:lang w:eastAsia="it-IT"/>
        </w:rPr>
        <w:t>poichè</w:t>
      </w:r>
      <w:proofErr w:type="spellEnd"/>
      <w:r w:rsidRPr="00517A16">
        <w:rPr>
          <w:rFonts w:ascii="Lato" w:eastAsia="Times New Roman" w:hAnsi="Lato" w:cs="Times New Roman"/>
          <w:color w:val="000000"/>
          <w:spacing w:val="5"/>
          <w:sz w:val="24"/>
          <w:szCs w:val="24"/>
          <w:lang w:eastAsia="it-IT"/>
        </w:rPr>
        <w:t xml:space="preserve"> rientrano nei limiti interni della giurisdizione, estranei al sindacato di questa Corte di </w:t>
      </w:r>
      <w:proofErr w:type="gramStart"/>
      <w:r w:rsidRPr="00517A16">
        <w:rPr>
          <w:rFonts w:ascii="Lato" w:eastAsia="Times New Roman" w:hAnsi="Lato" w:cs="Times New Roman"/>
          <w:color w:val="000000"/>
          <w:spacing w:val="5"/>
          <w:sz w:val="24"/>
          <w:szCs w:val="24"/>
          <w:lang w:eastAsia="it-IT"/>
        </w:rPr>
        <w:t>cassazione(</w:t>
      </w:r>
      <w:proofErr w:type="gramEnd"/>
      <w:r w:rsidRPr="00517A16">
        <w:rPr>
          <w:rFonts w:ascii="Lato" w:eastAsia="Times New Roman" w:hAnsi="Lato" w:cs="Times New Roman"/>
          <w:color w:val="000000"/>
          <w:spacing w:val="5"/>
          <w:sz w:val="24"/>
          <w:szCs w:val="24"/>
          <w:lang w:eastAsia="it-IT"/>
        </w:rPr>
        <w:t>Cass. civ. (</w:t>
      </w:r>
      <w:proofErr w:type="spellStart"/>
      <w:r w:rsidRPr="00517A16">
        <w:rPr>
          <w:rFonts w:ascii="Lato" w:eastAsia="Times New Roman" w:hAnsi="Lato" w:cs="Times New Roman"/>
          <w:color w:val="000000"/>
          <w:spacing w:val="5"/>
          <w:sz w:val="24"/>
          <w:szCs w:val="24"/>
          <w:lang w:eastAsia="it-IT"/>
        </w:rPr>
        <w:t>Ord</w:t>
      </w:r>
      <w:proofErr w:type="spellEnd"/>
      <w:r w:rsidRPr="00517A16">
        <w:rPr>
          <w:rFonts w:ascii="Lato" w:eastAsia="Times New Roman" w:hAnsi="Lato" w:cs="Times New Roman"/>
          <w:color w:val="000000"/>
          <w:spacing w:val="5"/>
          <w:sz w:val="24"/>
          <w:szCs w:val="24"/>
          <w:lang w:eastAsia="it-IT"/>
        </w:rPr>
        <w:t>.), Sez. Unite, 16 dicembre 2008, n. 29348).</w:t>
      </w:r>
    </w:p>
    <w:p w14:paraId="238AD114"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10. In definitiva va accolto, nei termini di cui in motivazione, il primo motivo di ricorso, per cui va dichiarato il difetto di giurisdizione della Corte dei Conti in merito alla domanda proposta dalla Procura della Corte dei Conti limitatamente ai soli danni attinenti alle società, con esclusione della domanda attinente al risarcimento del danno all'immagine subita dal Ministero dell'Economia e delle Finanze.</w:t>
      </w:r>
    </w:p>
    <w:p w14:paraId="1F83C249"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 xml:space="preserve">Vanno rigettati i restanti motivi dei ricorsi del C. e </w:t>
      </w:r>
      <w:proofErr w:type="gramStart"/>
      <w:r w:rsidRPr="00517A16">
        <w:rPr>
          <w:rFonts w:ascii="Lato" w:eastAsia="Times New Roman" w:hAnsi="Lato" w:cs="Times New Roman"/>
          <w:color w:val="000000"/>
          <w:spacing w:val="5"/>
          <w:sz w:val="24"/>
          <w:szCs w:val="24"/>
          <w:lang w:eastAsia="it-IT"/>
        </w:rPr>
        <w:t>dell' A..</w:t>
      </w:r>
      <w:proofErr w:type="gramEnd"/>
      <w:r w:rsidRPr="00517A16">
        <w:rPr>
          <w:rFonts w:ascii="Lato" w:eastAsia="Times New Roman" w:hAnsi="Lato" w:cs="Times New Roman"/>
          <w:color w:val="000000"/>
          <w:spacing w:val="5"/>
          <w:sz w:val="24"/>
          <w:szCs w:val="24"/>
          <w:lang w:eastAsia="it-IT"/>
        </w:rPr>
        <w:t xml:space="preserve"> Va cassata senza rinvio, in relazione al motivo accolto, l'impugnata sentenza.</w:t>
      </w:r>
    </w:p>
    <w:p w14:paraId="1CC13214" w14:textId="77777777" w:rsidR="00517A16" w:rsidRPr="00517A16" w:rsidRDefault="00517A16" w:rsidP="00517A16">
      <w:pPr>
        <w:shd w:val="clear" w:color="auto" w:fill="FFFFFF"/>
        <w:spacing w:after="0" w:line="240" w:lineRule="auto"/>
        <w:jc w:val="both"/>
        <w:rPr>
          <w:rFonts w:ascii="Lato" w:eastAsia="Times New Roman" w:hAnsi="Lato" w:cs="Times New Roman"/>
          <w:color w:val="000000"/>
          <w:spacing w:val="5"/>
          <w:sz w:val="24"/>
          <w:szCs w:val="24"/>
          <w:lang w:eastAsia="it-IT"/>
        </w:rPr>
      </w:pPr>
      <w:r w:rsidRPr="00517A16">
        <w:rPr>
          <w:rFonts w:ascii="Lato" w:eastAsia="Times New Roman" w:hAnsi="Lato" w:cs="Times New Roman"/>
          <w:color w:val="000000"/>
          <w:spacing w:val="5"/>
          <w:sz w:val="24"/>
          <w:szCs w:val="24"/>
          <w:lang w:eastAsia="it-IT"/>
        </w:rPr>
        <w:t>Esistono giusti motivi per compensare per intero tra le parti, le spese del giudizio di cassazione. (</w:t>
      </w:r>
      <w:r w:rsidRPr="00517A16">
        <w:rPr>
          <w:rFonts w:ascii="Lato" w:eastAsia="Times New Roman" w:hAnsi="Lato" w:cs="Times New Roman"/>
          <w:i/>
          <w:iCs/>
          <w:color w:val="000000"/>
          <w:spacing w:val="5"/>
          <w:sz w:val="24"/>
          <w:szCs w:val="24"/>
          <w:lang w:eastAsia="it-IT"/>
        </w:rPr>
        <w:t>Omissis</w:t>
      </w:r>
      <w:r w:rsidRPr="00517A16">
        <w:rPr>
          <w:rFonts w:ascii="Lato" w:eastAsia="Times New Roman" w:hAnsi="Lato" w:cs="Times New Roman"/>
          <w:color w:val="000000"/>
          <w:spacing w:val="5"/>
          <w:sz w:val="24"/>
          <w:szCs w:val="24"/>
          <w:lang w:eastAsia="it-IT"/>
        </w:rPr>
        <w:t>)</w:t>
      </w:r>
    </w:p>
    <w:p w14:paraId="479A5228" w14:textId="77777777" w:rsidR="00517A16" w:rsidRDefault="00517A16"/>
    <w:p w14:paraId="4E8931D2" w14:textId="77777777" w:rsidR="00E54AF5" w:rsidRDefault="00E54AF5"/>
    <w:p w14:paraId="10C60075" w14:textId="77777777" w:rsidR="00E54AF5" w:rsidRDefault="00E54AF5"/>
    <w:p w14:paraId="4A6EB758" w14:textId="77777777" w:rsidR="00E54AF5" w:rsidRDefault="00E54AF5"/>
    <w:p w14:paraId="091189F5" w14:textId="77777777" w:rsidR="00E54AF5" w:rsidRPr="00E54AF5" w:rsidRDefault="00E54AF5" w:rsidP="00E54AF5">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E54AF5">
        <w:rPr>
          <w:rFonts w:ascii="Lato" w:eastAsia="Times New Roman" w:hAnsi="Lato" w:cs="Times New Roman"/>
          <w:color w:val="3E4249"/>
          <w:spacing w:val="5"/>
          <w:kern w:val="36"/>
          <w:sz w:val="45"/>
          <w:szCs w:val="45"/>
          <w:lang w:eastAsia="it-IT"/>
        </w:rPr>
        <w:t xml:space="preserve">Cass. civ., sez. un., </w:t>
      </w:r>
      <w:proofErr w:type="spellStart"/>
      <w:r w:rsidRPr="00E54AF5">
        <w:rPr>
          <w:rFonts w:ascii="Lato" w:eastAsia="Times New Roman" w:hAnsi="Lato" w:cs="Times New Roman"/>
          <w:color w:val="3E4249"/>
          <w:spacing w:val="5"/>
          <w:kern w:val="36"/>
          <w:sz w:val="45"/>
          <w:szCs w:val="45"/>
          <w:lang w:eastAsia="it-IT"/>
        </w:rPr>
        <w:t>ord</w:t>
      </w:r>
      <w:proofErr w:type="spellEnd"/>
      <w:r w:rsidRPr="00E54AF5">
        <w:rPr>
          <w:rFonts w:ascii="Lato" w:eastAsia="Times New Roman" w:hAnsi="Lato" w:cs="Times New Roman"/>
          <w:color w:val="3E4249"/>
          <w:spacing w:val="5"/>
          <w:kern w:val="36"/>
          <w:sz w:val="45"/>
          <w:szCs w:val="45"/>
          <w:lang w:eastAsia="it-IT"/>
        </w:rPr>
        <w:t>., 3 luglio 2023 n. 18749</w:t>
      </w:r>
    </w:p>
    <w:p w14:paraId="00E63A3C" w14:textId="77777777" w:rsidR="00E54AF5" w:rsidRPr="00E54AF5" w:rsidRDefault="00E54AF5" w:rsidP="00E54AF5">
      <w:pPr>
        <w:shd w:val="clear" w:color="auto" w:fill="FFFFFF"/>
        <w:spacing w:after="0" w:line="240" w:lineRule="auto"/>
        <w:rPr>
          <w:rFonts w:ascii="Lato" w:eastAsia="Times New Roman" w:hAnsi="Lato" w:cs="Times New Roman"/>
          <w:color w:val="000000"/>
          <w:spacing w:val="5"/>
          <w:sz w:val="24"/>
          <w:szCs w:val="24"/>
          <w:lang w:eastAsia="it-IT"/>
        </w:rPr>
      </w:pPr>
      <w:r w:rsidRPr="00E54AF5">
        <w:rPr>
          <w:rFonts w:ascii="Lato" w:eastAsia="Times New Roman" w:hAnsi="Lato" w:cs="Times New Roman"/>
          <w:noProof/>
          <w:color w:val="005797"/>
          <w:spacing w:val="5"/>
          <w:sz w:val="24"/>
          <w:szCs w:val="24"/>
          <w:lang w:eastAsia="it-IT"/>
        </w:rPr>
        <w:drawing>
          <wp:inline distT="0" distB="0" distL="0" distR="0" wp14:anchorId="32B3991A" wp14:editId="42BAE01F">
            <wp:extent cx="160655" cy="160655"/>
            <wp:effectExtent l="0" t="0" r="0" b="0"/>
            <wp:docPr id="11" name="Immagine 5">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E54AF5">
        <w:rPr>
          <w:rFonts w:ascii="Lato" w:eastAsia="Times New Roman" w:hAnsi="Lato" w:cs="Times New Roman"/>
          <w:color w:val="000000"/>
          <w:spacing w:val="5"/>
          <w:sz w:val="24"/>
          <w:szCs w:val="24"/>
          <w:lang w:eastAsia="it-IT"/>
        </w:rPr>
        <w:t>    </w:t>
      </w:r>
    </w:p>
    <w:p w14:paraId="2F6C419A" w14:textId="77777777" w:rsidR="00E54AF5" w:rsidRPr="00E54AF5" w:rsidRDefault="00E54AF5" w:rsidP="00E54AF5">
      <w:pPr>
        <w:spacing w:before="300" w:after="300" w:line="240" w:lineRule="auto"/>
        <w:rPr>
          <w:rFonts w:ascii="Lato" w:eastAsia="Times New Roman" w:hAnsi="Lato" w:cs="Times New Roman"/>
          <w:spacing w:val="5"/>
          <w:sz w:val="24"/>
          <w:szCs w:val="24"/>
          <w:lang w:eastAsia="it-IT"/>
        </w:rPr>
      </w:pPr>
      <w:r w:rsidRPr="00E54AF5">
        <w:rPr>
          <w:rFonts w:ascii="Times New Roman" w:eastAsia="Times New Roman" w:hAnsi="Times New Roman" w:cs="Times New Roman"/>
          <w:sz w:val="24"/>
          <w:szCs w:val="24"/>
          <w:lang w:eastAsia="it-IT"/>
        </w:rPr>
        <w:pict w14:anchorId="203AC12C">
          <v:rect id="_x0000_i1039" style="width:0;height:0" o:hralign="center" o:hrstd="t" o:hrnoshade="t" o:hr="t" fillcolor="black" stroked="f"/>
        </w:pict>
      </w:r>
    </w:p>
    <w:p w14:paraId="671D84B7" w14:textId="77777777" w:rsidR="00E54AF5" w:rsidRPr="00E54AF5" w:rsidRDefault="00E54AF5" w:rsidP="00E54AF5">
      <w:pPr>
        <w:shd w:val="clear" w:color="auto" w:fill="FFFFFF"/>
        <w:spacing w:after="0" w:line="240" w:lineRule="auto"/>
        <w:rPr>
          <w:rFonts w:ascii="Lato" w:eastAsia="Times New Roman" w:hAnsi="Lato" w:cs="Times New Roman"/>
          <w:color w:val="000000"/>
          <w:spacing w:val="5"/>
          <w:sz w:val="24"/>
          <w:szCs w:val="24"/>
          <w:lang w:eastAsia="it-IT"/>
        </w:rPr>
      </w:pPr>
      <w:r w:rsidRPr="00E54AF5">
        <w:rPr>
          <w:rFonts w:ascii="Lato" w:eastAsia="Times New Roman" w:hAnsi="Lato" w:cs="Times New Roman"/>
          <w:color w:val="000000"/>
          <w:spacing w:val="5"/>
          <w:sz w:val="24"/>
          <w:szCs w:val="24"/>
          <w:lang w:eastAsia="it-IT"/>
        </w:rPr>
        <w:t xml:space="preserve">Giurisdizione civile, Giurisdizione </w:t>
      </w:r>
      <w:proofErr w:type="spellStart"/>
      <w:r w:rsidRPr="00E54AF5">
        <w:rPr>
          <w:rFonts w:ascii="Lato" w:eastAsia="Times New Roman" w:hAnsi="Lato" w:cs="Times New Roman"/>
          <w:color w:val="000000"/>
          <w:spacing w:val="5"/>
          <w:sz w:val="24"/>
          <w:szCs w:val="24"/>
          <w:lang w:eastAsia="it-IT"/>
        </w:rPr>
        <w:t>ordINaria</w:t>
      </w:r>
      <w:proofErr w:type="spellEnd"/>
      <w:r w:rsidRPr="00E54AF5">
        <w:rPr>
          <w:rFonts w:ascii="Lato" w:eastAsia="Times New Roman" w:hAnsi="Lato" w:cs="Times New Roman"/>
          <w:color w:val="000000"/>
          <w:spacing w:val="5"/>
          <w:sz w:val="24"/>
          <w:szCs w:val="24"/>
          <w:lang w:eastAsia="it-IT"/>
        </w:rPr>
        <w:t xml:space="preserve"> o </w:t>
      </w:r>
      <w:proofErr w:type="spellStart"/>
      <w:r w:rsidRPr="00E54AF5">
        <w:rPr>
          <w:rFonts w:ascii="Lato" w:eastAsia="Times New Roman" w:hAnsi="Lato" w:cs="Times New Roman"/>
          <w:color w:val="000000"/>
          <w:spacing w:val="5"/>
          <w:sz w:val="24"/>
          <w:szCs w:val="24"/>
          <w:lang w:eastAsia="it-IT"/>
        </w:rPr>
        <w:t>ammINistrativa</w:t>
      </w:r>
      <w:proofErr w:type="spellEnd"/>
      <w:r w:rsidRPr="00E54AF5">
        <w:rPr>
          <w:rFonts w:ascii="Lato" w:eastAsia="Times New Roman" w:hAnsi="Lato" w:cs="Times New Roman"/>
          <w:color w:val="000000"/>
          <w:spacing w:val="5"/>
          <w:sz w:val="24"/>
          <w:szCs w:val="24"/>
          <w:lang w:eastAsia="it-IT"/>
        </w:rPr>
        <w:t>, Società IN HOUSE, Assunzione di personale,</w:t>
      </w:r>
    </w:p>
    <w:p w14:paraId="72793D2A" w14:textId="77777777" w:rsidR="00E54AF5" w:rsidRPr="00E54AF5" w:rsidRDefault="00E54AF5" w:rsidP="00E54AF5">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54AF5">
        <w:rPr>
          <w:rFonts w:ascii="Lato" w:eastAsia="Times New Roman" w:hAnsi="Lato" w:cs="Times New Roman"/>
          <w:i/>
          <w:iCs/>
          <w:color w:val="000000"/>
          <w:spacing w:val="5"/>
          <w:sz w:val="20"/>
          <w:szCs w:val="20"/>
          <w:lang w:eastAsia="it-IT"/>
        </w:rPr>
        <w:t xml:space="preserve">Cass. civ., </w:t>
      </w:r>
      <w:proofErr w:type="spellStart"/>
      <w:r w:rsidRPr="00E54AF5">
        <w:rPr>
          <w:rFonts w:ascii="Lato" w:eastAsia="Times New Roman" w:hAnsi="Lato" w:cs="Times New Roman"/>
          <w:i/>
          <w:iCs/>
          <w:color w:val="000000"/>
          <w:spacing w:val="5"/>
          <w:sz w:val="20"/>
          <w:szCs w:val="20"/>
          <w:lang w:eastAsia="it-IT"/>
        </w:rPr>
        <w:t>ord</w:t>
      </w:r>
      <w:proofErr w:type="spellEnd"/>
      <w:r w:rsidRPr="00E54AF5">
        <w:rPr>
          <w:rFonts w:ascii="Lato" w:eastAsia="Times New Roman" w:hAnsi="Lato" w:cs="Times New Roman"/>
          <w:i/>
          <w:iCs/>
          <w:color w:val="000000"/>
          <w:spacing w:val="5"/>
          <w:sz w:val="20"/>
          <w:szCs w:val="20"/>
          <w:lang w:eastAsia="it-IT"/>
        </w:rPr>
        <w:t xml:space="preserve">. un., 3 luglio 2023, </w:t>
      </w:r>
      <w:proofErr w:type="gramStart"/>
      <w:r w:rsidRPr="00E54AF5">
        <w:rPr>
          <w:rFonts w:ascii="Lato" w:eastAsia="Times New Roman" w:hAnsi="Lato" w:cs="Times New Roman"/>
          <w:i/>
          <w:iCs/>
          <w:color w:val="000000"/>
          <w:spacing w:val="5"/>
          <w:sz w:val="20"/>
          <w:szCs w:val="20"/>
          <w:lang w:eastAsia="it-IT"/>
        </w:rPr>
        <w:t>18749 ,</w:t>
      </w:r>
      <w:proofErr w:type="gramEnd"/>
      <w:r w:rsidRPr="00E54AF5">
        <w:rPr>
          <w:rFonts w:ascii="Lato" w:eastAsia="Times New Roman" w:hAnsi="Lato" w:cs="Times New Roman"/>
          <w:i/>
          <w:iCs/>
          <w:color w:val="000000"/>
          <w:spacing w:val="5"/>
          <w:sz w:val="20"/>
          <w:szCs w:val="20"/>
          <w:lang w:eastAsia="it-IT"/>
        </w:rPr>
        <w:t xml:space="preserve"> D. c. S.</w:t>
      </w:r>
    </w:p>
    <w:p w14:paraId="302C688C" w14:textId="77777777" w:rsidR="00E54AF5" w:rsidRPr="00E54AF5" w:rsidRDefault="00E54AF5" w:rsidP="00E54AF5">
      <w:pPr>
        <w:shd w:val="clear" w:color="auto" w:fill="FFFFFF"/>
        <w:spacing w:after="0" w:line="240" w:lineRule="auto"/>
        <w:jc w:val="both"/>
        <w:rPr>
          <w:rFonts w:ascii="Lato" w:eastAsia="Times New Roman" w:hAnsi="Lato" w:cs="Times New Roman"/>
          <w:color w:val="000000"/>
          <w:spacing w:val="5"/>
          <w:sz w:val="24"/>
          <w:szCs w:val="24"/>
          <w:lang w:eastAsia="it-IT"/>
        </w:rPr>
      </w:pPr>
      <w:r w:rsidRPr="00E54AF5">
        <w:rPr>
          <w:rFonts w:ascii="Lato" w:eastAsia="Times New Roman" w:hAnsi="Lato" w:cs="Times New Roman"/>
          <w:color w:val="000000"/>
          <w:spacing w:val="5"/>
          <w:sz w:val="24"/>
          <w:szCs w:val="24"/>
          <w:lang w:eastAsia="it-IT"/>
        </w:rPr>
        <w:t xml:space="preserve">IN tema di società cd. "IN HOUSE PROVIDING", le procedure seguite per l'assunzione del personale dipendente sono sottoposte alla giurisdizione del giudice </w:t>
      </w:r>
      <w:proofErr w:type="spellStart"/>
      <w:r w:rsidRPr="00E54AF5">
        <w:rPr>
          <w:rFonts w:ascii="Lato" w:eastAsia="Times New Roman" w:hAnsi="Lato" w:cs="Times New Roman"/>
          <w:color w:val="000000"/>
          <w:spacing w:val="5"/>
          <w:sz w:val="24"/>
          <w:szCs w:val="24"/>
          <w:lang w:eastAsia="it-IT"/>
        </w:rPr>
        <w:t>ordINario</w:t>
      </w:r>
      <w:proofErr w:type="spellEnd"/>
      <w:r w:rsidRPr="00E54AF5">
        <w:rPr>
          <w:rFonts w:ascii="Lato" w:eastAsia="Times New Roman" w:hAnsi="Lato" w:cs="Times New Roman"/>
          <w:color w:val="000000"/>
          <w:spacing w:val="5"/>
          <w:sz w:val="24"/>
          <w:szCs w:val="24"/>
          <w:lang w:eastAsia="it-IT"/>
        </w:rPr>
        <w:t xml:space="preserve">, e non del giudice </w:t>
      </w:r>
      <w:proofErr w:type="spellStart"/>
      <w:r w:rsidRPr="00E54AF5">
        <w:rPr>
          <w:rFonts w:ascii="Lato" w:eastAsia="Times New Roman" w:hAnsi="Lato" w:cs="Times New Roman"/>
          <w:color w:val="000000"/>
          <w:spacing w:val="5"/>
          <w:sz w:val="24"/>
          <w:szCs w:val="24"/>
          <w:lang w:eastAsia="it-IT"/>
        </w:rPr>
        <w:t>ammINistrativo</w:t>
      </w:r>
      <w:proofErr w:type="spellEnd"/>
      <w:r w:rsidRPr="00E54AF5">
        <w:rPr>
          <w:rFonts w:ascii="Lato" w:eastAsia="Times New Roman" w:hAnsi="Lato" w:cs="Times New Roman"/>
          <w:color w:val="000000"/>
          <w:spacing w:val="5"/>
          <w:sz w:val="24"/>
          <w:szCs w:val="24"/>
          <w:lang w:eastAsia="it-IT"/>
        </w:rPr>
        <w:t xml:space="preserve">, IN quanto alla scelta del modello privatistico per il perseguimento delle </w:t>
      </w:r>
      <w:proofErr w:type="spellStart"/>
      <w:r w:rsidRPr="00E54AF5">
        <w:rPr>
          <w:rFonts w:ascii="Lato" w:eastAsia="Times New Roman" w:hAnsi="Lato" w:cs="Times New Roman"/>
          <w:color w:val="000000"/>
          <w:spacing w:val="5"/>
          <w:sz w:val="24"/>
          <w:szCs w:val="24"/>
          <w:lang w:eastAsia="it-IT"/>
        </w:rPr>
        <w:t>fINalità</w:t>
      </w:r>
      <w:proofErr w:type="spellEnd"/>
      <w:r w:rsidRPr="00E54AF5">
        <w:rPr>
          <w:rFonts w:ascii="Lato" w:eastAsia="Times New Roman" w:hAnsi="Lato" w:cs="Times New Roman"/>
          <w:color w:val="000000"/>
          <w:spacing w:val="5"/>
          <w:sz w:val="24"/>
          <w:szCs w:val="24"/>
          <w:lang w:eastAsia="it-IT"/>
        </w:rPr>
        <w:t xml:space="preserve"> di tali società consegue l'esclusione dell'obbligo di adottare il regime del pubblico concorso per il reclutamento dei dipendenti, trovando, </w:t>
      </w:r>
      <w:proofErr w:type="spellStart"/>
      <w:r w:rsidRPr="00E54AF5">
        <w:rPr>
          <w:rFonts w:ascii="Lato" w:eastAsia="Times New Roman" w:hAnsi="Lato" w:cs="Times New Roman"/>
          <w:color w:val="000000"/>
          <w:spacing w:val="5"/>
          <w:sz w:val="24"/>
          <w:szCs w:val="24"/>
          <w:lang w:eastAsia="it-IT"/>
        </w:rPr>
        <w:t>INvece</w:t>
      </w:r>
      <w:proofErr w:type="spellEnd"/>
      <w:r w:rsidRPr="00E54AF5">
        <w:rPr>
          <w:rFonts w:ascii="Lato" w:eastAsia="Times New Roman" w:hAnsi="Lato" w:cs="Times New Roman"/>
          <w:color w:val="000000"/>
          <w:spacing w:val="5"/>
          <w:sz w:val="24"/>
          <w:szCs w:val="24"/>
          <w:lang w:eastAsia="it-IT"/>
        </w:rPr>
        <w:t xml:space="preserve">, applicazione le regole di cui all'art. 18 del </w:t>
      </w:r>
      <w:proofErr w:type="spellStart"/>
      <w:r w:rsidRPr="00E54AF5">
        <w:rPr>
          <w:rFonts w:ascii="Lato" w:eastAsia="Times New Roman" w:hAnsi="Lato" w:cs="Times New Roman"/>
          <w:color w:val="000000"/>
          <w:spacing w:val="5"/>
          <w:sz w:val="24"/>
          <w:szCs w:val="24"/>
          <w:lang w:eastAsia="it-IT"/>
        </w:rPr>
        <w:t>d.l.</w:t>
      </w:r>
      <w:proofErr w:type="spellEnd"/>
      <w:r w:rsidRPr="00E54AF5">
        <w:rPr>
          <w:rFonts w:ascii="Lato" w:eastAsia="Times New Roman" w:hAnsi="Lato" w:cs="Times New Roman"/>
          <w:color w:val="000000"/>
          <w:spacing w:val="5"/>
          <w:sz w:val="24"/>
          <w:szCs w:val="24"/>
          <w:lang w:eastAsia="it-IT"/>
        </w:rPr>
        <w:t xml:space="preserve"> n. 112 del 2008, </w:t>
      </w:r>
      <w:proofErr w:type="spellStart"/>
      <w:r w:rsidRPr="00E54AF5">
        <w:rPr>
          <w:rFonts w:ascii="Lato" w:eastAsia="Times New Roman" w:hAnsi="Lato" w:cs="Times New Roman"/>
          <w:color w:val="000000"/>
          <w:spacing w:val="5"/>
          <w:sz w:val="24"/>
          <w:szCs w:val="24"/>
          <w:lang w:eastAsia="it-IT"/>
        </w:rPr>
        <w:t>conv</w:t>
      </w:r>
      <w:proofErr w:type="spellEnd"/>
      <w:r w:rsidRPr="00E54AF5">
        <w:rPr>
          <w:rFonts w:ascii="Lato" w:eastAsia="Times New Roman" w:hAnsi="Lato" w:cs="Times New Roman"/>
          <w:color w:val="000000"/>
          <w:spacing w:val="5"/>
          <w:sz w:val="24"/>
          <w:szCs w:val="24"/>
          <w:lang w:eastAsia="it-IT"/>
        </w:rPr>
        <w:t xml:space="preserve">., con </w:t>
      </w:r>
      <w:proofErr w:type="spellStart"/>
      <w:r w:rsidRPr="00E54AF5">
        <w:rPr>
          <w:rFonts w:ascii="Lato" w:eastAsia="Times New Roman" w:hAnsi="Lato" w:cs="Times New Roman"/>
          <w:color w:val="000000"/>
          <w:spacing w:val="5"/>
          <w:sz w:val="24"/>
          <w:szCs w:val="24"/>
          <w:lang w:eastAsia="it-IT"/>
        </w:rPr>
        <w:t>modif</w:t>
      </w:r>
      <w:proofErr w:type="spellEnd"/>
      <w:r w:rsidRPr="00E54AF5">
        <w:rPr>
          <w:rFonts w:ascii="Lato" w:eastAsia="Times New Roman" w:hAnsi="Lato" w:cs="Times New Roman"/>
          <w:color w:val="000000"/>
          <w:spacing w:val="5"/>
          <w:sz w:val="24"/>
          <w:szCs w:val="24"/>
          <w:lang w:eastAsia="it-IT"/>
        </w:rPr>
        <w:t>., dalla l. n. 133 del 2008.</w:t>
      </w:r>
    </w:p>
    <w:p w14:paraId="09C25E9F" w14:textId="77777777" w:rsidR="00E54AF5" w:rsidRDefault="00E54AF5"/>
    <w:p w14:paraId="22770C9B" w14:textId="77777777" w:rsidR="00B34B36" w:rsidRDefault="00B34B36"/>
    <w:p w14:paraId="4E4F8827" w14:textId="77777777" w:rsidR="00B34B36" w:rsidRPr="00B34B36" w:rsidRDefault="00B34B36" w:rsidP="00B34B36">
      <w:pPr>
        <w:shd w:val="clear" w:color="auto" w:fill="FFFFFF"/>
        <w:spacing w:after="0" w:line="270" w:lineRule="atLeast"/>
        <w:jc w:val="both"/>
        <w:textAlignment w:val="top"/>
        <w:outlineLvl w:val="1"/>
        <w:rPr>
          <w:rFonts w:ascii="Lato" w:eastAsia="Times New Roman" w:hAnsi="Lato" w:cs="Times New Roman"/>
          <w:b/>
          <w:bCs/>
          <w:color w:val="252525"/>
          <w:spacing w:val="5"/>
          <w:sz w:val="24"/>
          <w:szCs w:val="24"/>
          <w:lang w:val="en-GB" w:eastAsia="it-IT"/>
        </w:rPr>
      </w:pPr>
      <w:hyperlink r:id="rId128" w:history="1">
        <w:r w:rsidRPr="00B34B36">
          <w:rPr>
            <w:rFonts w:ascii="Lato" w:eastAsia="Times New Roman" w:hAnsi="Lato" w:cs="Times New Roman"/>
            <w:b/>
            <w:bCs/>
            <w:color w:val="0000FF"/>
            <w:spacing w:val="5"/>
            <w:sz w:val="24"/>
            <w:szCs w:val="24"/>
            <w:u w:val="single"/>
            <w:lang w:val="en-GB" w:eastAsia="it-IT"/>
          </w:rPr>
          <w:t xml:space="preserve">3 - Cass. civ., sez. trib., sent., 3 </w:t>
        </w:r>
        <w:proofErr w:type="spellStart"/>
        <w:r w:rsidRPr="00B34B36">
          <w:rPr>
            <w:rFonts w:ascii="Lato" w:eastAsia="Times New Roman" w:hAnsi="Lato" w:cs="Times New Roman"/>
            <w:b/>
            <w:bCs/>
            <w:color w:val="0000FF"/>
            <w:spacing w:val="5"/>
            <w:sz w:val="24"/>
            <w:szCs w:val="24"/>
            <w:u w:val="single"/>
            <w:lang w:val="en-GB" w:eastAsia="it-IT"/>
          </w:rPr>
          <w:t>aprile</w:t>
        </w:r>
        <w:proofErr w:type="spellEnd"/>
        <w:r w:rsidRPr="00B34B36">
          <w:rPr>
            <w:rFonts w:ascii="Lato" w:eastAsia="Times New Roman" w:hAnsi="Lato" w:cs="Times New Roman"/>
            <w:b/>
            <w:bCs/>
            <w:color w:val="0000FF"/>
            <w:spacing w:val="5"/>
            <w:sz w:val="24"/>
            <w:szCs w:val="24"/>
            <w:u w:val="single"/>
            <w:lang w:val="en-GB" w:eastAsia="it-IT"/>
          </w:rPr>
          <w:t xml:space="preserve"> 2023 n. 9199 </w:t>
        </w:r>
      </w:hyperlink>
      <w:r w:rsidRPr="00B34B36">
        <w:rPr>
          <w:rFonts w:ascii="Lato" w:eastAsia="Times New Roman" w:hAnsi="Lato" w:cs="Times New Roman"/>
          <w:b/>
          <w:bCs/>
          <w:color w:val="252525"/>
          <w:spacing w:val="5"/>
          <w:sz w:val="24"/>
          <w:szCs w:val="24"/>
          <w:lang w:val="en-GB" w:eastAsia="it-IT"/>
        </w:rPr>
        <w:t> </w:t>
      </w:r>
    </w:p>
    <w:p w14:paraId="5C9B6859" w14:textId="77777777" w:rsidR="00B34B36" w:rsidRPr="00B34B36" w:rsidRDefault="00B34B36" w:rsidP="00B34B36">
      <w:pPr>
        <w:shd w:val="clear" w:color="auto" w:fill="FFFFFF"/>
        <w:spacing w:after="0" w:line="240" w:lineRule="auto"/>
        <w:jc w:val="both"/>
        <w:rPr>
          <w:rFonts w:ascii="Lato" w:eastAsia="Times New Roman" w:hAnsi="Lato" w:cs="Times New Roman"/>
          <w:color w:val="000000"/>
          <w:spacing w:val="5"/>
          <w:sz w:val="24"/>
          <w:szCs w:val="24"/>
          <w:lang w:eastAsia="it-IT"/>
        </w:rPr>
      </w:pPr>
      <w:r w:rsidRPr="00B34B36">
        <w:rPr>
          <w:rFonts w:ascii="Lato" w:eastAsia="Times New Roman" w:hAnsi="Lato" w:cs="Times New Roman"/>
          <w:color w:val="000000"/>
          <w:spacing w:val="5"/>
          <w:sz w:val="24"/>
          <w:szCs w:val="24"/>
          <w:lang w:eastAsia="it-IT"/>
        </w:rPr>
        <w:t>Le società in house </w:t>
      </w:r>
      <w:proofErr w:type="spellStart"/>
      <w:r w:rsidRPr="00B34B36">
        <w:rPr>
          <w:rFonts w:ascii="Lato" w:eastAsia="Times New Roman" w:hAnsi="Lato" w:cs="Times New Roman"/>
          <w:color w:val="000000"/>
          <w:spacing w:val="5"/>
          <w:sz w:val="24"/>
          <w:szCs w:val="24"/>
          <w:lang w:eastAsia="it-IT"/>
        </w:rPr>
        <w:t>providing</w:t>
      </w:r>
      <w:proofErr w:type="spellEnd"/>
      <w:r w:rsidRPr="00B34B36">
        <w:rPr>
          <w:rFonts w:ascii="Lato" w:eastAsia="Times New Roman" w:hAnsi="Lato" w:cs="Times New Roman"/>
          <w:color w:val="000000"/>
          <w:spacing w:val="5"/>
          <w:sz w:val="24"/>
          <w:szCs w:val="24"/>
          <w:lang w:eastAsia="it-IT"/>
        </w:rPr>
        <w:t xml:space="preserve"> sono organismi aventi un’autonoma soggettività giuridica rispetto all’ente di appartenenza che non possono essere assimilate agli organismi di diritto pubblico e le operazioni poste in essere dalle predette società, in quanto costituite </w:t>
      </w:r>
      <w:r w:rsidRPr="00B34B36">
        <w:rPr>
          <w:rFonts w:ascii="Lato" w:eastAsia="Times New Roman" w:hAnsi="Lato" w:cs="Times New Roman"/>
          <w:color w:val="000000"/>
          <w:spacing w:val="5"/>
          <w:sz w:val="24"/>
          <w:szCs w:val="24"/>
          <w:lang w:eastAsia="it-IT"/>
        </w:rPr>
        <w:lastRenderedPageBreak/>
        <w:t>in forma di società di capitali, si considerano effettuate in ogni caso nell’esercizio d’impresa, anche se riconducibili alle funzioni istituzionali dell’ente di appartenenza.</w:t>
      </w:r>
    </w:p>
    <w:p w14:paraId="39159801" w14:textId="77777777" w:rsidR="00B34B36" w:rsidRDefault="00B34B36"/>
    <w:p w14:paraId="7C309AF7" w14:textId="77777777" w:rsidR="003331C9" w:rsidRPr="003331C9" w:rsidRDefault="003331C9" w:rsidP="003331C9">
      <w:pPr>
        <w:spacing w:after="0" w:line="240" w:lineRule="auto"/>
        <w:outlineLvl w:val="0"/>
        <w:rPr>
          <w:rFonts w:ascii="Lato" w:eastAsia="Times New Roman" w:hAnsi="Lato" w:cs="Times New Roman"/>
          <w:color w:val="3E4249"/>
          <w:kern w:val="36"/>
          <w:sz w:val="45"/>
          <w:szCs w:val="45"/>
          <w:lang w:eastAsia="it-IT"/>
        </w:rPr>
      </w:pPr>
      <w:r w:rsidRPr="003331C9">
        <w:rPr>
          <w:rFonts w:ascii="Lato" w:eastAsia="Times New Roman" w:hAnsi="Lato" w:cs="Times New Roman"/>
          <w:color w:val="3E4249"/>
          <w:kern w:val="36"/>
          <w:sz w:val="45"/>
          <w:szCs w:val="45"/>
          <w:lang w:eastAsia="it-IT"/>
        </w:rPr>
        <w:t xml:space="preserve">Corte di cassazione civile, sez. un., </w:t>
      </w:r>
      <w:proofErr w:type="spellStart"/>
      <w:r w:rsidRPr="003331C9">
        <w:rPr>
          <w:rFonts w:ascii="Lato" w:eastAsia="Times New Roman" w:hAnsi="Lato" w:cs="Times New Roman"/>
          <w:color w:val="3E4249"/>
          <w:kern w:val="36"/>
          <w:sz w:val="45"/>
          <w:szCs w:val="45"/>
          <w:lang w:eastAsia="it-IT"/>
        </w:rPr>
        <w:t>sent</w:t>
      </w:r>
      <w:proofErr w:type="spellEnd"/>
      <w:r w:rsidRPr="003331C9">
        <w:rPr>
          <w:rFonts w:ascii="Lato" w:eastAsia="Times New Roman" w:hAnsi="Lato" w:cs="Times New Roman"/>
          <w:color w:val="3E4249"/>
          <w:kern w:val="36"/>
          <w:sz w:val="45"/>
          <w:szCs w:val="45"/>
          <w:lang w:eastAsia="it-IT"/>
        </w:rPr>
        <w:t>., 28 giugno 2022 n. 20632</w:t>
      </w:r>
    </w:p>
    <w:p w14:paraId="6FB6000C" w14:textId="77777777" w:rsidR="003331C9" w:rsidRPr="003331C9" w:rsidRDefault="003331C9" w:rsidP="003331C9">
      <w:pPr>
        <w:spacing w:after="0" w:line="240" w:lineRule="auto"/>
        <w:rPr>
          <w:rFonts w:ascii="Times New Roman" w:eastAsia="Times New Roman" w:hAnsi="Times New Roman" w:cs="Times New Roman"/>
          <w:sz w:val="24"/>
          <w:szCs w:val="24"/>
          <w:lang w:eastAsia="it-IT"/>
        </w:rPr>
      </w:pPr>
      <w:r w:rsidRPr="003331C9">
        <w:rPr>
          <w:rFonts w:ascii="Times New Roman" w:eastAsia="Times New Roman" w:hAnsi="Times New Roman" w:cs="Times New Roman"/>
          <w:noProof/>
          <w:color w:val="005797"/>
          <w:sz w:val="24"/>
          <w:szCs w:val="24"/>
          <w:lang w:eastAsia="it-IT"/>
        </w:rPr>
        <w:drawing>
          <wp:inline distT="0" distB="0" distL="0" distR="0" wp14:anchorId="4896CF99" wp14:editId="7543822E">
            <wp:extent cx="160655" cy="160655"/>
            <wp:effectExtent l="0" t="0" r="0" b="0"/>
            <wp:docPr id="14" name="Immagine 8">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3331C9">
        <w:rPr>
          <w:rFonts w:ascii="Times New Roman" w:eastAsia="Times New Roman" w:hAnsi="Times New Roman" w:cs="Times New Roman"/>
          <w:sz w:val="24"/>
          <w:szCs w:val="24"/>
          <w:lang w:eastAsia="it-IT"/>
        </w:rPr>
        <w:t>    </w:t>
      </w:r>
    </w:p>
    <w:p w14:paraId="342CB230" w14:textId="77777777" w:rsidR="003331C9" w:rsidRPr="003331C9" w:rsidRDefault="003331C9" w:rsidP="003331C9">
      <w:pPr>
        <w:pBdr>
          <w:top w:val="single" w:sz="6" w:space="0" w:color="auto"/>
          <w:left w:val="single" w:sz="6" w:space="8" w:color="auto"/>
          <w:bottom w:val="single" w:sz="6" w:space="0" w:color="auto"/>
          <w:right w:val="single" w:sz="6" w:space="8" w:color="auto"/>
        </w:pBdr>
        <w:spacing w:before="45" w:after="0" w:line="570" w:lineRule="atLeast"/>
        <w:outlineLvl w:val="4"/>
        <w:rPr>
          <w:rFonts w:ascii="Lato" w:eastAsia="Times New Roman" w:hAnsi="Lato" w:cs="Times New Roman"/>
          <w:b/>
          <w:bCs/>
          <w:color w:val="905CB8"/>
          <w:sz w:val="21"/>
          <w:szCs w:val="21"/>
          <w:lang w:eastAsia="it-IT"/>
        </w:rPr>
      </w:pPr>
      <w:r w:rsidRPr="003331C9">
        <w:rPr>
          <w:rFonts w:ascii="Lato" w:eastAsia="Times New Roman" w:hAnsi="Lato" w:cs="Times New Roman"/>
          <w:b/>
          <w:bCs/>
          <w:color w:val="905CB8"/>
          <w:sz w:val="21"/>
          <w:szCs w:val="21"/>
          <w:lang w:eastAsia="it-IT"/>
        </w:rPr>
        <w:t>GIURISPRUDENZA • SENTENZA</w:t>
      </w:r>
    </w:p>
    <w:p w14:paraId="31BCAF95" w14:textId="77777777" w:rsidR="003331C9" w:rsidRPr="003331C9" w:rsidRDefault="003331C9" w:rsidP="003331C9">
      <w:pPr>
        <w:spacing w:after="0" w:line="240" w:lineRule="auto"/>
        <w:rPr>
          <w:rFonts w:ascii="Times New Roman" w:eastAsia="Times New Roman" w:hAnsi="Times New Roman" w:cs="Times New Roman"/>
          <w:sz w:val="24"/>
          <w:szCs w:val="24"/>
          <w:lang w:eastAsia="it-IT"/>
        </w:rPr>
      </w:pPr>
    </w:p>
    <w:p w14:paraId="2EA8C04C" w14:textId="77777777" w:rsidR="003331C9" w:rsidRPr="003331C9" w:rsidRDefault="003331C9" w:rsidP="003331C9">
      <w:pPr>
        <w:spacing w:after="0" w:line="240" w:lineRule="auto"/>
        <w:rPr>
          <w:rFonts w:ascii="Times New Roman" w:eastAsia="Times New Roman" w:hAnsi="Times New Roman" w:cs="Times New Roman"/>
          <w:i/>
          <w:iCs/>
          <w:sz w:val="24"/>
          <w:szCs w:val="24"/>
          <w:lang w:eastAsia="it-IT"/>
        </w:rPr>
      </w:pPr>
      <w:hyperlink r:id="rId129" w:history="1">
        <w:r w:rsidRPr="003331C9">
          <w:rPr>
            <w:rFonts w:ascii="Times New Roman" w:eastAsia="Times New Roman" w:hAnsi="Times New Roman" w:cs="Times New Roman"/>
            <w:b/>
            <w:bCs/>
            <w:i/>
            <w:iCs/>
            <w:color w:val="FFFFFF"/>
            <w:sz w:val="24"/>
            <w:szCs w:val="24"/>
            <w:shd w:val="clear" w:color="auto" w:fill="FFA403"/>
            <w:lang w:eastAsia="it-IT"/>
          </w:rPr>
          <w:t>"responsabilità contabile e amministrativa"</w:t>
        </w:r>
      </w:hyperlink>
    </w:p>
    <w:p w14:paraId="1AE5DCEF" w14:textId="77777777" w:rsidR="003331C9" w:rsidRPr="003331C9" w:rsidRDefault="003331C9" w:rsidP="003331C9">
      <w:pPr>
        <w:spacing w:before="300" w:after="300" w:line="240" w:lineRule="auto"/>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pict w14:anchorId="74B74E3F">
          <v:rect id="_x0000_i1041" style="width:0;height:0" o:hralign="center" o:hrstd="t" o:hr="t" fillcolor="#a0a0a0" stroked="f"/>
        </w:pict>
      </w:r>
    </w:p>
    <w:p w14:paraId="7F596E93" w14:textId="77777777" w:rsidR="003331C9" w:rsidRPr="003331C9" w:rsidRDefault="003331C9" w:rsidP="003331C9">
      <w:pPr>
        <w:spacing w:after="0" w:line="240" w:lineRule="auto"/>
        <w:rPr>
          <w:rFonts w:ascii="Times New Roman" w:eastAsia="Times New Roman" w:hAnsi="Times New Roman" w:cs="Times New Roman"/>
          <w:i/>
          <w:iCs/>
          <w:sz w:val="24"/>
          <w:szCs w:val="24"/>
          <w:lang w:eastAsia="it-IT"/>
        </w:rPr>
      </w:pPr>
      <w:r w:rsidRPr="003331C9">
        <w:rPr>
          <w:rFonts w:ascii="Times New Roman" w:eastAsia="Times New Roman" w:hAnsi="Times New Roman" w:cs="Times New Roman"/>
          <w:i/>
          <w:iCs/>
          <w:sz w:val="24"/>
          <w:szCs w:val="24"/>
          <w:lang w:eastAsia="it-IT"/>
        </w:rPr>
        <w:t>Presidente Spirito Angelo; Estensore Graziosi Chiara; Ricorrente Omissis contro Omissis</w:t>
      </w:r>
    </w:p>
    <w:p w14:paraId="24F3EE9F" w14:textId="77777777" w:rsidR="003331C9" w:rsidRPr="003331C9" w:rsidRDefault="003331C9" w:rsidP="003331C9">
      <w:pPr>
        <w:spacing w:after="0" w:line="240" w:lineRule="auto"/>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br/>
      </w:r>
      <w:r w:rsidRPr="003331C9">
        <w:rPr>
          <w:rFonts w:ascii="Times New Roman" w:eastAsia="Times New Roman" w:hAnsi="Times New Roman" w:cs="Times New Roman"/>
          <w:sz w:val="24"/>
          <w:szCs w:val="24"/>
          <w:lang w:eastAsia="it-IT"/>
        </w:rPr>
        <w:br/>
      </w:r>
    </w:p>
    <w:p w14:paraId="3D160EEC" w14:textId="77777777" w:rsidR="003331C9" w:rsidRPr="003331C9" w:rsidRDefault="003331C9" w:rsidP="003331C9">
      <w:pPr>
        <w:spacing w:after="0" w:line="240" w:lineRule="auto"/>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responsabilità contabile e amministrativa</w:t>
      </w:r>
    </w:p>
    <w:p w14:paraId="12474050" w14:textId="77777777" w:rsidR="003331C9" w:rsidRPr="003331C9" w:rsidRDefault="003331C9" w:rsidP="003331C9">
      <w:pPr>
        <w:spacing w:after="0" w:line="240" w:lineRule="auto"/>
        <w:rPr>
          <w:rFonts w:ascii="Times New Roman" w:eastAsia="Times New Roman" w:hAnsi="Times New Roman" w:cs="Times New Roman"/>
          <w:sz w:val="24"/>
          <w:szCs w:val="24"/>
          <w:lang w:eastAsia="it-IT"/>
        </w:rPr>
      </w:pPr>
    </w:p>
    <w:p w14:paraId="527B08F7" w14:textId="77777777" w:rsidR="003331C9" w:rsidRPr="003331C9" w:rsidRDefault="003331C9" w:rsidP="003331C9">
      <w:pPr>
        <w:spacing w:after="0" w:line="240" w:lineRule="auto"/>
        <w:jc w:val="both"/>
        <w:rPr>
          <w:rFonts w:ascii="Times New Roman" w:eastAsia="Times New Roman" w:hAnsi="Times New Roman" w:cs="Times New Roman"/>
          <w:b/>
          <w:bCs/>
          <w:sz w:val="26"/>
          <w:szCs w:val="26"/>
          <w:lang w:eastAsia="it-IT"/>
        </w:rPr>
      </w:pPr>
      <w:r w:rsidRPr="003331C9">
        <w:rPr>
          <w:rFonts w:ascii="Times New Roman" w:eastAsia="Times New Roman" w:hAnsi="Times New Roman" w:cs="Times New Roman"/>
          <w:b/>
          <w:bCs/>
          <w:sz w:val="26"/>
          <w:szCs w:val="26"/>
          <w:lang w:eastAsia="it-IT"/>
        </w:rPr>
        <w:t>Svolgimento del processo</w:t>
      </w:r>
    </w:p>
    <w:p w14:paraId="5513C5A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1.1 Il Procuratore Regionale della Corte dei conti presso la Sezione Giurisdizionale della Corte dei conti della Basilicata conveniva davanti a detto giudice vari soggetti che nel periodo tra il 2010 e il 2014 avevano rivestito incarichi di revisione o amministrazione di Acquedotto Lucano S.p.A. - società costituita come integralmente partecipata dagli enti locali dell'Ambito Territoriale Ottimale (ATO) per la gestione del Servizio Idrico integrato della Regione Basilicata - perché fossero condannati a risarcire un danno erariale dell'importo di Euro 5.266.443 che avrebbero arrecato nel suddetto periodo per avere Acquedotto Lucano S.p.A. costituito una società - a propria esclusiva partecipazione - denominata Acquedotto Lucano Progettazione S.r.l. allo scopo che provvedesse alla progettazione e alla direzione di interventi di gestione delle risorse idriche di competenza di Acquedotto Lucano S.p.A..</w:t>
      </w:r>
    </w:p>
    <w:p w14:paraId="72922394"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La Corte dei conti, Sezione Giurisdizionale della Basilicata, con sentenza del 24 gennaio 2017, dichiarava il difetto di giurisdizione contabile, ritenendo sussistente la giurisdizione del giudice ordinario in quanto Acquedotto Lucano S.p.A. non sarebbe stata qualificabile società in house per mancanza del requisito del c.d. "controllo analogo".</w:t>
      </w:r>
    </w:p>
    <w:p w14:paraId="6B6BE06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1.2 Il Procuratore Regionale proponeva appello basato su unico motivo, con il quale sosteneva la sussistenza invece della giurisdizione contabile; si costituivano resistendo M.E.G.D., A.A., A.D., L.A., G.R., A.V., M.G., R.G. e </w:t>
      </w:r>
      <w:proofErr w:type="gramStart"/>
      <w:r w:rsidRPr="003331C9">
        <w:rPr>
          <w:rFonts w:ascii="Times New Roman" w:eastAsia="Times New Roman" w:hAnsi="Times New Roman" w:cs="Times New Roman"/>
          <w:sz w:val="24"/>
          <w:szCs w:val="24"/>
          <w:lang w:eastAsia="it-IT"/>
        </w:rPr>
        <w:t>S.G.P..</w:t>
      </w:r>
      <w:proofErr w:type="gramEnd"/>
    </w:p>
    <w:p w14:paraId="248C77C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La Corte dei conti, Sezione Giurisdizionale Centrale d'Appello, con sentenza del 28 novembre 2019 accoglieva l'impugnazione e per l'effetto rinviava la causa al primo giudice per la decisione sul merito e sulle spese.</w:t>
      </w:r>
    </w:p>
    <w:p w14:paraId="3BDCF014"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1.3.1 Ha presentato ricorso M.E.G.D., dando luogo così alla causa n. 12386/2020 R.G.; si è difeso con controricorso il Procuratore Generale presso la Corte dei conti.</w:t>
      </w:r>
    </w:p>
    <w:p w14:paraId="25F30BB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Hanno presentato ricorso incidentale adesivo al suddetto ricorso e al ricorso di A.A. - che ricorrendo avverso la medesima sentenza aveva frattanto avviato un'altra causa, la n. 14713/2020 R.G. di cui si dirà infra rispettivamente M.G., S.G.P. nonché, unitamente, G.R., A.D., A.V. e L.A.; il Procuratore Generale si è difeso con controricorso nei confronti di ciascuno dei ricorsi incidentali adesivi.</w:t>
      </w:r>
    </w:p>
    <w:p w14:paraId="7815BDF3"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1.3.2 Il suddetto ricorso proposto da M.E.G.D. come unico motivo denuncia, in riferimento all'</w:t>
      </w:r>
      <w:hyperlink r:id="rId130" w:history="1">
        <w:r w:rsidRPr="003331C9">
          <w:rPr>
            <w:rFonts w:ascii="Times New Roman" w:eastAsia="Times New Roman" w:hAnsi="Times New Roman" w:cs="Times New Roman"/>
            <w:b/>
            <w:bCs/>
            <w:color w:val="FFA403"/>
            <w:sz w:val="24"/>
            <w:szCs w:val="24"/>
            <w:lang w:eastAsia="it-IT"/>
          </w:rPr>
          <w:t>art. 360 comma 1, n. 1, c.p.c.</w:t>
        </w:r>
      </w:hyperlink>
      <w:r w:rsidRPr="003331C9">
        <w:rPr>
          <w:rFonts w:ascii="Times New Roman" w:eastAsia="Times New Roman" w:hAnsi="Times New Roman" w:cs="Times New Roman"/>
          <w:sz w:val="24"/>
          <w:szCs w:val="24"/>
          <w:lang w:eastAsia="it-IT"/>
        </w:rPr>
        <w:t xml:space="preserve">, violazione dei principi fondamentali riguardanti il riparto tra giurisdizione </w:t>
      </w:r>
      <w:r w:rsidRPr="003331C9">
        <w:rPr>
          <w:rFonts w:ascii="Times New Roman" w:eastAsia="Times New Roman" w:hAnsi="Times New Roman" w:cs="Times New Roman"/>
          <w:sz w:val="24"/>
          <w:szCs w:val="24"/>
          <w:lang w:eastAsia="it-IT"/>
        </w:rPr>
        <w:lastRenderedPageBreak/>
        <w:t>contabile e giurisdizione ordinaria, nonché violazione dell'</w:t>
      </w:r>
      <w:hyperlink r:id="rId131" w:history="1">
        <w:r w:rsidRPr="003331C9">
          <w:rPr>
            <w:rFonts w:ascii="Times New Roman" w:eastAsia="Times New Roman" w:hAnsi="Times New Roman" w:cs="Times New Roman"/>
            <w:b/>
            <w:bCs/>
            <w:color w:val="FFA403"/>
            <w:sz w:val="24"/>
            <w:szCs w:val="24"/>
            <w:lang w:eastAsia="it-IT"/>
          </w:rPr>
          <w:t>art. 1, D.L.vo 26 agosto 2016, n. 174</w:t>
        </w:r>
      </w:hyperlink>
      <w:r w:rsidRPr="003331C9">
        <w:rPr>
          <w:rFonts w:ascii="Times New Roman" w:eastAsia="Times New Roman" w:hAnsi="Times New Roman" w:cs="Times New Roman"/>
          <w:sz w:val="24"/>
          <w:szCs w:val="24"/>
          <w:lang w:eastAsia="it-IT"/>
        </w:rPr>
        <w:t>, recante l'approvazione del Codice della giustizia contabile.</w:t>
      </w:r>
    </w:p>
    <w:p w14:paraId="75251C3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Osserva il ricorrente che il presupposto della giurisdizione contabile è che la società sia in house e quindi sia un soggetto sostanzialmente, e per vari aspetti anche formalmente, indistinto dalla controllante amministrazione pubblica. La verifica dei requisiti affinché la società sia in house deve poi svolgersi, come insegna la giurisprudenza di questa Suprema Corte (si invocano S.U. 21 giugno 2019 n. 16641 e S.U. 11 settembre 2019 n. 22712) in riferimento alla normativa e allo Statuto vigente all'epoca in cui sarebbe stato commesso il fatto illecito, occorrendo comunque tutti i requisiti affinché sussista una società "in house </w:t>
      </w:r>
      <w:proofErr w:type="spellStart"/>
      <w:r w:rsidRPr="003331C9">
        <w:rPr>
          <w:rFonts w:ascii="Times New Roman" w:eastAsia="Times New Roman" w:hAnsi="Times New Roman" w:cs="Times New Roman"/>
          <w:sz w:val="24"/>
          <w:szCs w:val="24"/>
          <w:lang w:eastAsia="it-IT"/>
        </w:rPr>
        <w:t>providing</w:t>
      </w:r>
      <w:proofErr w:type="spellEnd"/>
      <w:r w:rsidRPr="003331C9">
        <w:rPr>
          <w:rFonts w:ascii="Times New Roman" w:eastAsia="Times New Roman" w:hAnsi="Times New Roman" w:cs="Times New Roman"/>
          <w:sz w:val="24"/>
          <w:szCs w:val="24"/>
          <w:lang w:eastAsia="it-IT"/>
        </w:rPr>
        <w:t>": i quali requisiti devono "risultare da precise disposizioni statutarie in vigore all'epoca", essendo "essenziale, anche se l'ente privato societario rimane pur sempre centro di imputazione di rapporti e di posizioni giuridiche soggettive diverso dall'ente partecipante..., che siano resi manifesti nei rapporti interni ed esterni il carattere istituzionalmente servente della società in house e la sua fisionomia di mera articolazione della P.A. da cui promana, in contrapposizione a quella di soggetto giuridico esterno e autonomo della P.A.". Pertanto la società sarebbe in house soltanto qualora sussistano forme di controllo dei soci analogo a quello che compiono gli enti pubblici sui propri uffici.</w:t>
      </w:r>
    </w:p>
    <w:p w14:paraId="2BB9783A"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Il giudice d'appello per Acquedotto Lucano S.p.A. avrebbe invece potuto rilevare unicamente che l'assemblea sociale ne nomina gli amministratori come in ogni assemblea dei soci: </w:t>
      </w:r>
      <w:hyperlink r:id="rId132" w:history="1">
        <w:r w:rsidRPr="003331C9">
          <w:rPr>
            <w:rFonts w:ascii="Times New Roman" w:eastAsia="Times New Roman" w:hAnsi="Times New Roman" w:cs="Times New Roman"/>
            <w:b/>
            <w:bCs/>
            <w:color w:val="FFA403"/>
            <w:sz w:val="24"/>
            <w:szCs w:val="24"/>
            <w:lang w:eastAsia="it-IT"/>
          </w:rPr>
          <w:t>art. 2364 c.c.</w:t>
        </w:r>
      </w:hyperlink>
      <w:r w:rsidRPr="003331C9">
        <w:rPr>
          <w:rFonts w:ascii="Times New Roman" w:eastAsia="Times New Roman" w:hAnsi="Times New Roman" w:cs="Times New Roman"/>
          <w:sz w:val="24"/>
          <w:szCs w:val="24"/>
          <w:lang w:eastAsia="it-IT"/>
        </w:rPr>
        <w:t> - e ne deve autorizzare le scelte fondamentali - cioè atti programmatori, stipulazione di convenzioni con l'Ente d'ambito ottimale e investimenti superiori a un milione di Euro -, a ciò aggiungendosi che "lo Statuto rinvia alle leggi per la disciplina residuale". Tutto questo però non costituirebbe un controllo analogo a quello, appunto, che una P.A. ha il potere di compiere sui propri uffici, ovvero il controllo per cui l'ente ha "incombenza" su ogni atto per cui ritiene necessario esercitarlo, "potendone determinare i contenuti, annullarli, preventivamente autorizzarli". Al contrario, nel caso in esame non agli enti controllanti, bensì all'assemblea sociale spettano le scelte che la Corte dei conti definisce fondamentali, ma che sarebbero invece di un "livello generalissimo" (la programmazione delle attività) o riguardanti investimenti superiori ad un importo "molto elevato", e non anche ad ogni spesa. Ciò non distinguerebbe l'assemblea di Acquedotto Lucano S.p.A. da ogni assemblea di società per azioni, cui lo Statuto riserva ai sensi dell'</w:t>
      </w:r>
      <w:hyperlink r:id="rId133" w:history="1">
        <w:r w:rsidRPr="003331C9">
          <w:rPr>
            <w:rFonts w:ascii="Times New Roman" w:eastAsia="Times New Roman" w:hAnsi="Times New Roman" w:cs="Times New Roman"/>
            <w:b/>
            <w:bCs/>
            <w:color w:val="FFA403"/>
            <w:sz w:val="24"/>
            <w:szCs w:val="24"/>
            <w:lang w:eastAsia="it-IT"/>
          </w:rPr>
          <w:t>art. 2364 c.c.</w:t>
        </w:r>
      </w:hyperlink>
      <w:r w:rsidRPr="003331C9">
        <w:rPr>
          <w:rFonts w:ascii="Times New Roman" w:eastAsia="Times New Roman" w:hAnsi="Times New Roman" w:cs="Times New Roman"/>
          <w:sz w:val="24"/>
          <w:szCs w:val="24"/>
          <w:lang w:eastAsia="it-IT"/>
        </w:rPr>
        <w:t> "taluni atti aggiuntivi"; quindi non costituirebbe "una generalizzata supervisione sulla vita dell'ente controllato".</w:t>
      </w:r>
    </w:p>
    <w:p w14:paraId="05460CBC"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Nello Statuto di Acquedotto Lucano S.p.A. non sarebbe previsto un distinto potere di controllo e nessuna delle speciali prerogative già all'epoca delineate dagli </w:t>
      </w:r>
      <w:hyperlink r:id="rId134" w:history="1">
        <w:r w:rsidRPr="003331C9">
          <w:rPr>
            <w:rFonts w:ascii="Times New Roman" w:eastAsia="Times New Roman" w:hAnsi="Times New Roman" w:cs="Times New Roman"/>
            <w:b/>
            <w:bCs/>
            <w:color w:val="FFA403"/>
            <w:sz w:val="24"/>
            <w:szCs w:val="24"/>
            <w:lang w:eastAsia="it-IT"/>
          </w:rPr>
          <w:t>artt. 2449 ss. c.c.</w:t>
        </w:r>
      </w:hyperlink>
      <w:r w:rsidRPr="003331C9">
        <w:rPr>
          <w:rFonts w:ascii="Times New Roman" w:eastAsia="Times New Roman" w:hAnsi="Times New Roman" w:cs="Times New Roman"/>
          <w:sz w:val="24"/>
          <w:szCs w:val="24"/>
          <w:lang w:eastAsia="it-IT"/>
        </w:rPr>
        <w:t> per le società partecipate dallo Stato o da enti pubblici in ordine alla designazione dei consiglieri di amministrazione e dei sindaci; e null'altro sarebbe stabilito per gli enti controllanti. Nello Statuto non si rinverrebbero né la nomina di organi di gestione della società né la preventiva autorizzazione degli enti controllanti sull'attività della società o forme particolari di ispezioni e di comunicazione informativa. La Corte dei conti pertanto avrebbe fondato la pretesa esistenza del controllo analogo su dati statutari che descrivono l'ordinaria organizzazione di una società; e gli "sporadici interventi" sulla programmazione dei maggiori investimenti sarebbero conferiti all'assemblea dei soci, non agli enti controllanti.</w:t>
      </w:r>
    </w:p>
    <w:p w14:paraId="6B633C98"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Lo Statuto d'altronde non prevederebbe "adeguati flussi informativi" a favore degli enti controllanti, né la facoltà di questi di accedere ai dati della società "in forme prestabilite e penetranti". Sarebbe inattuabile il controllo analogo senza la "correlata possibilità d'imporre la comunicazione di dati continua e completa" e tantomeno senza la possibilità di imporre la trasmissione di tali dati "in caso di omissioni riscontrate o sospettate".</w:t>
      </w:r>
    </w:p>
    <w:p w14:paraId="59188B2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Si trascrivono poi due articoli dello Statuto per evidenziare come il consiglio di amministrazione godrebbe dei "più ampi poteri per la gestione ordinaria e straordinaria" (art. 20), oltre alle autorizzazioni riservate all'assemblea ordinaria (art. 15), per desumerne che l'attività del consiglio di amministrazione non subirebbe "alcun limite nei controlli degli enti soci" neppure su quanto programmato dall'assemblea - e sarebbe un "organo gestionale nel più pieno dei suoi poteri operativi".</w:t>
      </w:r>
    </w:p>
    <w:p w14:paraId="1DA03636"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lastRenderedPageBreak/>
        <w:t>Pertanto gli enti soci non governerebbero Acquedotto Lucano S.p.A., al cui organo di amministrazione si consentirebbero pure la fusione con altri soggetti e "le ulteriori modalità di trasformazione codicistica": si tratterebbe, in conclusione, di una società per azioni come configurata dalla normativa del c.c., "e quindi sostanzialmente sovrana delle proprie decisioni, senza... alcuna qualificante interferenza, in termini di controllo o di formazione della volontà" consentita agli enti pubblici soci.</w:t>
      </w:r>
    </w:p>
    <w:p w14:paraId="264C689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1.4 Il ricorso adesivo di M.G. - che si presenta come adesivo non solo a quello M., ma pure a quello A. - non presenta formali rubriche per le sue censure. in riferimento comunque alla determinazione della giurisdizione - evidentemente aderendo all'unico motivo che denuncia l'erronea identificazione della giurisdizione come contabile in entrambi i ricorsi cui aderisce - prende le mosse dal rilevare che nel caso in esame sussistono "due fondamentali principi che regolano il tema".</w:t>
      </w:r>
    </w:p>
    <w:p w14:paraId="5C54704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1.4.1 in primo luogo (cfr. S.U. 19 dicembre 2009 n. 26806) devono distinguersi i danni che subisce direttamente la società di capitali da quelli che subisce il socio pubblico per il valore della partecipazione, e ciò "è particolarmente rilevante per le società che agiscono sul mercato": solo per i danni subiti dal socio pubblico "la giurisdizione sarebbe riservata al giudice contabile".</w:t>
      </w:r>
    </w:p>
    <w:p w14:paraId="2E64E37C"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in secondo luogo, come principio "in evoluzione del primo" (e qui si cita S.U. 25 novembre 2013 n. 26283), deve affermarsi che tale distinzione non incide se la società è in house, per la immedesimazione tra questa e la pubblica amministrazione in modo che il danno "si rifletta direttamente nei confronti del soggetto (pubblico) controllante".</w:t>
      </w:r>
    </w:p>
    <w:p w14:paraId="6F77D7A6"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Afferma il ricorrente che i due principi sono stati poi codificati dal </w:t>
      </w:r>
      <w:hyperlink r:id="rId135" w:history="1">
        <w:r w:rsidRPr="003331C9">
          <w:rPr>
            <w:rFonts w:ascii="Times New Roman" w:eastAsia="Times New Roman" w:hAnsi="Times New Roman" w:cs="Times New Roman"/>
            <w:b/>
            <w:bCs/>
            <w:color w:val="FFA403"/>
            <w:sz w:val="24"/>
            <w:szCs w:val="24"/>
            <w:lang w:eastAsia="it-IT"/>
          </w:rPr>
          <w:t>D.L.vo n. 175 del 2016</w:t>
        </w:r>
      </w:hyperlink>
      <w:r w:rsidRPr="003331C9">
        <w:rPr>
          <w:rFonts w:ascii="Times New Roman" w:eastAsia="Times New Roman" w:hAnsi="Times New Roman" w:cs="Times New Roman"/>
          <w:sz w:val="24"/>
          <w:szCs w:val="24"/>
          <w:lang w:eastAsia="it-IT"/>
        </w:rPr>
        <w:t>, art. 12, senza modifica degli esiti raggiunti dalla precedente consolidata giurisprudenza. E sarebbe "in questo quadro" che si dovrebbe ricostruire se si sia dinanzi a una società in house.</w:t>
      </w:r>
    </w:p>
    <w:p w14:paraId="6398DFB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D'altronde la questione della giurisdizione "non si risolve nell'alternativa se esista un sistema di controlli o se non esista, ma esclusivamente di chi sia la competenza". invece nella sentenza impugnata emerge la convinzione che, "al di fuori della Corte dei Conti, non esista alcun vero e reale controllo": assunto, questo, "inaccettabile", in quanto manifestante "sfiducia nell'amministrazione, e nello stesso giudice ordinario".</w:t>
      </w:r>
    </w:p>
    <w:p w14:paraId="7ACB0BE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1.4.2 Entrando nel tema dei requisiti della società in house, si osserva poi che, come risulterebbe dallo stesso atto d'appello della Procura Generale, Acquedotto Lucano S.p.A. è una società "</w:t>
      </w:r>
      <w:proofErr w:type="spellStart"/>
      <w:r w:rsidRPr="003331C9">
        <w:rPr>
          <w:rFonts w:ascii="Times New Roman" w:eastAsia="Times New Roman" w:hAnsi="Times New Roman" w:cs="Times New Roman"/>
          <w:sz w:val="24"/>
          <w:szCs w:val="24"/>
          <w:lang w:eastAsia="it-IT"/>
        </w:rPr>
        <w:t>pluripartecipata</w:t>
      </w:r>
      <w:proofErr w:type="spellEnd"/>
      <w:r w:rsidRPr="003331C9">
        <w:rPr>
          <w:rFonts w:ascii="Times New Roman" w:eastAsia="Times New Roman" w:hAnsi="Times New Roman" w:cs="Times New Roman"/>
          <w:sz w:val="24"/>
          <w:szCs w:val="24"/>
          <w:lang w:eastAsia="it-IT"/>
        </w:rPr>
        <w:t xml:space="preserve">", necessitante "controllo analogo congiunto", cioè distinto dal "semplice" controllo analogo. La Corte di Lussemburgo ha affermato (sentenza 29 novembre 2012, C-182/2011 e C-183/2011, </w:t>
      </w:r>
      <w:proofErr w:type="spellStart"/>
      <w:r w:rsidRPr="003331C9">
        <w:rPr>
          <w:rFonts w:ascii="Times New Roman" w:eastAsia="Times New Roman" w:hAnsi="Times New Roman" w:cs="Times New Roman"/>
          <w:sz w:val="24"/>
          <w:szCs w:val="24"/>
          <w:lang w:eastAsia="it-IT"/>
        </w:rPr>
        <w:t>Econord</w:t>
      </w:r>
      <w:proofErr w:type="spellEnd"/>
      <w:r w:rsidRPr="003331C9">
        <w:rPr>
          <w:rFonts w:ascii="Times New Roman" w:eastAsia="Times New Roman" w:hAnsi="Times New Roman" w:cs="Times New Roman"/>
          <w:sz w:val="24"/>
          <w:szCs w:val="24"/>
          <w:lang w:eastAsia="it-IT"/>
        </w:rPr>
        <w:t>) che "in caso di società partecipata da più autorità amministrative non è indispensabile che ciascuna di queste "detenga da sola un potere di controllo individuale" sulla società, ma occorre che i soci pubblici esercitino un controllo congiunto, attraverso la partecipazione di ciascuno di essi "sia al capitale, sia agli organi direttivi dell'entità suddetta". Con la sentenza n. 3554/2017, poi, il Consiglio di Stato "ha ulteriormente chiarito" che il controllo congiunto si attua soltanto qualora gli organi decisionali dell'organismo controllato siano composti da rappresentanti di tutti i soci pubblici partecipanti, qualora i soci pubblici siano in grado di esercitare congiuntamente un'influenza determinante sugli obiettivi strategici e sulle decisioni significative dell'organismo controllato secondo le regole generali elaborate in riferimento al tradizionale in house </w:t>
      </w:r>
      <w:proofErr w:type="spellStart"/>
      <w:r w:rsidRPr="003331C9">
        <w:rPr>
          <w:rFonts w:ascii="Times New Roman" w:eastAsia="Times New Roman" w:hAnsi="Times New Roman" w:cs="Times New Roman"/>
          <w:sz w:val="24"/>
          <w:szCs w:val="24"/>
          <w:lang w:eastAsia="it-IT"/>
        </w:rPr>
        <w:t>providing</w:t>
      </w:r>
      <w:proofErr w:type="spellEnd"/>
      <w:r w:rsidRPr="003331C9">
        <w:rPr>
          <w:rFonts w:ascii="Times New Roman" w:eastAsia="Times New Roman" w:hAnsi="Times New Roman" w:cs="Times New Roman"/>
          <w:sz w:val="24"/>
          <w:szCs w:val="24"/>
          <w:lang w:eastAsia="it-IT"/>
        </w:rPr>
        <w:t>, e qualora l'organismo controllato non persegua interessi contrari a quelli di tutti i soci pubblici partecipanti. Per questo si sarebbe ritenuto sussistente il controllo analogo congiunto solo nel caso in cui sia previsto un apposito comitato assembleare al fine di valutare tutte le proposte del Consiglio di Amministrazione e verificare lo stadio di attuazione degli obiettivi indicati nei documenti programmatici e dei contratti di servizio, "comitato titolare del potere di richiedere informazioni e documenti, oltre che destinatario di referti sulla gestione da parte del medesimo consiglio di amministrazione".</w:t>
      </w:r>
    </w:p>
    <w:p w14:paraId="5A938A8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Parimenti fondamentale sarebbe l'esistenza di un "regolamento comune per disciplinare i rapporti tra gli stessi Enti locali e la Società", modificabile solo all'unanimità e conferente a ogni ente locale partecipante un diritto di veto sulle delibere del consiglio di amministrazione dotate di "esclusiva </w:t>
      </w:r>
      <w:r w:rsidRPr="003331C9">
        <w:rPr>
          <w:rFonts w:ascii="Times New Roman" w:eastAsia="Times New Roman" w:hAnsi="Times New Roman" w:cs="Times New Roman"/>
          <w:sz w:val="24"/>
          <w:szCs w:val="24"/>
          <w:lang w:eastAsia="it-IT"/>
        </w:rPr>
        <w:lastRenderedPageBreak/>
        <w:t>attinenza" al suo territorio, con la facoltà di deferire la questione al comitato assembleare qualora l'organo amministrativo non si uniformi ai rilievi dell'ente locale.</w:t>
      </w:r>
    </w:p>
    <w:p w14:paraId="69357A0F"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Quindi il controllo congiunto sussisterebbe soltanto qualora le regole societarie, in deroga agli strumenti ordinari che regolano la società, "costruiscano modalità di governance in cui tutti i soggetti che partecipano della società possano disporre di poteri e determinino, in concreto, l'operato societario anche con la possibilità di opporre il veto". Di ciò non vi sarebbe traccia per la società </w:t>
      </w:r>
      <w:proofErr w:type="spellStart"/>
      <w:r w:rsidRPr="003331C9">
        <w:rPr>
          <w:rFonts w:ascii="Times New Roman" w:eastAsia="Times New Roman" w:hAnsi="Times New Roman" w:cs="Times New Roman"/>
          <w:sz w:val="24"/>
          <w:szCs w:val="24"/>
          <w:lang w:eastAsia="it-IT"/>
        </w:rPr>
        <w:t>pluripartecipata</w:t>
      </w:r>
      <w:proofErr w:type="spellEnd"/>
      <w:r w:rsidRPr="003331C9">
        <w:rPr>
          <w:rFonts w:ascii="Times New Roman" w:eastAsia="Times New Roman" w:hAnsi="Times New Roman" w:cs="Times New Roman"/>
          <w:sz w:val="24"/>
          <w:szCs w:val="24"/>
          <w:lang w:eastAsia="it-IT"/>
        </w:rPr>
        <w:t xml:space="preserve"> in questione, né nell'atto d'appello né nella sentenza impugnata, e ciò deriverebbe dal fatto che lo statuto non prevederebbe tali cautele, bensì costituirebbe "un ordinario statuto retto dalle regole tipiche delle società di capitale con la formazione di maggioranze, e, soprattutto, di minoranze, che sono tenute al rispetto... di quanto deciso dalla maggioranza".</w:t>
      </w:r>
    </w:p>
    <w:p w14:paraId="439893AD"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Anche la previsione dell'autorizzazione assembleare per gli investimenti superiori a un milione di Euro ad avviso del ricorrente "non si discosta dam schema maggioranza/opposizione", e dunque non sussisterebbe il "controllo analogo congiunto".</w:t>
      </w:r>
    </w:p>
    <w:p w14:paraId="4F6621D9"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La sentenza inoltre non consentirebbe neppure di comprendere di quale tra gli enti pubblici partecipanti la società "possa considerarsi in house".</w:t>
      </w:r>
    </w:p>
    <w:p w14:paraId="1C2D5F0C"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1.4.3 Rammentato poi che la giurisprudenza consolidata riconosce che "l'influenza sulla società da parte dell'ente pubblico proprietario non si possa ridurre alle facoltà spettanti al socio, ma deve, al contrario, tradursi in veri e propri poteri di comando che limitino in maniera evidente l'autonomia societaria", si rimarca che solo "con la L.R. del 2016", successiva ai fatti contestati e non ancora attuata, "si è posto il problema del controllo analogo".</w:t>
      </w:r>
    </w:p>
    <w:p w14:paraId="13A40157"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Non sussisterebbe quindi "l'essenza stessa della qualificazione in house della società come struttura corrispondente ad un'articolazione interna alla pubblica amministrazione (</w:t>
      </w:r>
      <w:proofErr w:type="spellStart"/>
      <w:r w:rsidRPr="003331C9">
        <w:rPr>
          <w:rFonts w:ascii="Times New Roman" w:eastAsia="Times New Roman" w:hAnsi="Times New Roman" w:cs="Times New Roman"/>
          <w:sz w:val="24"/>
          <w:szCs w:val="24"/>
          <w:lang w:eastAsia="it-IT"/>
        </w:rPr>
        <w:t>rectius</w:t>
      </w:r>
      <w:proofErr w:type="spellEnd"/>
      <w:r w:rsidRPr="003331C9">
        <w:rPr>
          <w:rFonts w:ascii="Times New Roman" w:eastAsia="Times New Roman" w:hAnsi="Times New Roman" w:cs="Times New Roman"/>
          <w:sz w:val="24"/>
          <w:szCs w:val="24"/>
          <w:lang w:eastAsia="it-IT"/>
        </w:rPr>
        <w:t xml:space="preserve"> alle singole amministrazioni)", mancando "qualsiasi collegamento con le amministrazioni che compongono la società".</w:t>
      </w:r>
    </w:p>
    <w:p w14:paraId="15D4200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Tutto questo sarebbe stato trascurato dalla sentenza impugnata, limitatasi a sottolineare il divieto di trasferimento di quote a soggetti non pubblici - qui ininfluente -, a evidenziare la competenza dell'assemblea per la nomina degli amministratori - "non si comprende chi altrimenti dovrebbe farla" - e l'autorizzazione assembleare per investimenti superiori a un milione di Euro omettendo "di considerare che le relative delibere sono adottate con le regole ordinarie del diritto societario e, dunque, a maggioranza, così che chi non ne fa parte semplicemente le subisce", onde si realizzerebbe il paradosso che "il (presunto) controllore dovrebbe subire le decisioni ritenute a lui sfavorevoli qualora queste vengano adottate da parte del (presunto) controllato".</w:t>
      </w:r>
    </w:p>
    <w:p w14:paraId="05DC7F16"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Lo statuto non prevederebbe, ribadisce il ricorrente, clausole che consentano ai partecipanti un controllo analogo come se la società fosse una propria struttura interna ma, al contrario, della società "rimarca la autonomia", delineando "un modello societario in cui l'organo amministrativo risponde esclusivamente alla Assemblea", come usualmente avviene nelle società di capitali; in questo senso lo statuto è l'unica fonte di eventuali responsabilità. E sarebbe evidentemente diverso "il profilo delle funzioni esercitate che, esse sì, devono essere definite dalla norma di rango superiore", la quale non incide però sulla giurisdizione "che riguarda il modo con cui concretamente è affidato il servizio e non l'astratta definizione di esso".</w:t>
      </w:r>
    </w:p>
    <w:p w14:paraId="770435B9"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1.5 Il ricorso incidentale adesivo di S.G.P. presenta un unico motivo rubricato come denunciante, in riferimento all'</w:t>
      </w:r>
      <w:hyperlink r:id="rId136" w:history="1">
        <w:r w:rsidRPr="003331C9">
          <w:rPr>
            <w:rFonts w:ascii="Times New Roman" w:eastAsia="Times New Roman" w:hAnsi="Times New Roman" w:cs="Times New Roman"/>
            <w:b/>
            <w:bCs/>
            <w:color w:val="FFA403"/>
            <w:sz w:val="24"/>
            <w:szCs w:val="24"/>
            <w:lang w:eastAsia="it-IT"/>
          </w:rPr>
          <w:t>art. 360 comma 1, n. 1, c.p.c.</w:t>
        </w:r>
      </w:hyperlink>
      <w:r w:rsidRPr="003331C9">
        <w:rPr>
          <w:rFonts w:ascii="Times New Roman" w:eastAsia="Times New Roman" w:hAnsi="Times New Roman" w:cs="Times New Roman"/>
          <w:sz w:val="24"/>
          <w:szCs w:val="24"/>
          <w:lang w:eastAsia="it-IT"/>
        </w:rPr>
        <w:t>, violazione dei principi fondamentali del riparto tra la giurisdizione contabile e la giurisdizione ordinaria, nonché violazione dell'</w:t>
      </w:r>
      <w:hyperlink r:id="rId137" w:history="1">
        <w:r w:rsidRPr="003331C9">
          <w:rPr>
            <w:rFonts w:ascii="Times New Roman" w:eastAsia="Times New Roman" w:hAnsi="Times New Roman" w:cs="Times New Roman"/>
            <w:b/>
            <w:bCs/>
            <w:color w:val="FFA403"/>
            <w:sz w:val="24"/>
            <w:szCs w:val="24"/>
            <w:lang w:eastAsia="it-IT"/>
          </w:rPr>
          <w:t>art. 1, D.L.vo 26 agosto 2016, n. 174</w:t>
        </w:r>
      </w:hyperlink>
      <w:r w:rsidRPr="003331C9">
        <w:rPr>
          <w:rFonts w:ascii="Times New Roman" w:eastAsia="Times New Roman" w:hAnsi="Times New Roman" w:cs="Times New Roman"/>
          <w:sz w:val="24"/>
          <w:szCs w:val="24"/>
          <w:lang w:eastAsia="it-IT"/>
        </w:rPr>
        <w:t>, di approvazione del codice di giustizia contabile.</w:t>
      </w:r>
    </w:p>
    <w:p w14:paraId="778DE607"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1.5.1 Secondo il ricorrente la sentenza impugnata avrebbe individuato nello Statuto di Acquedotto Lucano S.p.A. gli artt. 15 e 16 come norme che apporterebbero il requisito del controllo analogo, ovvero la riserva all'assemblea dei soci della nomina degli amministratori e della preventiva autorizzazione delle scelte fondamentali (programmazione, sottoscrizione della convenzione con AATO Basilicata e investimenti eccedenti un milione di Euro).</w:t>
      </w:r>
    </w:p>
    <w:p w14:paraId="19BE831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Il ricorrente, peraltro, osserva che questi richiami "non sono sufficienti a far ritenere l'esistenza di un controllo analogo" perché "il richiamo è ai poteri dell'assemblea dei soci e non certo a quello degli </w:t>
      </w:r>
      <w:r w:rsidRPr="003331C9">
        <w:rPr>
          <w:rFonts w:ascii="Times New Roman" w:eastAsia="Times New Roman" w:hAnsi="Times New Roman" w:cs="Times New Roman"/>
          <w:sz w:val="24"/>
          <w:szCs w:val="24"/>
          <w:lang w:eastAsia="it-IT"/>
        </w:rPr>
        <w:lastRenderedPageBreak/>
        <w:t>Enti (quali tra Regione e Comuni?)" e perché tali poteri "sono riconducibili a quelli attribuiti a qualsiasi assemblea di società" secondo la disciplina codicistica. Né la Regione né i Comuni partecipanti "avevano il potere di nomina e revoca degli amministratori, dei sindaci e del direttore amministrativo", e il Consiglio di Amministrazione godeva dei più ampi poteri di gestione ordinaria e straordinaria, salvi appunto i casi indicati nell'art. 15 dello Statuto. Mancando allora il potere di nomina e revoca degli amministratori, dei sindaci e del direttore amministrativo "non era ipotizzabile alcuna forma di controllo degli organi amministrativi della società".</w:t>
      </w:r>
    </w:p>
    <w:p w14:paraId="3CB70C0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1.5.2 La mancanza sarebbe stata confermata dall'avere la Regione previsto solo con la L.R. 1/2016 che l'EGRIB effettuasse il controllo analogo sul gestore di affidamento in house; e solo con il </w:t>
      </w:r>
      <w:hyperlink r:id="rId138" w:history="1">
        <w:r w:rsidRPr="003331C9">
          <w:rPr>
            <w:rFonts w:ascii="Times New Roman" w:eastAsia="Times New Roman" w:hAnsi="Times New Roman" w:cs="Times New Roman"/>
            <w:b/>
            <w:bCs/>
            <w:color w:val="FFA403"/>
            <w:sz w:val="24"/>
            <w:szCs w:val="24"/>
            <w:lang w:eastAsia="it-IT"/>
          </w:rPr>
          <w:t>D.L.vo n. 175 del 2016</w:t>
        </w:r>
      </w:hyperlink>
      <w:r w:rsidRPr="003331C9">
        <w:rPr>
          <w:rFonts w:ascii="Times New Roman" w:eastAsia="Times New Roman" w:hAnsi="Times New Roman" w:cs="Times New Roman"/>
          <w:sz w:val="24"/>
          <w:szCs w:val="24"/>
          <w:lang w:eastAsia="it-IT"/>
        </w:rPr>
        <w:t> sarebbe stato stabilito che l'affidamento diretto del servizio pubblico può essere svolto soltanto da società in house e quindi sottoposte a controllo analogo.</w:t>
      </w:r>
    </w:p>
    <w:p w14:paraId="55543A4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Non a caso la Sezione Regionale di Controllo della Corte dei Conti della Basilicata, nell'udienza del 27 luglio 2018, nell'ambito del giudizio di parificazione del Rendiconto Generale della Regione Basilicata per l'anno 2016, a proposito di Acquedotto Lucano S.p.A. manifestava "perplessità in ordine all'esclusione da "qualsiasi controllo" sulla gestione delle risorse "pubbliche" di un organismo partecipato al 100% da Enti pubblici", perplessità resa più "intensa" essendo deputato al controllo "un ente strumentale della Regione (EGRIB)". Vi sarebbe dunque "un'anomalia di base", non essendo "esercitata in via congiunta dagli enti soci" nessuna forma di controllo, demandato ad un ente terzo, l'EGRIB", ovvero "un ente strumentale della Regione, e cioè un ente costituito per svolgere le funzioni delegate dalla Regione".</w:t>
      </w:r>
    </w:p>
    <w:p w14:paraId="1B4BE326"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Quanto rilevato quindi dalla Sezione Regionale di Controllo in tale sede confermerebbe comunque la "inesistenza di qualsiasi controllo esercitato in via congiunta dagli enti soci su Acquedotto Lucano S.p.A., che inoltre era stato escluso dai destinatari delle direttive sul controllo analogo standardizzato dell'Ente sulle società in house con deliberazione del 29 maggio 2015 n. 703 della Giunta Regionale.</w:t>
      </w:r>
    </w:p>
    <w:p w14:paraId="4955F53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Richiamata la giurisprudenza in ordine ai tre requisiti di cui deve essere dotata la società in house e che costituiscono il presupposto della giurisdizione contabile per l'esercizio dell'azione di responsabilità nei confronti degli organi sociali per i danni cagionati al patrimonio della società - requisiti che devono emergere dallo statuto vigente all'epoca -, si sostiene che da quanto sopra illustrato "deriva che dallo Statuto di Acquedotto Lucano S.p.A. non era possibile evincere la sussistenza di un potere di controllo analogo da parte degli enti pubblici che ne facevano parte".</w:t>
      </w:r>
    </w:p>
    <w:p w14:paraId="01ADBCC4"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1.6 Il ricorso incidentale adesivo di G.R., A.D., A.V. e L.A. denuncia, con un unico motivo, in riferimento all'</w:t>
      </w:r>
      <w:hyperlink r:id="rId139" w:history="1">
        <w:r w:rsidRPr="003331C9">
          <w:rPr>
            <w:rFonts w:ascii="Times New Roman" w:eastAsia="Times New Roman" w:hAnsi="Times New Roman" w:cs="Times New Roman"/>
            <w:b/>
            <w:bCs/>
            <w:color w:val="FFA403"/>
            <w:sz w:val="24"/>
            <w:szCs w:val="24"/>
            <w:lang w:eastAsia="it-IT"/>
          </w:rPr>
          <w:t>art. 360 comma 1, n. 1, c.p.c.</w:t>
        </w:r>
      </w:hyperlink>
      <w:r w:rsidRPr="003331C9">
        <w:rPr>
          <w:rFonts w:ascii="Times New Roman" w:eastAsia="Times New Roman" w:hAnsi="Times New Roman" w:cs="Times New Roman"/>
          <w:sz w:val="24"/>
          <w:szCs w:val="24"/>
          <w:lang w:eastAsia="it-IT"/>
        </w:rPr>
        <w:t>, violazione dei principi del riparto tra la giurisdizione contabile e la giurisdizione ordinaria nonché violazione del </w:t>
      </w:r>
      <w:hyperlink r:id="rId140" w:history="1">
        <w:r w:rsidRPr="003331C9">
          <w:rPr>
            <w:rFonts w:ascii="Times New Roman" w:eastAsia="Times New Roman" w:hAnsi="Times New Roman" w:cs="Times New Roman"/>
            <w:b/>
            <w:bCs/>
            <w:color w:val="FFA403"/>
            <w:sz w:val="24"/>
            <w:szCs w:val="24"/>
            <w:lang w:eastAsia="it-IT"/>
          </w:rPr>
          <w:t>D.L.vo n. 174 del 2016</w:t>
        </w:r>
      </w:hyperlink>
      <w:r w:rsidRPr="003331C9">
        <w:rPr>
          <w:rFonts w:ascii="Times New Roman" w:eastAsia="Times New Roman" w:hAnsi="Times New Roman" w:cs="Times New Roman"/>
          <w:sz w:val="24"/>
          <w:szCs w:val="24"/>
          <w:lang w:eastAsia="it-IT"/>
        </w:rPr>
        <w:t>, art. 1, di approvazione del Codice della giustizia contabile.</w:t>
      </w:r>
    </w:p>
    <w:p w14:paraId="012F670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1.6.1 Ribadita la necessità dei tre requisiti per configurare una società in house come indicato da numerosi arresti di queste Sezioni Unite, si nega la sussistenza nel caso in esame del requisito del controllo analogo, in quanto lo Statuto non attribuirebbe agli enti pubblici partecipanti in Acquedotto Lucano S.p.A. "alcun potere di dettare le linee e scelte operative e/o di esprimere un potere di comando direttamente sulla gestione della società", avendo viceversa modalità di partecipazione "riconducibili ai consueti diritti e facoltà spettanti al socio secondo le regole comuni civilistiche, senza preventiva ingerenza e successivo controllo".</w:t>
      </w:r>
    </w:p>
    <w:p w14:paraId="128F1C88"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A differenza poi di quanto affermato nella impugnata sentenza, il divieto di trasferimento di quote a soggetti privati stabilito nello Statuto sarebbe un "elemento neutro per sussumere l'esistenza del terzo necessario requisito"; e proprio l'esame delle singole disposizioni statutarie condurrebbe a escludere "forme di ingerenza, poteri di coordinamento o linee di comando degli enti partecipanti sulla gestione sociale", come la giurisprudenza indica per il requisito del controllo analogo.</w:t>
      </w:r>
    </w:p>
    <w:p w14:paraId="17465A5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1.6.2 Vengono richiamati dello Statuto gli artt. 20 - Poteri dell'organo amministrativo: "L'organo amministrativo è investito dei più ampi poteri per la gestione ordinaria e straordinaria della Società, e in particolare gli sono riconosciute tutte le facoltà per il raggiungimento degli scopi sociali..." - e 24 Controllo contabile: "Il controllo contabile è esercitato da un revisore o da una Società di revisione </w:t>
      </w:r>
      <w:r w:rsidRPr="003331C9">
        <w:rPr>
          <w:rFonts w:ascii="Times New Roman" w:eastAsia="Times New Roman" w:hAnsi="Times New Roman" w:cs="Times New Roman"/>
          <w:sz w:val="24"/>
          <w:szCs w:val="24"/>
          <w:lang w:eastAsia="it-IT"/>
        </w:rPr>
        <w:lastRenderedPageBreak/>
        <w:t>iscritti nell'apposito registro" - per segnalare poi anche "l'assenza di flussi informativi tra organo gestorio ed enti partecipanti".</w:t>
      </w:r>
    </w:p>
    <w:p w14:paraId="01050A5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Si adduce altresì che le disposizioni statutarie relative a nomina, formazione e funzionamento degli organi di gestione (artt. 16-20) ovvero all'attività di controllo (artt. 24-25) confermano la tesi prospettata, "non esistendo alcuna forma di diversa e più pregnante cautela rispetto ad un tipico statuto societario regolato dalle norme di diritto comune né diverse competenze affidate all'Assemblea dei soci", e comunque mancando "forme di ingerenza o poteri di comando diversi e più incisivi rispetto alle facoltà che spettano al socio di una società regolata dal c.c.".</w:t>
      </w:r>
    </w:p>
    <w:p w14:paraId="3969865F"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Che poi all'assemblea dei soci spettino la nomina degli amministratori ("tipico potere di ogni assemblea") e la preventiva autorizzazione su atti di programmazione e su investimenti oltre un milione di Euro "non sposta il problema di fondo", dato che "tali scelte statutarie riconoscono pur sempre all'Assemblea, dunque ai soci, facoltà rientranti nella fisiologia dinamica di una società comune, perché non autorizzano una ingerenza preventiva sulle scelte da parte degli enti - controllanti - né un controllo successivo analogamente a quello esercitato su atti e attività dei propri uffici", onde "nei rapporti interni ed esterni" la società non presenta il necessario "carattere istituzionalmente servente", né una fisionomia di mera articolazione della pubblica amministrazione.</w:t>
      </w:r>
    </w:p>
    <w:p w14:paraId="2054B859"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2. Una ulteriore causa, la n. 14713/2020 R.G., come già sopra si accennava, è sortita dal ricorso proposto sulla base di un unico motivo da A.A., e da cui si è difeso con controricorso il Procuratore Generale presso la Corte dei conti. in questa causa R.G. ha presentato ricorso incidentale definito adesivo al ricorso di M.E.G.D. e al ricorso di A.A.; il Procuratore Generale si è difeso con controricorso.</w:t>
      </w:r>
    </w:p>
    <w:p w14:paraId="6D30EA9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2.1 L'unico motivo del ricorso di A.A. denuncia, in riferimento all'</w:t>
      </w:r>
      <w:hyperlink r:id="rId141" w:history="1">
        <w:r w:rsidRPr="003331C9">
          <w:rPr>
            <w:rFonts w:ascii="Times New Roman" w:eastAsia="Times New Roman" w:hAnsi="Times New Roman" w:cs="Times New Roman"/>
            <w:b/>
            <w:bCs/>
            <w:color w:val="FFA403"/>
            <w:sz w:val="24"/>
            <w:szCs w:val="24"/>
            <w:lang w:eastAsia="it-IT"/>
          </w:rPr>
          <w:t>art. 360 comma 1, n. 1, c.p.c.</w:t>
        </w:r>
      </w:hyperlink>
      <w:r w:rsidRPr="003331C9">
        <w:rPr>
          <w:rFonts w:ascii="Times New Roman" w:eastAsia="Times New Roman" w:hAnsi="Times New Roman" w:cs="Times New Roman"/>
          <w:sz w:val="24"/>
          <w:szCs w:val="24"/>
          <w:lang w:eastAsia="it-IT"/>
        </w:rPr>
        <w:t> violazione dei principi fondamentali di riparto tra giurisdizione contabile e ordinaria, nonché violazione dell'</w:t>
      </w:r>
      <w:hyperlink r:id="rId142" w:history="1">
        <w:r w:rsidRPr="003331C9">
          <w:rPr>
            <w:rFonts w:ascii="Times New Roman" w:eastAsia="Times New Roman" w:hAnsi="Times New Roman" w:cs="Times New Roman"/>
            <w:b/>
            <w:bCs/>
            <w:color w:val="FFA403"/>
            <w:sz w:val="24"/>
            <w:szCs w:val="24"/>
            <w:lang w:eastAsia="it-IT"/>
          </w:rPr>
          <w:t>art. 1, D.L.vo 26 agosto 2016, n. 174</w:t>
        </w:r>
      </w:hyperlink>
      <w:r w:rsidRPr="003331C9">
        <w:rPr>
          <w:rFonts w:ascii="Times New Roman" w:eastAsia="Times New Roman" w:hAnsi="Times New Roman" w:cs="Times New Roman"/>
          <w:sz w:val="24"/>
          <w:szCs w:val="24"/>
          <w:lang w:eastAsia="it-IT"/>
        </w:rPr>
        <w:t xml:space="preserve"> recante l'approvazione del codice della giustizia contabile. Il motivo viene comunque illustrato in tre distinti </w:t>
      </w:r>
      <w:proofErr w:type="spellStart"/>
      <w:r w:rsidRPr="003331C9">
        <w:rPr>
          <w:rFonts w:ascii="Times New Roman" w:eastAsia="Times New Roman" w:hAnsi="Times New Roman" w:cs="Times New Roman"/>
          <w:sz w:val="24"/>
          <w:szCs w:val="24"/>
          <w:lang w:eastAsia="it-IT"/>
        </w:rPr>
        <w:t>submotivi</w:t>
      </w:r>
      <w:proofErr w:type="spellEnd"/>
      <w:r w:rsidRPr="003331C9">
        <w:rPr>
          <w:rFonts w:ascii="Times New Roman" w:eastAsia="Times New Roman" w:hAnsi="Times New Roman" w:cs="Times New Roman"/>
          <w:sz w:val="24"/>
          <w:szCs w:val="24"/>
          <w:lang w:eastAsia="it-IT"/>
        </w:rPr>
        <w:t>.</w:t>
      </w:r>
    </w:p>
    <w:p w14:paraId="08A3E4B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2.1.1 in primo luogo, "con riferimento alla parte motiva" della sentenza, si osserva che in essa la Corte dei conti ha affermato che l'art. 7, ultimo comma, dello Statuto (per cui "il trasferimento delle azioni, tanto a titolo oneroso quanto a titolo gratuito, è consentito unicamente a favore di enti pubblici territoriali costituenti l'Autorità d'Ambito Territoriale Ottimale di Basilicata") "deve ritenersi bastevole per poter affermare, in fattispecie, la sussistenza della giurisdizione" contabile.</w:t>
      </w:r>
    </w:p>
    <w:p w14:paraId="128B10B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in tal modo la Corte dei conti sarebbe però giunta a ritenere che non occorresse verificare la presenza di tutti e tre i requisiti necessari affinché una società sia in house (la natura pubblica dei soci, l'attività totalmente o comunque prevalentemente espletata a favore dei soci, il controllo analogo dell'ente pubblico), così contrastando con la giurisprudenza di queste Sezioni Unite, per cui devono invece sussistere contemporaneamente tutti i requisiti e tutti devono trovare fondamento in precise e inderogabili disposizioni dello Statuto sociale - come insegna in particolare S.U. 26283/2013.</w:t>
      </w:r>
    </w:p>
    <w:p w14:paraId="7C0BE43C"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Per di più il divieto di cedere le partecipazioni a privati varrebbe soltanto come "elemento confermativo", ma non sostitutivo dei tre requisiti necessari.</w:t>
      </w:r>
    </w:p>
    <w:p w14:paraId="6F3FC9C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Lo Statuto di Acquedotto Lucano S.p.A. nulla prevederebbe a proposito del controllo analogo così come era vigente quando avvennero i fatti da cui sarebbe sorto il presunto danno erariale. Si invoca, da ultimo, S.U. 7824/2020, per cui tutti i requisiti devono risultare da specifiche disposizioni statutarie dell'epoca, non rilevando "la loro ricorrenza in fatto", essendo necessario esternare nei rapporti interni ed esterni "il carattere istituzionalmente servente della società in house" quale "mera articolazione della P.A. da cui promana", in contrapposizione alla natura di "soggetto giuridico esterno e autonomo dalla P.A.".</w:t>
      </w:r>
    </w:p>
    <w:p w14:paraId="7D2BE9F8"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Ne consegue la necessaria contemporaneità dei tre requisiti.</w:t>
      </w:r>
    </w:p>
    <w:p w14:paraId="18BBCED9"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2.1.2 in secondo luogo il ricorrente lamenta carenza del requisito del controllo analogo, da intendere come esercizio da parte della pubblica amministrazione di un potere gestionale e decisionale sulla società in house quale fosse una propria articolazione organizzativa, così che - come insegna la giurisprudenza (ancora S.U. 26283/2013) - la società in house ha della società soltanto la forma esteriore. Quindi per operare un siffatto controllo non basterebbe la sola partecipazione pubblica della </w:t>
      </w:r>
      <w:r w:rsidRPr="003331C9">
        <w:rPr>
          <w:rFonts w:ascii="Times New Roman" w:eastAsia="Times New Roman" w:hAnsi="Times New Roman" w:cs="Times New Roman"/>
          <w:sz w:val="24"/>
          <w:szCs w:val="24"/>
          <w:lang w:eastAsia="it-IT"/>
        </w:rPr>
        <w:lastRenderedPageBreak/>
        <w:t>società in house, il controllo d'altronde dovendo essere esercitato con mezzi diversi da quelli previsti dal c.c., tali da privare di ogni autonomia gestionale gli organi sociali. Il che andrebbe previsto in modo preciso e inderogabile dallo Statuto sociale, indicando puntualmente come si esercita sulla società "una vera e propria forma di comando" idonea a farne una longa manus della pubblica amministrazione.</w:t>
      </w:r>
    </w:p>
    <w:p w14:paraId="77FB292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Tutto questo difetterebbe nello Statuto di Acquedotto Lucano S.p.A., come rilevato dal primo giudice: lo Statuto "rimanda esclusivamente alle norme del c.c." per le società di capitali (</w:t>
      </w:r>
      <w:hyperlink r:id="rId143" w:history="1">
        <w:r w:rsidRPr="003331C9">
          <w:rPr>
            <w:rFonts w:ascii="Times New Roman" w:eastAsia="Times New Roman" w:hAnsi="Times New Roman" w:cs="Times New Roman"/>
            <w:b/>
            <w:bCs/>
            <w:color w:val="FFA403"/>
            <w:sz w:val="24"/>
            <w:szCs w:val="24"/>
            <w:lang w:eastAsia="it-IT"/>
          </w:rPr>
          <w:t>artt. 2380 ss. c.c.</w:t>
        </w:r>
      </w:hyperlink>
      <w:r w:rsidRPr="003331C9">
        <w:rPr>
          <w:rFonts w:ascii="Times New Roman" w:eastAsia="Times New Roman" w:hAnsi="Times New Roman" w:cs="Times New Roman"/>
          <w:sz w:val="24"/>
          <w:szCs w:val="24"/>
          <w:lang w:eastAsia="it-IT"/>
        </w:rPr>
        <w:t>), senza nulla aggiungere. Ciò sarebbe stato confermato, poi, dal giudizio di verifica del rendiconto del 2016 effettuato dalla Sezione Regionale del giudice contabile, e confermato altresì dalla introduzione della "conseguente" L.R. 8 gennaio 2016 n. 1, prevedente il controllo, e dalla quale avrebbe dovuto derivare la modifica dello Statuto, peraltro non attuata.</w:t>
      </w:r>
    </w:p>
    <w:p w14:paraId="7965D01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2.1.3 in terzo luogo, riguardo alle "argomentazioni di parte appellante" (sic) osserva il ricorrente che quest'ultima aveva prospettato un'infondata tesi: ricostruita la normativa nazionale e regionale, avrebbe affermato che il controllo analogo sarebbe stato desumibile "da fonti di rango superiore allo Statuto come leggi o regolamenti". Il che però non emergerebbe dalla normativa, nella quale nulla sarebbe stato previsto in ordine al controllo analogo fino alla promulgazione della L.R. n. 1 del 2016.</w:t>
      </w:r>
    </w:p>
    <w:p w14:paraId="51EC30C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Gli stessi fatti contestati dimostrerebbero, d'altronde, l'assenza del controllo analogo: il Consiglio di Amministrazione di Acquedotto Lucano S.p.A. avrebbe scelto in modo autonomo come gestire la società.</w:t>
      </w:r>
    </w:p>
    <w:p w14:paraId="6D1763C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2.2. Il ricorso incidentale adesivo di R.G. propone a sua volta un unico motivo, denunciante, in riferimento all'</w:t>
      </w:r>
      <w:hyperlink r:id="rId144" w:history="1">
        <w:r w:rsidRPr="003331C9">
          <w:rPr>
            <w:rFonts w:ascii="Times New Roman" w:eastAsia="Times New Roman" w:hAnsi="Times New Roman" w:cs="Times New Roman"/>
            <w:b/>
            <w:bCs/>
            <w:color w:val="FFA403"/>
            <w:sz w:val="24"/>
            <w:szCs w:val="24"/>
            <w:lang w:eastAsia="it-IT"/>
          </w:rPr>
          <w:t>art. 360 comma 1, n. 1, c.p.c.</w:t>
        </w:r>
      </w:hyperlink>
      <w:r w:rsidRPr="003331C9">
        <w:rPr>
          <w:rFonts w:ascii="Times New Roman" w:eastAsia="Times New Roman" w:hAnsi="Times New Roman" w:cs="Times New Roman"/>
          <w:sz w:val="24"/>
          <w:szCs w:val="24"/>
          <w:lang w:eastAsia="it-IT"/>
        </w:rPr>
        <w:t>, violazione dei principi fondamentali di riparto tra giurisdizione contabile e ordinaria, nonché violazione dell'</w:t>
      </w:r>
      <w:hyperlink r:id="rId145" w:history="1">
        <w:r w:rsidRPr="003331C9">
          <w:rPr>
            <w:rFonts w:ascii="Times New Roman" w:eastAsia="Times New Roman" w:hAnsi="Times New Roman" w:cs="Times New Roman"/>
            <w:b/>
            <w:bCs/>
            <w:color w:val="FFA403"/>
            <w:sz w:val="24"/>
            <w:szCs w:val="24"/>
            <w:lang w:eastAsia="it-IT"/>
          </w:rPr>
          <w:t>art. 1, D.L.vo 26 agosto 2016, n. 174</w:t>
        </w:r>
      </w:hyperlink>
      <w:r w:rsidRPr="003331C9">
        <w:rPr>
          <w:rFonts w:ascii="Times New Roman" w:eastAsia="Times New Roman" w:hAnsi="Times New Roman" w:cs="Times New Roman"/>
          <w:sz w:val="24"/>
          <w:szCs w:val="24"/>
          <w:lang w:eastAsia="it-IT"/>
        </w:rPr>
        <w:t>, recante l'approvazione del codice della giustizia contabile.</w:t>
      </w:r>
    </w:p>
    <w:p w14:paraId="355CD42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2.2.1 Si richiama la giurisprudenza di queste Sezioni Unite in ordine ai tre requisiti che rendono una società in house, e si invoca pure giurisprudenza della Corte di Giustizia CE (sentenza 13 ottobre 2005, C-458/2003, Parking Brixen) per sostenere che il controllo analogo si caratterizza per la sua particolare incisività, effettività e concretezza d'esercizio, così da risultare incompatibile con ampi poteri di gestione dell'organo amministrativo, instaurando al contrario un rapporto di subordinazione gerarchica tra esso e l'ente pubblico socio, dovendo l'ente pubblico avere "statutariamente il potere di dettare le linee strategiche e le scelte operative della società in house".</w:t>
      </w:r>
    </w:p>
    <w:p w14:paraId="454432B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Il controllo d'altronde non coinciderebbe con l'influenza dominante che i soci in posizione maggioritaria o il socio unico possano esercitare sull'assemblea della società, integrando invece un potere di controllo previsto nello Statuto e direttamente esercitato sulla gestione dell'ente con modalità e intensità diverse rispetto ai diritti e alle facoltà dei soci dettati dal c.c., così da escludere ogni rilevante autonomia gestionale degli organi societari (e qui, oltre a S.U. 30 agosto 2019 n. 21871, si cita Cons. Stato, Ad. </w:t>
      </w:r>
      <w:proofErr w:type="spellStart"/>
      <w:r w:rsidRPr="003331C9">
        <w:rPr>
          <w:rFonts w:ascii="Times New Roman" w:eastAsia="Times New Roman" w:hAnsi="Times New Roman" w:cs="Times New Roman"/>
          <w:sz w:val="24"/>
          <w:szCs w:val="24"/>
          <w:lang w:eastAsia="it-IT"/>
        </w:rPr>
        <w:t>plen</w:t>
      </w:r>
      <w:proofErr w:type="spellEnd"/>
      <w:r w:rsidRPr="003331C9">
        <w:rPr>
          <w:rFonts w:ascii="Times New Roman" w:eastAsia="Times New Roman" w:hAnsi="Times New Roman" w:cs="Times New Roman"/>
          <w:sz w:val="24"/>
          <w:szCs w:val="24"/>
          <w:lang w:eastAsia="it-IT"/>
        </w:rPr>
        <w:t>. 3 marzo 2008 n. 1).</w:t>
      </w:r>
    </w:p>
    <w:p w14:paraId="64596533"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2.2.2 Richiamata la più recente giurisprudenza di queste Sezioni Unite per ribadire i principi sopra esposti, si afferma che in sostanza dovrebbe essere lo Statuto a prevedere "più stringenti forme di controllo rispetto a quelle previste dal c.c.", per giungere quindi a escludere che ciò si ravvisi nello Statuto di Acquedotto Lucano S.p.A., sia quanto alle norme relative alle modalità di formazione e di funzionamento del Consiglio di Amministrazione (artt. 16-20), sia quanto alle norme regolanti il controllo (artt. 24 e 25).</w:t>
      </w:r>
    </w:p>
    <w:p w14:paraId="548C388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Si segnalano dello Statuto, in particolare, il testo dell'art. 15 ("Sono soggetti alla preventiva autorizzazione dell'assemblea ordinaria: il programma annuale e triennale dell'attività di gestione e degli investimenti; la sottoscrizione della convenzione (e delle sue modificazioni) con l'ente d'ambito; la realizzazione di singoli investimenti con impegno che ecceda Euro 1.000.000,00 e non ricompresi nei piani già approvati.") e quello dell'art. 24 ("Il controllo contabile è esercitato da un revisore o da una Società di revisione iscritti nell'apposito registro"), per desumerne che non stabiliscono alcun potere di comando direttamente esercitato sulla gestione della società "con modalità e intensità non riconducibili ai normali diritti e facoltà che spettano al socio in base alle regole dettate dal c.c.". E in effetti, sia per le norme relative al Consiglio di Amministrazione, sia per le norme relative al controllo </w:t>
      </w:r>
      <w:r w:rsidRPr="003331C9">
        <w:rPr>
          <w:rFonts w:ascii="Times New Roman" w:eastAsia="Times New Roman" w:hAnsi="Times New Roman" w:cs="Times New Roman"/>
          <w:sz w:val="24"/>
          <w:szCs w:val="24"/>
          <w:lang w:eastAsia="it-IT"/>
        </w:rPr>
        <w:lastRenderedPageBreak/>
        <w:t>"lo Statuto rimanda esclusivamente agli articoli del c.c." relativi alle società di capitali, senza riconoscere agli enti pubblici in essi partecipanti "alcun ulteriore potere di comando".</w:t>
      </w:r>
    </w:p>
    <w:p w14:paraId="2260AB0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Le norme statutarie invocate nella sentenza impugnata in realtà si limiterebbero "a descrivere l'ordinaria attività organizzativa di Acquedotto Lucano S.p.A., in cui all'Assemblea dei soci sono affidate le decisioni ordinarie di carattere generale, relative alla programmazione dell'azione della società o ad interventi superiori ad un determinato importo". Non può pertanto ritenersi sussistente la giurisdizione contabile, mancando il requisito del controllo analogo alla società in questione.</w:t>
      </w:r>
    </w:p>
    <w:p w14:paraId="718E9A56"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3. Entrambe le cause sono state chiamate all'udienza pubblica del 25 maggio 2021, per la quale il Procuratore Generale di questa Suprema Corte ha presentato conclusioni scritte in riferimento al ricorso M., al ricorso A., al ricorso incidentale adesivo M. e al ricorso incidentale adesivo G.- A.- A.- L., reputandoli tutti infondati.</w:t>
      </w:r>
    </w:p>
    <w:p w14:paraId="06C3D12D"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All'esito della discussione del 25 maggio 2021, con ordinanza interlocutoria, è stata riunita alla causa n. 13286/20 R.G. la causa n. 14713/20 R.G. e si è chiesta relazione del Massimario, che è stata depositata nel dicembre 2021.</w:t>
      </w:r>
    </w:p>
    <w:p w14:paraId="213C6F9C"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Le cause riunite, dapprima fissate alla pubblica udienza dell'11 gennaio 2022, sono state poi collocate nella pubblica udienza del 10 maggio 2022, in riferimento alla quale il PG ha nuovamente concluso per il rigetto e hanno depositato memoria rispettivamente il S., il M. e </w:t>
      </w:r>
      <w:proofErr w:type="gramStart"/>
      <w:r w:rsidRPr="003331C9">
        <w:rPr>
          <w:rFonts w:ascii="Times New Roman" w:eastAsia="Times New Roman" w:hAnsi="Times New Roman" w:cs="Times New Roman"/>
          <w:sz w:val="24"/>
          <w:szCs w:val="24"/>
          <w:lang w:eastAsia="it-IT"/>
        </w:rPr>
        <w:t>l' A.</w:t>
      </w:r>
      <w:proofErr w:type="gramEnd"/>
      <w:r w:rsidRPr="003331C9">
        <w:rPr>
          <w:rFonts w:ascii="Times New Roman" w:eastAsia="Times New Roman" w:hAnsi="Times New Roman" w:cs="Times New Roman"/>
          <w:sz w:val="24"/>
          <w:szCs w:val="24"/>
          <w:lang w:eastAsia="it-IT"/>
        </w:rPr>
        <w:t>, quest'ultimo proponendo istanza di discussione orale, che è stata effettuata.</w:t>
      </w:r>
    </w:p>
    <w:p w14:paraId="2692795B" w14:textId="77777777" w:rsidR="003331C9" w:rsidRPr="003331C9" w:rsidRDefault="003331C9" w:rsidP="003331C9">
      <w:pPr>
        <w:spacing w:after="0" w:line="240" w:lineRule="auto"/>
        <w:rPr>
          <w:rFonts w:ascii="Times New Roman" w:eastAsia="Times New Roman" w:hAnsi="Times New Roman" w:cs="Times New Roman"/>
          <w:sz w:val="24"/>
          <w:szCs w:val="24"/>
          <w:lang w:eastAsia="it-IT"/>
        </w:rPr>
      </w:pPr>
    </w:p>
    <w:p w14:paraId="5C466F0D" w14:textId="77777777" w:rsidR="003331C9" w:rsidRPr="003331C9" w:rsidRDefault="003331C9" w:rsidP="003331C9">
      <w:pPr>
        <w:spacing w:after="0" w:line="240" w:lineRule="auto"/>
        <w:jc w:val="both"/>
        <w:rPr>
          <w:rFonts w:ascii="Times New Roman" w:eastAsia="Times New Roman" w:hAnsi="Times New Roman" w:cs="Times New Roman"/>
          <w:b/>
          <w:bCs/>
          <w:sz w:val="26"/>
          <w:szCs w:val="26"/>
          <w:lang w:eastAsia="it-IT"/>
        </w:rPr>
      </w:pPr>
      <w:r w:rsidRPr="003331C9">
        <w:rPr>
          <w:rFonts w:ascii="Times New Roman" w:eastAsia="Times New Roman" w:hAnsi="Times New Roman" w:cs="Times New Roman"/>
          <w:b/>
          <w:bCs/>
          <w:sz w:val="26"/>
          <w:szCs w:val="26"/>
          <w:lang w:eastAsia="it-IT"/>
        </w:rPr>
        <w:t>Motivi della decisione</w:t>
      </w:r>
    </w:p>
    <w:p w14:paraId="151F1B2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4. Tutte le censure, </w:t>
      </w:r>
      <w:proofErr w:type="spellStart"/>
      <w:r w:rsidRPr="003331C9">
        <w:rPr>
          <w:rFonts w:ascii="Times New Roman" w:eastAsia="Times New Roman" w:hAnsi="Times New Roman" w:cs="Times New Roman"/>
          <w:sz w:val="24"/>
          <w:szCs w:val="24"/>
          <w:lang w:eastAsia="it-IT"/>
        </w:rPr>
        <w:t>ictu</w:t>
      </w:r>
      <w:proofErr w:type="spellEnd"/>
      <w:r w:rsidRPr="003331C9">
        <w:rPr>
          <w:rFonts w:ascii="Times New Roman" w:eastAsia="Times New Roman" w:hAnsi="Times New Roman" w:cs="Times New Roman"/>
          <w:sz w:val="24"/>
          <w:szCs w:val="24"/>
          <w:lang w:eastAsia="it-IT"/>
        </w:rPr>
        <w:t xml:space="preserve"> oculi, possono essere unitariamente considerate, in quanto relative all'addotta assenza del requisito del controllo analogo, non essendo stati posti in effettiva discussione gli ulteriori due requisiti propri della società in house.</w:t>
      </w:r>
    </w:p>
    <w:p w14:paraId="6561109D"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La pluralità dei ricorsi contiene, invero, pur da punti di vista non sempre coincidenti, un'unica censura: avere la sentenza impugnata ritenuto la presenza del requisito del controllo analogo su Acquedotto Lucano S.p.A., requisito che invece non sarebbe sussistente, non emergendo dal suo statuto elementi diversi da quelli conformi alla disciplina delineata nel c.c. per le società di capitali.</w:t>
      </w:r>
    </w:p>
    <w:p w14:paraId="57C73D63"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I ricorrenti identificano, è possibile evidenziare in assoluta sintesi, il requisito del controllo analogo nella sua sostanziale assimilazione con il controllo operato dagli enti pubblici sulle proprie articolazioni organizzative e sui propri uffici, assimilazione di tale intensità da far ritenere le due forme sovrapponibili; pertanto rimarcano il difetto di vincoli gerarchici tra gli enti pubblici titolari delle partecipazioni di Acquedotto Lucano S.p.A. e i suoi organi sociali, nonché la mancanza di forme generalizzate di approvazione di ogni atto per cui lo si ritenga necessario con correlato potere di determinarne i contenuti, annullarli e in via preventiva autorizzarli, adducendo correlativamente che ricorrerebbe l'assenza di un potere di comando direttamente sulla gestione, valevole come prova dell'inesistenza del requisito.</w:t>
      </w:r>
    </w:p>
    <w:p w14:paraId="118ADD74"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5. È opportuno rilevare che la sentenza impugnata è pervenuta a riconoscere la sussistenza del requisito del controllo analogo con un percorso, soprattutto all'avvio, non completamente lineare, ma comunque ben comprensibile, vale a dire sufficientemente logico.</w:t>
      </w:r>
    </w:p>
    <w:p w14:paraId="175E607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in primis nella sentenza si è condivisa la prospettazione del Procuratore appellante, che aveva censurato la sentenza di primo grado per avere tenuto in conto solo l'assenza di clausole statutarie che manifestino un controllo analogo" e altresì osservato che l'esistenza di questo è evincibile non solo dallo statuto, ma pure da fonti ad esso superiori come leggi o regolamenti attribuenti la natura (sostanziale) di ente pubblico.</w:t>
      </w:r>
    </w:p>
    <w:p w14:paraId="1AA881D7"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Si adduce poi, peraltro, che "molto più semplicemente il riferimento primario" è proprio lo statuto, evidenziando quindi che il suo art. 7, all'ultimo comma, vieta il trasferimento di azioni a soggetti diversi dagli "enti pubblici territoriali costituenti l'Autorità d'Ambito Territoriale Ottimale di Basilicata", il che sarebbe "bastevole". Tuttavia, subito dopo si invoca la consolidata giurisprudenza di questa Suprema Corte per cui i requisiti della giurisdizione contabile costituiscono la ben nota triade (richiamando pure la fondamentale S.U. 26283/2013), per attribuire in seguito un effetto predominante ad uno di essi: "Ma quel che maggiormente interessa - al di là della contemporanea </w:t>
      </w:r>
      <w:r w:rsidRPr="003331C9">
        <w:rPr>
          <w:rFonts w:ascii="Times New Roman" w:eastAsia="Times New Roman" w:hAnsi="Times New Roman" w:cs="Times New Roman"/>
          <w:sz w:val="24"/>
          <w:szCs w:val="24"/>
          <w:lang w:eastAsia="it-IT"/>
        </w:rPr>
        <w:lastRenderedPageBreak/>
        <w:t>presenza di questi elementi - è che lo Statuto deve vietare "in modo assoluto" la cessione a privati delle partecipazioni".</w:t>
      </w:r>
    </w:p>
    <w:p w14:paraId="4D89D43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A questo punto il giudice contabile d'appello inserisce l'elemento della condivisibilità di cui risulta, a suo avviso, dotato il rilievo del Procuratore appellante per cui, a differenza di quanto ritenuto dal primo giudice, "lo Statuto prevede comunque alcune forme di supremazia dell'amministrazione pubblica, rilevanti ai fini del controllo".</w:t>
      </w:r>
    </w:p>
    <w:p w14:paraId="3B9E59C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Ricostruita successivamente, con dettaglio, la normativa regionale a proposito del servizio idrico e dato dunque atto che alla Autorità d'Ambito compete, tra l'altro, il controllo sulla gestione di tale servizio - autorità peraltro sostituita dalla Conferenza interistituzionale Idrica dal 1 gennaio 2011 ma all'epoca dei fatti non ancora costituita e quindi sostituita da un Commissario: la vicenda in esame, come già si è visto, riguarda gli anni dal 2010 a 2014 -, il giudice contabile d'appello osserva in particolare che la L.R. 63/1996 aveva previsto, all'art. 11, l'affidamento della gestione del servizio idrico ad un soggetto, che fu appunto Acquedotto Lucano S.p.A., in base ad una convenzione che avrebbe dovuto approvare il Consiglio Regionale. Quest'ultimo effettivamente approvò la convenzione tipo con delibera n. 502/2002, per cui AATO stipulò con detta società la "Convenzione di gestione", il cui art. 1 stabilisce: "L'Autorità di Ambito Territoriale Ottimale, unico in Basilicata, affida in via esclusiva la gestione del servizio idrico integrato ad Acquedotto Lucano S.p.A.".</w:t>
      </w:r>
    </w:p>
    <w:p w14:paraId="44E627EA"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Nella sentenza impugnata, ribadito allora che "sulla base della disciplina innanzi richiamata, all'AATO erano affidate tutte le funzioni amministrative di programmazione, organizzazione, vigilanza e controllo sulla gestione del servizio idrico integrato, mentre la gestione del servizio era affidata, in via esclusiva, ad Acquedotto Lucano", si ritorna a questo punto a valorizzare il contenuto dello Statuto: "Come correttamente rileva parte attrice nel proprio atto di appello, lo Statuto non ha soltanto previsto l'incedibilità delle azioni a soggetti differenti dagli enti locali territoriali d'ambito, ma anche l'oggetto e lo scopo sociale..., nonché la riserva all'Assemblea dei soci non solo della nomina degli amministratori (art. 16), ma soprattutto della preventiva autorizzazione su scelte fondamentali della società, ovvero il programma annuale e triennale della gestione e degli investimenti, la sottoscrizione della convenzione con l'AATO della Basilicata e la realizzazione di investimenti eccedenti il valore di Euro 1.000.000,00 (art. 15) ed, infine, il rinvio alle leggi previste in materia quale criterio residuale di disciplina (art. 29)". Da ciò si perviene a concludere che Acquedotto Lucano è società in house "sulla base dell'intera disciplina posta a fondamento del legislatore nazionale e comunitario, ma ancor prima dello Statuto".</w:t>
      </w:r>
    </w:p>
    <w:p w14:paraId="4C961DF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6. La società in house - è ben noto - rappresenta un istituto ibrido (non a caso è stata definita frutto di diritto pretorio della CGUE), il quale si colloca formalmente entro la specie disegnata dal c.c. ma parimenti, in particolare per giustificarne l'esonero dalla sottoposizione ai bandi di gara con evidente ripercussione sul principio </w:t>
      </w:r>
      <w:proofErr w:type="spellStart"/>
      <w:r w:rsidRPr="003331C9">
        <w:rPr>
          <w:rFonts w:ascii="Times New Roman" w:eastAsia="Times New Roman" w:hAnsi="Times New Roman" w:cs="Times New Roman"/>
          <w:sz w:val="24"/>
          <w:szCs w:val="24"/>
          <w:lang w:eastAsia="it-IT"/>
        </w:rPr>
        <w:t>unionale</w:t>
      </w:r>
      <w:proofErr w:type="spellEnd"/>
      <w:r w:rsidRPr="003331C9">
        <w:rPr>
          <w:rFonts w:ascii="Times New Roman" w:eastAsia="Times New Roman" w:hAnsi="Times New Roman" w:cs="Times New Roman"/>
          <w:sz w:val="24"/>
          <w:szCs w:val="24"/>
          <w:lang w:eastAsia="it-IT"/>
        </w:rPr>
        <w:t xml:space="preserve"> della concorrenza (principio intensamente forte, tanto che potrebbe definirsi "insistente"), se ne distanzia costruendo la propria struttura di eccezione soprattutto mediante la caratteristica/requisito su cui si impernia - tra le tre connotazioni che devono in essa coesistere - il nucleo della discussione svoltasi in questa causa, cioè l'assoggettamento al controllo analogo dell'ente pubblico cui si rapporta (o degli enti pubblici, come nel caso in esame) così da assumere una concretezza funzionale insita, "interna" all'ente pubblico, costituendone una effettiva propaggine nonostante il rivestimento privatistico.</w:t>
      </w:r>
    </w:p>
    <w:p w14:paraId="3607698A"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Da tempo, oramai, questo che è un fenomeno di discostamento tra forma e sostanza si presenta come oggetto di viva attenzione giurisprudenziale e legislativa.</w:t>
      </w:r>
    </w:p>
    <w:p w14:paraId="5568957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Poiché, come si è visto, la vicenda qui in esame è insorta in epoca precedente agli ultimi interventi normativi - si prospetta danno erariale nel periodo tra il 2010 e il 2014, e quindi anteriormente al </w:t>
      </w:r>
      <w:hyperlink r:id="rId146" w:history="1">
        <w:r w:rsidRPr="003331C9">
          <w:rPr>
            <w:rFonts w:ascii="Times New Roman" w:eastAsia="Times New Roman" w:hAnsi="Times New Roman" w:cs="Times New Roman"/>
            <w:b/>
            <w:bCs/>
            <w:color w:val="FFA403"/>
            <w:sz w:val="24"/>
            <w:szCs w:val="24"/>
            <w:lang w:eastAsia="it-IT"/>
          </w:rPr>
          <w:t>D.L.vo 19 agosto 2016, n. 175</w:t>
        </w:r>
      </w:hyperlink>
      <w:r w:rsidRPr="003331C9">
        <w:rPr>
          <w:rFonts w:ascii="Times New Roman" w:eastAsia="Times New Roman" w:hAnsi="Times New Roman" w:cs="Times New Roman"/>
          <w:sz w:val="24"/>
          <w:szCs w:val="24"/>
          <w:lang w:eastAsia="it-IT"/>
        </w:rPr>
        <w:t xml:space="preserve">, T.U. in materia di società a partecipazione pubblica, che ha attuato nell'ordinamento interno le direttive sui contratti pubblici </w:t>
      </w:r>
      <w:proofErr w:type="spellStart"/>
      <w:r w:rsidRPr="003331C9">
        <w:rPr>
          <w:rFonts w:ascii="Times New Roman" w:eastAsia="Times New Roman" w:hAnsi="Times New Roman" w:cs="Times New Roman"/>
          <w:sz w:val="24"/>
          <w:szCs w:val="24"/>
          <w:lang w:eastAsia="it-IT"/>
        </w:rPr>
        <w:t>nn</w:t>
      </w:r>
      <w:proofErr w:type="spellEnd"/>
      <w:r w:rsidRPr="003331C9">
        <w:rPr>
          <w:rFonts w:ascii="Times New Roman" w:eastAsia="Times New Roman" w:hAnsi="Times New Roman" w:cs="Times New Roman"/>
          <w:sz w:val="24"/>
          <w:szCs w:val="24"/>
          <w:lang w:eastAsia="it-IT"/>
        </w:rPr>
        <w:t>. 2014/23/UE, 2014/24/UE e 2014/25/UE sostituenti la direttiva 2006/123/Ce, e che in seguito è stato a sua volta novellato - appare opportuno rievocare sinteticamente lo "stato giuridico" dell'epoca in cui essa deve inquadrarsi.</w:t>
      </w:r>
    </w:p>
    <w:p w14:paraId="283A06BD"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7.1 Più rilevante in effetti del dato normativo interno sussistente in tale epoca (</w:t>
      </w:r>
      <w:hyperlink r:id="rId147" w:history="1">
        <w:r w:rsidRPr="003331C9">
          <w:rPr>
            <w:rFonts w:ascii="Times New Roman" w:eastAsia="Times New Roman" w:hAnsi="Times New Roman" w:cs="Times New Roman"/>
            <w:b/>
            <w:bCs/>
            <w:color w:val="FFA403"/>
            <w:sz w:val="24"/>
            <w:szCs w:val="24"/>
            <w:lang w:eastAsia="it-IT"/>
          </w:rPr>
          <w:t>art. 23 bis, D.L. 25 giugno 2008, n. 112</w:t>
        </w:r>
      </w:hyperlink>
      <w:r w:rsidRPr="003331C9">
        <w:rPr>
          <w:rFonts w:ascii="Times New Roman" w:eastAsia="Times New Roman" w:hAnsi="Times New Roman" w:cs="Times New Roman"/>
          <w:sz w:val="24"/>
          <w:szCs w:val="24"/>
          <w:lang w:eastAsia="it-IT"/>
        </w:rPr>
        <w:t>, convertito nella </w:t>
      </w:r>
      <w:hyperlink r:id="rId148" w:history="1">
        <w:r w:rsidRPr="003331C9">
          <w:rPr>
            <w:rFonts w:ascii="Times New Roman" w:eastAsia="Times New Roman" w:hAnsi="Times New Roman" w:cs="Times New Roman"/>
            <w:b/>
            <w:bCs/>
            <w:color w:val="FFA403"/>
            <w:sz w:val="24"/>
            <w:szCs w:val="24"/>
            <w:lang w:eastAsia="it-IT"/>
          </w:rPr>
          <w:t>L. 6 agosto 2008, n. 133</w:t>
        </w:r>
      </w:hyperlink>
      <w:r w:rsidRPr="003331C9">
        <w:rPr>
          <w:rFonts w:ascii="Times New Roman" w:eastAsia="Times New Roman" w:hAnsi="Times New Roman" w:cs="Times New Roman"/>
          <w:sz w:val="24"/>
          <w:szCs w:val="24"/>
          <w:lang w:eastAsia="it-IT"/>
        </w:rPr>
        <w:t xml:space="preserve"> aveva previsto l'obbligo della </w:t>
      </w:r>
      <w:r w:rsidRPr="003331C9">
        <w:rPr>
          <w:rFonts w:ascii="Times New Roman" w:eastAsia="Times New Roman" w:hAnsi="Times New Roman" w:cs="Times New Roman"/>
          <w:sz w:val="24"/>
          <w:szCs w:val="24"/>
          <w:lang w:eastAsia="it-IT"/>
        </w:rPr>
        <w:lastRenderedPageBreak/>
        <w:t>procedura competitiva di evidenza pubblica salva l'eccezione, qualora sussistessero particolari caratteristiche che non avrebbero consentito un efficace e utile ricorso al mercato, dell'affidamento diretto a "società di capitale interamente pubblico, partecipata dall'ente locale, che abbia i requisiti richiesti dall'ordinamento comunitario per la gestione cosiddetta "in house" e, comunque, nel rispetto dei principi della disciplina comunitaria in materia di controllo analogo sulla società e di prevalenza dell'attività svolta dalla stessa con l'ente o gli enti pubblici che la controllano", abrogato poi nel 2011, susseguendo poi il più restrittivo </w:t>
      </w:r>
      <w:hyperlink r:id="rId149" w:history="1">
        <w:r w:rsidRPr="003331C9">
          <w:rPr>
            <w:rFonts w:ascii="Times New Roman" w:eastAsia="Times New Roman" w:hAnsi="Times New Roman" w:cs="Times New Roman"/>
            <w:b/>
            <w:bCs/>
            <w:color w:val="FFA403"/>
            <w:sz w:val="24"/>
            <w:szCs w:val="24"/>
            <w:lang w:eastAsia="it-IT"/>
          </w:rPr>
          <w:t>art. 4, D.L. 13 agosto 2011, n. 138</w:t>
        </w:r>
      </w:hyperlink>
      <w:r w:rsidRPr="003331C9">
        <w:rPr>
          <w:rFonts w:ascii="Times New Roman" w:eastAsia="Times New Roman" w:hAnsi="Times New Roman" w:cs="Times New Roman"/>
          <w:sz w:val="24"/>
          <w:szCs w:val="24"/>
          <w:lang w:eastAsia="it-IT"/>
        </w:rPr>
        <w:t>, convertito nella </w:t>
      </w:r>
      <w:hyperlink r:id="rId150" w:history="1">
        <w:r w:rsidRPr="003331C9">
          <w:rPr>
            <w:rFonts w:ascii="Times New Roman" w:eastAsia="Times New Roman" w:hAnsi="Times New Roman" w:cs="Times New Roman"/>
            <w:b/>
            <w:bCs/>
            <w:color w:val="FFA403"/>
            <w:sz w:val="24"/>
            <w:szCs w:val="24"/>
            <w:lang w:eastAsia="it-IT"/>
          </w:rPr>
          <w:t>L. 14 settembre 2011, n. 148</w:t>
        </w:r>
      </w:hyperlink>
      <w:r w:rsidRPr="003331C9">
        <w:rPr>
          <w:rFonts w:ascii="Times New Roman" w:eastAsia="Times New Roman" w:hAnsi="Times New Roman" w:cs="Times New Roman"/>
          <w:sz w:val="24"/>
          <w:szCs w:val="24"/>
          <w:lang w:eastAsia="it-IT"/>
        </w:rPr>
        <w:t xml:space="preserve">, neanche un anno dopo a sua volta espunto, per incostituzionalità dichiarata dalla sentenza 20 luglio 2012 n. 199 della Consulta) che, come si è appena visto, non ha potuto ancora fruire delle direttive UE del 2014 e del correlato testo normativo interno, è l'ondata giurisprudenziale di Lussemburgo in tema, avviata dalla sentenza CGUE </w:t>
      </w:r>
      <w:proofErr w:type="spellStart"/>
      <w:r w:rsidRPr="003331C9">
        <w:rPr>
          <w:rFonts w:ascii="Times New Roman" w:eastAsia="Times New Roman" w:hAnsi="Times New Roman" w:cs="Times New Roman"/>
          <w:sz w:val="24"/>
          <w:szCs w:val="24"/>
          <w:lang w:eastAsia="it-IT"/>
        </w:rPr>
        <w:t>Teckal</w:t>
      </w:r>
      <w:proofErr w:type="spellEnd"/>
      <w:r w:rsidRPr="003331C9">
        <w:rPr>
          <w:rFonts w:ascii="Times New Roman" w:eastAsia="Times New Roman" w:hAnsi="Times New Roman" w:cs="Times New Roman"/>
          <w:sz w:val="24"/>
          <w:szCs w:val="24"/>
          <w:lang w:eastAsia="it-IT"/>
        </w:rPr>
        <w:t>, e che ha riconosciuto, appunto in M) pretoria, che in difetto di intersoggettività dall'ente affidante e quello affidatario non è configurabile un appalto bensì una gestione in house compatibile con i principi del Trattato che vietano la discriminazione degli operatori economici presenti sul mercato (così riassume il nucleo di questo fenomeno interpretativo la Corte Costituzionale nella sentenza 23 dicembre 2008 n. 439).</w:t>
      </w:r>
    </w:p>
    <w:p w14:paraId="55214FB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7.2 La sentenza 18 novembre 1999, C-107/1998, </w:t>
      </w:r>
      <w:proofErr w:type="spellStart"/>
      <w:r w:rsidRPr="003331C9">
        <w:rPr>
          <w:rFonts w:ascii="Times New Roman" w:eastAsia="Times New Roman" w:hAnsi="Times New Roman" w:cs="Times New Roman"/>
          <w:sz w:val="24"/>
          <w:szCs w:val="24"/>
          <w:lang w:eastAsia="it-IT"/>
        </w:rPr>
        <w:t>Teckal</w:t>
      </w:r>
      <w:proofErr w:type="spellEnd"/>
      <w:r w:rsidRPr="003331C9">
        <w:rPr>
          <w:rFonts w:ascii="Times New Roman" w:eastAsia="Times New Roman" w:hAnsi="Times New Roman" w:cs="Times New Roman"/>
          <w:sz w:val="24"/>
          <w:szCs w:val="24"/>
          <w:lang w:eastAsia="it-IT"/>
        </w:rPr>
        <w:t>, ha offerto per prima l'individuazione dell'entità in house precisando nella parte finale della propria motivazione che, "relativamente all'esistenza di un contratto, il giudice nazionale deve verificare se vi sia stato un incontro di volontà tra due persone distinte" si deve reputare sufficiente in linea di principio, "conformemente all'art. 1, lett. a), della direttiva 93/36,... che il contratto sia stato stipulato, da una parte, da un ente locale e, dall'altra, da una persona giuridicamente distinta da quest'ultimo", subito però avvertendo - ed è questo il punto -: "Può avvenire diversamente solo nel caso in cui, nel contempo, l'ente locale eserciti sulla persona di cui trattasi un controllo analogo a quello da esso esercitato sui propri servizi e questa persona realizzi la parte più importante della propria attività con l'ente o con gli enti locali che la controllano".</w:t>
      </w:r>
    </w:p>
    <w:p w14:paraId="79FBC4C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Il "controllo analogo" così emerso viene confermato (richiamando la </w:t>
      </w:r>
      <w:proofErr w:type="spellStart"/>
      <w:r w:rsidRPr="003331C9">
        <w:rPr>
          <w:rFonts w:ascii="Times New Roman" w:eastAsia="Times New Roman" w:hAnsi="Times New Roman" w:cs="Times New Roman"/>
          <w:sz w:val="24"/>
          <w:szCs w:val="24"/>
          <w:lang w:eastAsia="it-IT"/>
        </w:rPr>
        <w:t>Teckal</w:t>
      </w:r>
      <w:proofErr w:type="spellEnd"/>
      <w:r w:rsidRPr="003331C9">
        <w:rPr>
          <w:rFonts w:ascii="Times New Roman" w:eastAsia="Times New Roman" w:hAnsi="Times New Roman" w:cs="Times New Roman"/>
          <w:sz w:val="24"/>
          <w:szCs w:val="24"/>
          <w:lang w:eastAsia="it-IT"/>
        </w:rPr>
        <w:t xml:space="preserve">) dalla Corte di Lussemburgo con la sentenza 11 gennaio 2005, C-26/2003, </w:t>
      </w:r>
      <w:proofErr w:type="spellStart"/>
      <w:r w:rsidRPr="003331C9">
        <w:rPr>
          <w:rFonts w:ascii="Times New Roman" w:eastAsia="Times New Roman" w:hAnsi="Times New Roman" w:cs="Times New Roman"/>
          <w:sz w:val="24"/>
          <w:szCs w:val="24"/>
          <w:lang w:eastAsia="it-IT"/>
        </w:rPr>
        <w:t>Stadt</w:t>
      </w:r>
      <w:proofErr w:type="spellEnd"/>
      <w:r w:rsidRPr="003331C9">
        <w:rPr>
          <w:rFonts w:ascii="Times New Roman" w:eastAsia="Times New Roman" w:hAnsi="Times New Roman" w:cs="Times New Roman"/>
          <w:sz w:val="24"/>
          <w:szCs w:val="24"/>
          <w:lang w:eastAsia="it-IT"/>
        </w:rPr>
        <w:t xml:space="preserve"> Halle, per cui non sussiste l'obbligo di gara competitiva qualora "l'autorità pubblica, che sia un'amministrazione aggiudicatrice, eserciti sull'entità distinta in questione un controllo analogo a quello che essa esercita sui propri servizi e tale entità realizzi la parte più importante della propria attività con l'autorità o le autorità pubbliche che la controllano".</w:t>
      </w:r>
    </w:p>
    <w:p w14:paraId="4AB98B1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Come si possano accertare i requisiti focalizzati viene chiarito dalla successiva sentenza Parking Brixen, del 13 ottobre 2005, C-458/2003: occorre un'indagine caso per caso, che si rapporta quindi alla singola fattispecie. Quanto al controllo analogo, dunque, occorre "tener conto di tutte le disposizioni normative e delle circostanze pertinenti" per verificare appunto se l'affidatario "è soggetto a un controllo che consente all'autorità pubblica, concedente di influenzarne le decisioni": influenza, questa, che deve essere determinante "sia sugli obiettivi strategici che sulle decisioni importanti".</w:t>
      </w:r>
    </w:p>
    <w:p w14:paraId="4B1AE2FA"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Ulteriore presidio della natura in house viene altresì identificato nella cristallizzazione dell'oggetto sociale come manifestazione del rapporto fondamentale tra l'entità in house e gli enti pubblici, opponendosi a tale natura anche solo un'astratta possibilità di attivarsi in altri settori per elasticità dell'oggetto sociale nell'ambito di un'assoluta autonomia. Quest'ultimo rilievo sarà confermato dalla sentenza 11 maggio 2006, C-340/2004, </w:t>
      </w:r>
      <w:proofErr w:type="spellStart"/>
      <w:r w:rsidRPr="003331C9">
        <w:rPr>
          <w:rFonts w:ascii="Times New Roman" w:eastAsia="Times New Roman" w:hAnsi="Times New Roman" w:cs="Times New Roman"/>
          <w:sz w:val="24"/>
          <w:szCs w:val="24"/>
          <w:lang w:eastAsia="it-IT"/>
        </w:rPr>
        <w:t>Carbotermo</w:t>
      </w:r>
      <w:proofErr w:type="spellEnd"/>
      <w:r w:rsidRPr="003331C9">
        <w:rPr>
          <w:rFonts w:ascii="Times New Roman" w:eastAsia="Times New Roman" w:hAnsi="Times New Roman" w:cs="Times New Roman"/>
          <w:sz w:val="24"/>
          <w:szCs w:val="24"/>
          <w:lang w:eastAsia="it-IT"/>
        </w:rPr>
        <w:t>, in una fattispecie cui gli organi sociali godevano "i più ampi poteri per la gestione ordinaria e straordinaria della società", onde il controllo dell'ente pubblico si risolveva "sostanzialmente nei poteri che il diritto societario riconosce alla maggioranza dei soci", il che limitava "considerevolmente il suo potere di influire sulle decisioni" della società che avrebbe dovuto essere in house.</w:t>
      </w:r>
    </w:p>
    <w:p w14:paraId="61826BE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Tra le successive pronunce, rimanendo naturalmente entro l'area temporale anteriore alle direttive UE del 2014, non si può infine non ricordare la già sopra citata </w:t>
      </w:r>
      <w:proofErr w:type="spellStart"/>
      <w:r w:rsidRPr="003331C9">
        <w:rPr>
          <w:rFonts w:ascii="Times New Roman" w:eastAsia="Times New Roman" w:hAnsi="Times New Roman" w:cs="Times New Roman"/>
          <w:sz w:val="24"/>
          <w:szCs w:val="24"/>
          <w:lang w:eastAsia="it-IT"/>
        </w:rPr>
        <w:t>Econord</w:t>
      </w:r>
      <w:proofErr w:type="spellEnd"/>
      <w:r w:rsidRPr="003331C9">
        <w:rPr>
          <w:rFonts w:ascii="Times New Roman" w:eastAsia="Times New Roman" w:hAnsi="Times New Roman" w:cs="Times New Roman"/>
          <w:sz w:val="24"/>
          <w:szCs w:val="24"/>
          <w:lang w:eastAsia="it-IT"/>
        </w:rPr>
        <w:t xml:space="preserve">, cioè la sentenza 29 novembre 2012, C-182/2011 e C183/2011, che per l'esercizio del controllo analogo apre l'ingresso anche allo </w:t>
      </w:r>
      <w:r w:rsidRPr="003331C9">
        <w:rPr>
          <w:rFonts w:ascii="Times New Roman" w:eastAsia="Times New Roman" w:hAnsi="Times New Roman" w:cs="Times New Roman"/>
          <w:sz w:val="24"/>
          <w:szCs w:val="24"/>
          <w:lang w:eastAsia="it-IT"/>
        </w:rPr>
        <w:lastRenderedPageBreak/>
        <w:t>strumento dei patti parasociali nel caso di "un'entità posseduta in comune da più autorità pubbliche", che così possono esercitarlo congiuntamente.</w:t>
      </w:r>
    </w:p>
    <w:p w14:paraId="637384DE"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8. Denso è stato il riverbero della giurisprudenza di Lussemburgo sugli interventi di questa Suprema Corte, ed è ben noto che, proprio all'epoca in cui sarebbero avvenuti i fatti de </w:t>
      </w:r>
      <w:proofErr w:type="spellStart"/>
      <w:r w:rsidRPr="003331C9">
        <w:rPr>
          <w:rFonts w:ascii="Times New Roman" w:eastAsia="Times New Roman" w:hAnsi="Times New Roman" w:cs="Times New Roman"/>
          <w:sz w:val="24"/>
          <w:szCs w:val="24"/>
          <w:lang w:eastAsia="it-IT"/>
        </w:rPr>
        <w:t>quibus</w:t>
      </w:r>
      <w:proofErr w:type="spellEnd"/>
      <w:r w:rsidRPr="003331C9">
        <w:rPr>
          <w:rFonts w:ascii="Times New Roman" w:eastAsia="Times New Roman" w:hAnsi="Times New Roman" w:cs="Times New Roman"/>
          <w:sz w:val="24"/>
          <w:szCs w:val="24"/>
          <w:lang w:eastAsia="it-IT"/>
        </w:rPr>
        <w:t>, una tendenziale stabilizzazione in tale ampio flusso tematico è stata elaborata e inserita da S.U. 25 novembre 2013 n. 26283, massimata nel senso che la giurisdizione è contabile quando si tratta di azione "diretta a far valere la responsabilità degli organi sociali per i danni da essi cagionati al patrimonio di una società 'in house', così dovendosi intendere quella costituita da uno o più enti pubblici per l'esercizio di pubblici servizi, di cui esclusivamente i medesimi enti possano essere soci, che statutariamente esplichi la propria attività prevalente in favore degli enti partecipanti e la cui gestione sia per statuto assoggettata a forme di controllo analoghe a quelle esercitato dagli enti pubblici sui propri uffici".</w:t>
      </w:r>
    </w:p>
    <w:p w14:paraId="61BD18B4"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in questa sede, come si è visto, la focalizzazione è esclusivamente sul requisito del controllo analogo, ma è comunque opportuno riportare i passi più rilevanti del riordino operato in tale arresto fondamentale:</w:t>
      </w:r>
    </w:p>
    <w:p w14:paraId="2E69AC59"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"La direttiva 2006/123/Ce, relativa ai servizi nel mercato interno, lascia liberi gli Stati membri di decidere le modalità organizzative della prestazione dei servizi d'interesse economico generale (art. 1, par. 6). È perciò certamente consentito che, in conformità ai principi generali del diritto comunitario, gli enti pubblici scelgano se espletare tali servizi direttamente o tramite terzi e che, in quest'ultimo caso, individuino diverse possibili forme di esternalizzazione, ivi compreso l'affidamento a società partecipate dall'ente pubblico medesimo. in tale ambito, peraltro, si possono dare ipotesi ben distinte: l'affidamento a società totalmente estranee alla pubblica amministrazione, l'affidamento a società con azionariato misto, in parte pubblico ed in parte privato, ed infine l'affidamento a società c.d. in house. Solo in quest'ultimo caso la Corte di Giustizia Europea (sin dalla nota sentenza </w:t>
      </w:r>
      <w:proofErr w:type="spellStart"/>
      <w:r w:rsidRPr="003331C9">
        <w:rPr>
          <w:rFonts w:ascii="Times New Roman" w:eastAsia="Times New Roman" w:hAnsi="Times New Roman" w:cs="Times New Roman"/>
          <w:sz w:val="24"/>
          <w:szCs w:val="24"/>
          <w:lang w:eastAsia="it-IT"/>
        </w:rPr>
        <w:t>Teckal</w:t>
      </w:r>
      <w:proofErr w:type="spellEnd"/>
      <w:r w:rsidRPr="003331C9">
        <w:rPr>
          <w:rFonts w:ascii="Times New Roman" w:eastAsia="Times New Roman" w:hAnsi="Times New Roman" w:cs="Times New Roman"/>
          <w:sz w:val="24"/>
          <w:szCs w:val="24"/>
          <w:lang w:eastAsia="it-IT"/>
        </w:rPr>
        <w:t xml:space="preserve"> del 18 novembre 1999, n. 107/98) ha escluso la necessità del preventivo ricorso a procedure di evidenza pubblica, muovendo dal presupposto che non sussistono esigenze di tutela della concorrenza quando la società affidataria sia interamente partecipata dall'ente pubblico, eserciti in favore del medesimo la parte più importante della propria attività e sia soggetta al suo controllo in termini analoghi a quelli in cui si esplica il controllo gerarchico dell'ente sui propri stessi uffici".</w:t>
      </w:r>
    </w:p>
    <w:p w14:paraId="2705AEF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A proposito, allora, del controllo analogo, "quel che rileva è che l'ente pubblico partecipante abbia statutariamente il potere di dettare le linee strategiche e le scelte operative della società in house, i cui organi amministrativi vengono pertanto a trovarsi in posizione di vera e propria subordinazione gerarchica.</w:t>
      </w:r>
    </w:p>
    <w:p w14:paraId="201540E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L'espressione "controllo" non allude perciò, in questo caso, all'influenza dominante che il titolare della partecipazione maggioritaria (o totalitaria) è di regola in grado di esercitare sull'assemblea della società e, di riflesso, sulla scelta degli organi sociali; si tratta, invece, di un potere di comando direttamente esercitato sulla gestione dell'ente con modalità e con un'intensità non riconducibili ai diritti ed alle facoltà che normalmente spettano al socio (fosse pure un socio unico) in base alle regole dettate dal c.c., e sino al punto che agli organi della società non resta affidata nessuna autonoma rilevante autonomia gestionale (si vedano, in tal senso, le chiare indicazioni di Cons. Stato, Ad. </w:t>
      </w:r>
      <w:proofErr w:type="spellStart"/>
      <w:r w:rsidRPr="003331C9">
        <w:rPr>
          <w:rFonts w:ascii="Times New Roman" w:eastAsia="Times New Roman" w:hAnsi="Times New Roman" w:cs="Times New Roman"/>
          <w:sz w:val="24"/>
          <w:szCs w:val="24"/>
          <w:lang w:eastAsia="it-IT"/>
        </w:rPr>
        <w:t>Plen</w:t>
      </w:r>
      <w:proofErr w:type="spellEnd"/>
      <w:r w:rsidRPr="003331C9">
        <w:rPr>
          <w:rFonts w:ascii="Times New Roman" w:eastAsia="Times New Roman" w:hAnsi="Times New Roman" w:cs="Times New Roman"/>
          <w:sz w:val="24"/>
          <w:szCs w:val="24"/>
          <w:lang w:eastAsia="it-IT"/>
        </w:rPr>
        <w:t>., 3 marzo 2008, n. 1, e della conforme giurisprudenza amministrativa che ne è seguita)".</w:t>
      </w:r>
    </w:p>
    <w:p w14:paraId="6A66855F"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Puntualizza ancora, in seguito, questa pronuncia sotto un profilo più generale e alla luce di ulteriori, ivi richiamati interventi ermeneutici:</w:t>
      </w:r>
    </w:p>
    <w:p w14:paraId="7A178FF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"La società in house, come in qualche modo già la sua stessa denominazione denuncia, non pare... in grado di collocarsi come un'entità posta al di fuori dell'ente pubblico, il quale ne dispone come di una propria articolazione interna. È stato osservato, infatti, che essa non è altro che una longa manus della pubblica amministrazione, al punto che l'affidamento pubblico mediante in house </w:t>
      </w:r>
      <w:proofErr w:type="spellStart"/>
      <w:r w:rsidRPr="003331C9">
        <w:rPr>
          <w:rFonts w:ascii="Times New Roman" w:eastAsia="Times New Roman" w:hAnsi="Times New Roman" w:cs="Times New Roman"/>
          <w:sz w:val="24"/>
          <w:szCs w:val="24"/>
          <w:lang w:eastAsia="it-IT"/>
        </w:rPr>
        <w:t>contract</w:t>
      </w:r>
      <w:proofErr w:type="spellEnd"/>
      <w:r w:rsidRPr="003331C9">
        <w:rPr>
          <w:rFonts w:ascii="Times New Roman" w:eastAsia="Times New Roman" w:hAnsi="Times New Roman" w:cs="Times New Roman"/>
          <w:sz w:val="24"/>
          <w:szCs w:val="24"/>
          <w:lang w:eastAsia="it-IT"/>
        </w:rPr>
        <w:t xml:space="preserve"> neppure consente veramente di configurare un rapporto contrattuale intersoggettivo (Corte Cost. n. 46/13...); di talché "l'ente in house non può ritenersi terzo rispetto all'amministrazione controllante ma deve considerarsi come uno dei servizi propri dell'amministrazione stessa" (così Cons. Stato, Ad. </w:t>
      </w:r>
      <w:proofErr w:type="spellStart"/>
      <w:r w:rsidRPr="003331C9">
        <w:rPr>
          <w:rFonts w:ascii="Times New Roman" w:eastAsia="Times New Roman" w:hAnsi="Times New Roman" w:cs="Times New Roman"/>
          <w:sz w:val="24"/>
          <w:szCs w:val="24"/>
          <w:lang w:eastAsia="it-IT"/>
        </w:rPr>
        <w:t>plen</w:t>
      </w:r>
      <w:proofErr w:type="spellEnd"/>
      <w:r w:rsidRPr="003331C9">
        <w:rPr>
          <w:rFonts w:ascii="Times New Roman" w:eastAsia="Times New Roman" w:hAnsi="Times New Roman" w:cs="Times New Roman"/>
          <w:sz w:val="24"/>
          <w:szCs w:val="24"/>
          <w:lang w:eastAsia="it-IT"/>
        </w:rPr>
        <w:t>., n. 1/08...). Il velo che normalmente nasconde il socio dietro la società è dunque squarciato: la distinzione tra socio (pubblico) e società (in house) non si realizza più in termini di alterità soggettiva.</w:t>
      </w:r>
    </w:p>
    <w:p w14:paraId="74FAB34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lastRenderedPageBreak/>
        <w:t>L'uso del vocabolo società qui serve solo allora a significare che, ove manchino più specifiche disposizioni di segno contrario, il paradigma organizzativo va desunto dal modello societario; ma di una società di capitali, intesa come persona giuridica autonoma cui corrisponda un autonomo centro decisionale e di cui sia possibile individuare un interesse suo proprio, non è più possibile parlare." E da questo, alla fine dell'analisi, S.U. 26283/2013 deduce la ricorrenza del danno erariale.</w:t>
      </w:r>
    </w:p>
    <w:p w14:paraId="50BC5547"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9.1 Tra i vari arresti successivi a questa stabilizzazione interpretativa qui si limita naturalmente il richiamo di quelli di maggiore pregnanza rispetto alla fattispecie in esame.</w:t>
      </w:r>
    </w:p>
    <w:p w14:paraId="64205E5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È il caso, in particolare, di S.U. </w:t>
      </w:r>
      <w:proofErr w:type="spellStart"/>
      <w:r w:rsidRPr="003331C9">
        <w:rPr>
          <w:rFonts w:ascii="Times New Roman" w:eastAsia="Times New Roman" w:hAnsi="Times New Roman" w:cs="Times New Roman"/>
          <w:sz w:val="24"/>
          <w:szCs w:val="24"/>
          <w:lang w:eastAsia="it-IT"/>
        </w:rPr>
        <w:t>ord</w:t>
      </w:r>
      <w:proofErr w:type="spellEnd"/>
      <w:r w:rsidRPr="003331C9">
        <w:rPr>
          <w:rFonts w:ascii="Times New Roman" w:eastAsia="Times New Roman" w:hAnsi="Times New Roman" w:cs="Times New Roman"/>
          <w:sz w:val="24"/>
          <w:szCs w:val="24"/>
          <w:lang w:eastAsia="it-IT"/>
        </w:rPr>
        <w:t xml:space="preserve">. 12 dicembre 2019 n. 32608, che, nella motivazione, descrive e, per così dire, accetta sine </w:t>
      </w:r>
      <w:proofErr w:type="spellStart"/>
      <w:r w:rsidRPr="003331C9">
        <w:rPr>
          <w:rFonts w:ascii="Times New Roman" w:eastAsia="Times New Roman" w:hAnsi="Times New Roman" w:cs="Times New Roman"/>
          <w:sz w:val="24"/>
          <w:szCs w:val="24"/>
          <w:lang w:eastAsia="it-IT"/>
        </w:rPr>
        <w:t>metu</w:t>
      </w:r>
      <w:proofErr w:type="spellEnd"/>
      <w:r w:rsidRPr="003331C9">
        <w:rPr>
          <w:rFonts w:ascii="Times New Roman" w:eastAsia="Times New Roman" w:hAnsi="Times New Roman" w:cs="Times New Roman"/>
          <w:sz w:val="24"/>
          <w:szCs w:val="24"/>
          <w:lang w:eastAsia="it-IT"/>
        </w:rPr>
        <w:t xml:space="preserve"> l'evoluzione, </w:t>
      </w:r>
      <w:proofErr w:type="spellStart"/>
      <w:r w:rsidRPr="003331C9">
        <w:rPr>
          <w:rFonts w:ascii="Times New Roman" w:eastAsia="Times New Roman" w:hAnsi="Times New Roman" w:cs="Times New Roman"/>
          <w:sz w:val="24"/>
          <w:szCs w:val="24"/>
          <w:lang w:eastAsia="it-IT"/>
        </w:rPr>
        <w:t>deformalizzante</w:t>
      </w:r>
      <w:proofErr w:type="spellEnd"/>
      <w:r w:rsidRPr="003331C9">
        <w:rPr>
          <w:rFonts w:ascii="Times New Roman" w:eastAsia="Times New Roman" w:hAnsi="Times New Roman" w:cs="Times New Roman"/>
          <w:sz w:val="24"/>
          <w:szCs w:val="24"/>
          <w:lang w:eastAsia="it-IT"/>
        </w:rPr>
        <w:t xml:space="preserve"> in quanto teleologica, che ha colpito il danno erariale in questi anni, riconoscendo che "si esercita attività amministrativa non solo quando si svolgono pubbliche funzioni e poteri autoritativi, ma anche quando, nei limiti consentiti dall'ordinamento, si perseguono le finalità proprie dell'amministrazione pubblica mediante un'attività disciplinata in tutto o in parte dal diritto privato; con la conseguenza che il dato essenziale che radica la giurisdizione della Corte dei conti è rappresentato dall'evento dannoso verificatosi a carico di una pubblica amministrazione e non più dal quadro di riferimento - pubblico o privato - nel quale si colloca la condotta produttiva del danno"; e dunque "la responsabilità amministrativa per danno erariale postula una relazione funzionale tra il presunto autore dell'illecito e l'amministrazione pubblica: relazione che non implica necessariamente un rapporto di impiego in senso proprio, essendo sufficiente un rapporto di servizio nella sua accezione, appunto, di relazione funzionale che rende l'autore del danno compartecipe dell'operato dell'amministrazione o dell'ente". Tale rapporto di servizio sussiste nel caso in cui "un ente privato esterno all'amministrazione venga incaricato di svolgere, nell'interesse e con le risorse di quest'ultima, un'attività o un servizio pubblico in sua vece, inserendosi in tal modo nell'apparato organizzativo della P.A., mentre è irrilevante il titolo in base al quale la gestione è svolta, che può consistere in un rapporto di pubblico impiego o di servizio, in una concessione amministrativa, in un contratto e perfino mancare del tutto, potendo il relativo rapporto modellarsi secondo gli schemi generali previsti e disciplinati dalla legge, ovvero discostarsene in tutto o in parte".</w:t>
      </w:r>
    </w:p>
    <w:p w14:paraId="48CFBF0A"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9.2 Dunque, se si ragiona su questi rilievi, considerando il legame tra l'ente pubblico e il soggetto che ne è longa manus dal punto di vista di quest'ultimo, emerge comunque una scioltezza strutturale ormai raggiunta, per cui il "controllo analogo" che il primo dovrebbe esercitare sul secondo a sua volta diventa più elastico e commisurato al caso specifico.</w:t>
      </w:r>
    </w:p>
    <w:p w14:paraId="64E0CC8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Cass. </w:t>
      </w:r>
      <w:proofErr w:type="spellStart"/>
      <w:r w:rsidRPr="003331C9">
        <w:rPr>
          <w:rFonts w:ascii="Times New Roman" w:eastAsia="Times New Roman" w:hAnsi="Times New Roman" w:cs="Times New Roman"/>
          <w:sz w:val="24"/>
          <w:szCs w:val="24"/>
          <w:lang w:eastAsia="it-IT"/>
        </w:rPr>
        <w:t>ord</w:t>
      </w:r>
      <w:proofErr w:type="spellEnd"/>
      <w:r w:rsidRPr="003331C9">
        <w:rPr>
          <w:rFonts w:ascii="Times New Roman" w:eastAsia="Times New Roman" w:hAnsi="Times New Roman" w:cs="Times New Roman"/>
          <w:sz w:val="24"/>
          <w:szCs w:val="24"/>
          <w:lang w:eastAsia="it-IT"/>
        </w:rPr>
        <w:t>. 32608/2019, in seguito, ribadisce che la partecipazione pubblica è il presupposto del controllo analogo, ma osserva poi che "nel corso degli ultimi anni, la nozione di pubblica amministrazione si è progressivamente frantumata e relativizzata... l'ingresso di nuovi soggetti, l'ampliamento delle funzioni svolte dagli apparati amministrativi e, soprattutto, il carattere flessibile della nozione di ente pubblico hanno mutato l'assetto tradizionale: se prima la pubblica amministrazione evocava l'immagine di un pianeta con i suoi satelliti (l'amministrazione statale, in posizione di centralità, con gli altri enti pubblici che le gravitavano intorno), oggi essa ha invece assunto le sembianze di una costellazione multilivello e policentrica.</w:t>
      </w:r>
    </w:p>
    <w:p w14:paraId="1F1263F5"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Questa trasformazione, dalla pubblica amministrazione alle pubbliche amministrazioni, è rispecchiata nell'evoluzione legislativa e giurisprudenziale: con il legislatore che via via sottopone, con espresse disposizioni, soggetti formalmente privati a regole pubblicistiche, e con il formante giurisprudenziale pronto a riconoscere, dando rilievo a dati sostanziali e funzionali, natura pubblicistica a soggetti formalmente privati, al fine di assoggettarli in tutto o in parte ad un regime di diritto amministrativo".</w:t>
      </w:r>
    </w:p>
    <w:p w14:paraId="1F91617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10. in un siffatto quadro definibile di movimentazione informale (l'ordinanza appena richiamata si associa all'affermazione che "l'ordinamento si è ormai orientato verso una nozione funzionale e cangiante di ente pubblico" presente in Cons. Stato, sez. VI, 26 maggio 2015 n. 2660), è evidente che il controllo analogo, a sua volta, come già si accennava, non è un elemento rigido e uniforme, trovando a ben guardare il suo nucleo nell'aggettivo "analogo", che non solo impedisce l'identificazione di questo tipo di controllo con il controllo che la pubblica amministrazione esercita sui suoi uffici e sulle sue branche </w:t>
      </w:r>
      <w:proofErr w:type="spellStart"/>
      <w:r w:rsidRPr="003331C9">
        <w:rPr>
          <w:rFonts w:ascii="Times New Roman" w:eastAsia="Times New Roman" w:hAnsi="Times New Roman" w:cs="Times New Roman"/>
          <w:sz w:val="24"/>
          <w:szCs w:val="24"/>
          <w:lang w:eastAsia="it-IT"/>
        </w:rPr>
        <w:t>stricto</w:t>
      </w:r>
      <w:proofErr w:type="spellEnd"/>
      <w:r w:rsidRPr="003331C9">
        <w:rPr>
          <w:rFonts w:ascii="Times New Roman" w:eastAsia="Times New Roman" w:hAnsi="Times New Roman" w:cs="Times New Roman"/>
          <w:sz w:val="24"/>
          <w:szCs w:val="24"/>
          <w:lang w:eastAsia="it-IT"/>
        </w:rPr>
        <w:t xml:space="preserve"> </w:t>
      </w:r>
      <w:proofErr w:type="spellStart"/>
      <w:r w:rsidRPr="003331C9">
        <w:rPr>
          <w:rFonts w:ascii="Times New Roman" w:eastAsia="Times New Roman" w:hAnsi="Times New Roman" w:cs="Times New Roman"/>
          <w:sz w:val="24"/>
          <w:szCs w:val="24"/>
          <w:lang w:eastAsia="it-IT"/>
        </w:rPr>
        <w:t>sensu</w:t>
      </w:r>
      <w:proofErr w:type="spellEnd"/>
      <w:r w:rsidRPr="003331C9">
        <w:rPr>
          <w:rFonts w:ascii="Times New Roman" w:eastAsia="Times New Roman" w:hAnsi="Times New Roman" w:cs="Times New Roman"/>
          <w:sz w:val="24"/>
          <w:szCs w:val="24"/>
          <w:lang w:eastAsia="it-IT"/>
        </w:rPr>
        <w:t xml:space="preserve">, ma pure lascia intendere che l'analogia si commisura </w:t>
      </w:r>
      <w:r w:rsidRPr="003331C9">
        <w:rPr>
          <w:rFonts w:ascii="Times New Roman" w:eastAsia="Times New Roman" w:hAnsi="Times New Roman" w:cs="Times New Roman"/>
          <w:sz w:val="24"/>
          <w:szCs w:val="24"/>
          <w:lang w:eastAsia="it-IT"/>
        </w:rPr>
        <w:lastRenderedPageBreak/>
        <w:t>di caso in caso, cioè sussiste attraverso una forma variante che deriva dalle caratteristiche specifiche del soggetto da sottoporre al controllo analogo.</w:t>
      </w:r>
    </w:p>
    <w:p w14:paraId="27557D5B"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Non incide, poi, che la fattispecie sia collocata anche in epoca anteriore allo sviluppo di questa evoluzione, dal momento che l'evoluzione di per sé costituisce sempre una indicazione interpretativa della sostanza dell'istituto, esternandone le caratteristiche proprio la chiarificante progressione.</w:t>
      </w:r>
    </w:p>
    <w:p w14:paraId="15B6E573"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11. Il che, naturalmente, include nel format della flessibile concretezza pure la fonte del potere di controllo, il quale ordinariamente discende dallo statuto dell'entità controllata ma può altresì derivare dall'esterno, e quindi da normative che incidono sulla sua attività, essendo invero necessaria la sussistenza del controllo analogo, e non di per sé una circoscritta fonte del relativo potere (non appare convincente pertanto l'esclusiva necessità della fonte statutaria prospettata, p. es., da S.U. 21 giugno 2019 n. 16741 e da S.U. </w:t>
      </w:r>
      <w:proofErr w:type="spellStart"/>
      <w:r w:rsidRPr="003331C9">
        <w:rPr>
          <w:rFonts w:ascii="Times New Roman" w:eastAsia="Times New Roman" w:hAnsi="Times New Roman" w:cs="Times New Roman"/>
          <w:sz w:val="24"/>
          <w:szCs w:val="24"/>
          <w:lang w:eastAsia="it-IT"/>
        </w:rPr>
        <w:t>ord</w:t>
      </w:r>
      <w:proofErr w:type="spellEnd"/>
      <w:r w:rsidRPr="003331C9">
        <w:rPr>
          <w:rFonts w:ascii="Times New Roman" w:eastAsia="Times New Roman" w:hAnsi="Times New Roman" w:cs="Times New Roman"/>
          <w:sz w:val="24"/>
          <w:szCs w:val="24"/>
          <w:lang w:eastAsia="it-IT"/>
        </w:rPr>
        <w:t xml:space="preserve">. 12 aprile 2020 n. 7824, non massimata; </w:t>
      </w:r>
      <w:proofErr w:type="spellStart"/>
      <w:r w:rsidRPr="003331C9">
        <w:rPr>
          <w:rFonts w:ascii="Times New Roman" w:eastAsia="Times New Roman" w:hAnsi="Times New Roman" w:cs="Times New Roman"/>
          <w:sz w:val="24"/>
          <w:szCs w:val="24"/>
          <w:lang w:eastAsia="it-IT"/>
        </w:rPr>
        <w:t>condivisibilmente</w:t>
      </w:r>
      <w:proofErr w:type="spellEnd"/>
      <w:r w:rsidRPr="003331C9">
        <w:rPr>
          <w:rFonts w:ascii="Times New Roman" w:eastAsia="Times New Roman" w:hAnsi="Times New Roman" w:cs="Times New Roman"/>
          <w:sz w:val="24"/>
          <w:szCs w:val="24"/>
          <w:lang w:eastAsia="it-IT"/>
        </w:rPr>
        <w:t xml:space="preserve"> invece S.U. </w:t>
      </w:r>
      <w:proofErr w:type="spellStart"/>
      <w:r w:rsidRPr="003331C9">
        <w:rPr>
          <w:rFonts w:ascii="Times New Roman" w:eastAsia="Times New Roman" w:hAnsi="Times New Roman" w:cs="Times New Roman"/>
          <w:sz w:val="24"/>
          <w:szCs w:val="24"/>
          <w:lang w:eastAsia="it-IT"/>
        </w:rPr>
        <w:t>ord</w:t>
      </w:r>
      <w:proofErr w:type="spellEnd"/>
      <w:r w:rsidRPr="003331C9">
        <w:rPr>
          <w:rFonts w:ascii="Times New Roman" w:eastAsia="Times New Roman" w:hAnsi="Times New Roman" w:cs="Times New Roman"/>
          <w:sz w:val="24"/>
          <w:szCs w:val="24"/>
          <w:lang w:eastAsia="it-IT"/>
        </w:rPr>
        <w:t>. 8 luglio 2020 n. 4316, non massimata, riconosce la potenziale pluralità delle fonti del potere di controllo analogo, affermando che "il requisito del controllo analogo (a quello che si esercita nei confronti degli organi pubblici e agli enti pubblici funzionali)... consiste nel potere, riconosciuto dallo Statuto o dalla legge, dell'ente pubblico partecipante di dettare le linee strategiche e le scelte operative della società in house, di esprimere un potere di comando direttamente esercitato sulla gestione dell'ente societario con modalità ed intensità non riconducibili ai diritti ed alle facoltà normalmente spettanti al socio secondo le regole del c.c.", nel caso che era in esame vagliando quindi sia le previsioni normative sia le previsioni statutarie per concludere che si era dinanzi ad una società in house per "le caratteristiche complessive emergenti dall'evoluzione legislativa della struttura e funzione... e le coerenti indicazioni statutarie").</w:t>
      </w:r>
    </w:p>
    <w:p w14:paraId="248D3B0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Per completezza, poi, in relazione al caso eventualmente opposto, non si può non rilevare che la connotazione della analogia è necessaria componente della natura del potere sulla società in house, in quanto, se tale potere fosse del tutto sovrapponibile a quello gerarchicamente esercitato dall'ente pubblico su una sua articolazione interna, verrebbe meno la esistenza, anche codicistica, della società in house, che deve invece permanere, per quanto nella misura fortemente ridotta dal suo scopo. Anche questo deriva appunto dalla sostanza dell'analogia, la quale è una mera prossimità ontologica, che non può essere confusa con l'assoluta identità.</w:t>
      </w:r>
    </w:p>
    <w:p w14:paraId="591D611D"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Che il controllo analogo dunque debba qualificarsi come un </w:t>
      </w:r>
      <w:proofErr w:type="spellStart"/>
      <w:r w:rsidRPr="003331C9">
        <w:rPr>
          <w:rFonts w:ascii="Times New Roman" w:eastAsia="Times New Roman" w:hAnsi="Times New Roman" w:cs="Times New Roman"/>
          <w:sz w:val="24"/>
          <w:szCs w:val="24"/>
          <w:lang w:eastAsia="it-IT"/>
        </w:rPr>
        <w:t>aliud</w:t>
      </w:r>
      <w:proofErr w:type="spellEnd"/>
      <w:r w:rsidRPr="003331C9">
        <w:rPr>
          <w:rFonts w:ascii="Times New Roman" w:eastAsia="Times New Roman" w:hAnsi="Times New Roman" w:cs="Times New Roman"/>
          <w:sz w:val="24"/>
          <w:szCs w:val="24"/>
          <w:lang w:eastAsia="it-IT"/>
        </w:rPr>
        <w:t xml:space="preserve"> rispetto di controllo esercitato dalla pubblica amministrazione sugli uffici dipendenti è stato di recente confermato da S.U. </w:t>
      </w:r>
      <w:proofErr w:type="spellStart"/>
      <w:r w:rsidRPr="003331C9">
        <w:rPr>
          <w:rFonts w:ascii="Times New Roman" w:eastAsia="Times New Roman" w:hAnsi="Times New Roman" w:cs="Times New Roman"/>
          <w:sz w:val="24"/>
          <w:szCs w:val="24"/>
          <w:lang w:eastAsia="it-IT"/>
        </w:rPr>
        <w:t>ord</w:t>
      </w:r>
      <w:proofErr w:type="spellEnd"/>
      <w:r w:rsidRPr="003331C9">
        <w:rPr>
          <w:rFonts w:ascii="Times New Roman" w:eastAsia="Times New Roman" w:hAnsi="Times New Roman" w:cs="Times New Roman"/>
          <w:sz w:val="24"/>
          <w:szCs w:val="24"/>
          <w:lang w:eastAsia="it-IT"/>
        </w:rPr>
        <w:t>. 8 luglio 2020 n. 14236, non massimata, che, pur in relazione a una società in house strettamente avvinta all'ente pubblico da una serie di specifiche norme statutarie, e quindi mediante un obiter, ha comunque disatteso "una nozione di "controllo analogo" esercitata dall'ente pubblico sulla società in house tale da declassare la società di capitali a mera articolazione interna dell'ente pubblico, del tutto priva di autonomia e sottoposta all'identico potere gerarchico esercitato dall'Amministrazione sugli uffici dipendenti", proprio per le appena qui identificate ragioni:</w:t>
      </w:r>
    </w:p>
    <w:p w14:paraId="572387E0"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"Osta a tale interpretazione il dato letterale della norma che, qualificando il controllo esercitato come "analogo", intende propriamente affermare che esso non è uguale ma semplicemente simile a quello esercitato dall'ente pubblico sui propri servizi gestiti direttamente. inoltre una interpretazione del "controllo analogo" tale per cui la società in house risulti assoggettata ad un potere di direzione gerarchica indistinguibile da quello esercitato dall'ente pubblico sulle proprie articolazioni interne appare incompatibile con i principi di autonomia patrimoniale e attribuzione della personalità giuridica che il c.c. riconosce alla società di capitali".</w:t>
      </w:r>
    </w:p>
    <w:p w14:paraId="09207D43"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12. Tirando le fila di quanto finora si è considerato, si deve dunque affermare che il controllo analogo non è un controllo assoluto come su un pubblico ufficio, e quindi non è un controllo gerarchico, essendo costituito dal controllo di un soggetto esterno e rimasto distinto, a ben guardare, da quello controllato. Ne consegue ontologicamente la limitazione dell'obiettivo del controllo alle decisioni fondamentali del soggetto così controllato, ovvero quelle riconducibili alle linee strategiche e alle più importanti scelte operative, con il presidio a monte di un adeguato flusso di informazioni, in modo tale quindi da incidere sulla complessiva governance dell'attività della società in house, per tenere in conto e preservare le finalità pubbliche che comunque la permeano.</w:t>
      </w:r>
    </w:p>
    <w:p w14:paraId="3E72217F"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lastRenderedPageBreak/>
        <w:t>Le finalità pubbliche sono in effetti la stella polare del controllo quale elemento dinamico che connette concretamente la società in house con il pubblico ente: e lo strumento per concretizzare lo spazio attuativo del controllo non può essere identificato esclusivamente nello statuto, potendo pervenire pure dall'esterno della società in house, ovvero dal quadro normativo che si riverbera anche nel potere direzionale a mezzo di controllo che è attribuito all'ente pubblico.</w:t>
      </w:r>
    </w:p>
    <w:p w14:paraId="3B7BDAC8"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Lo scopo e le modalità, dunque, del fenomeno giuridico dell'attività "in house" (che, non si può non ammettere, sfiora di per sé una contraddizione in termini) si avvincono, come già sopra si segnalava, alla concretezza del caso: devono pertanto essere determinati caso per caso, anche ai fini della identificazione della giurisdizione e quindi della possibilità o meno della sussistenza di un danno erariale, sulla base dell'attribuzione appunto del controllo sulle decisioni fondamentali all'ente pubblico (o agli enti pubblici coinvolti), per finalità invero esterne/estranee alle esigenze </w:t>
      </w:r>
      <w:proofErr w:type="spellStart"/>
      <w:r w:rsidRPr="003331C9">
        <w:rPr>
          <w:rFonts w:ascii="Times New Roman" w:eastAsia="Times New Roman" w:hAnsi="Times New Roman" w:cs="Times New Roman"/>
          <w:sz w:val="24"/>
          <w:szCs w:val="24"/>
          <w:lang w:eastAsia="it-IT"/>
        </w:rPr>
        <w:t>stricto</w:t>
      </w:r>
      <w:proofErr w:type="spellEnd"/>
      <w:r w:rsidRPr="003331C9">
        <w:rPr>
          <w:rFonts w:ascii="Times New Roman" w:eastAsia="Times New Roman" w:hAnsi="Times New Roman" w:cs="Times New Roman"/>
          <w:sz w:val="24"/>
          <w:szCs w:val="24"/>
          <w:lang w:eastAsia="it-IT"/>
        </w:rPr>
        <w:t xml:space="preserve"> </w:t>
      </w:r>
      <w:proofErr w:type="spellStart"/>
      <w:r w:rsidRPr="003331C9">
        <w:rPr>
          <w:rFonts w:ascii="Times New Roman" w:eastAsia="Times New Roman" w:hAnsi="Times New Roman" w:cs="Times New Roman"/>
          <w:sz w:val="24"/>
          <w:szCs w:val="24"/>
          <w:lang w:eastAsia="it-IT"/>
        </w:rPr>
        <w:t>sensu</w:t>
      </w:r>
      <w:proofErr w:type="spellEnd"/>
      <w:r w:rsidRPr="003331C9">
        <w:rPr>
          <w:rFonts w:ascii="Times New Roman" w:eastAsia="Times New Roman" w:hAnsi="Times New Roman" w:cs="Times New Roman"/>
          <w:sz w:val="24"/>
          <w:szCs w:val="24"/>
          <w:lang w:eastAsia="it-IT"/>
        </w:rPr>
        <w:t xml:space="preserve"> societarie e che attribuiscono all'ente (o agli enti) un plus ontologico rispetto alla - per quanto indispensabile - qualità di socio (o di soci) della società in house.</w:t>
      </w:r>
    </w:p>
    <w:p w14:paraId="1984F5BD"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13.1 E nel presente caso, allora, la potenzialità del danno erariale è stata correttamente e </w:t>
      </w:r>
      <w:proofErr w:type="spellStart"/>
      <w:r w:rsidRPr="003331C9">
        <w:rPr>
          <w:rFonts w:ascii="Times New Roman" w:eastAsia="Times New Roman" w:hAnsi="Times New Roman" w:cs="Times New Roman"/>
          <w:sz w:val="24"/>
          <w:szCs w:val="24"/>
          <w:lang w:eastAsia="it-IT"/>
        </w:rPr>
        <w:t>condivisibilmente</w:t>
      </w:r>
      <w:proofErr w:type="spellEnd"/>
      <w:r w:rsidRPr="003331C9">
        <w:rPr>
          <w:rFonts w:ascii="Times New Roman" w:eastAsia="Times New Roman" w:hAnsi="Times New Roman" w:cs="Times New Roman"/>
          <w:sz w:val="24"/>
          <w:szCs w:val="24"/>
          <w:lang w:eastAsia="it-IT"/>
        </w:rPr>
        <w:t xml:space="preserve"> individuata ai fini della identificazione del giudice in quello contabile dalla sentenza qui in esame, per quel che concerne il controllo analogo individuando i corrispondenti segnali sia nello statuto di Acquedotto Lucano S.p.A. sia nel pattern normativo in cui è innestato.</w:t>
      </w:r>
    </w:p>
    <w:p w14:paraId="1CD4074A"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Come sopra si è visto, la Corte dei conti ha rilevato che lo statuto di Acquedotto Lucano S.p.A. all'assemblea dei soci, oltre ad attribuire la nomina degli amministratori, "soprattutto" riserva la "preventiva autorizzazione su scelte fondamentali per la società, ovvero il programma annuale e triennale della gestione e degli investimenti, la sottoscrizione della convenzione con l'AATO della Basilicata e la realizzazione di investimenti eccedenti il valore di 1.000.000", disponendo inoltre lo statuto stesso - come una sorta di connessione conclusiva - "il rinvio alle leggi previste in materia quale criterio residuale di disciplina" (la sentenza dedica una dettagliata descrizione alle pertinenti leggi regionali).</w:t>
      </w:r>
    </w:p>
    <w:p w14:paraId="0D285B2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13.2 La sussistenza del controllo analogo può essere corroborata e "spiegata", logicamente, dal suo incastonarsi nella presenza degli altri requisiti, qualora conformati in senso sintonico e quindi costituenti un indice di tale sussistenza pur non decisivo, in quanto il controllo analogo si incentra non su una base dominicale, ma, </w:t>
      </w:r>
      <w:proofErr w:type="spellStart"/>
      <w:r w:rsidRPr="003331C9">
        <w:rPr>
          <w:rFonts w:ascii="Times New Roman" w:eastAsia="Times New Roman" w:hAnsi="Times New Roman" w:cs="Times New Roman"/>
          <w:sz w:val="24"/>
          <w:szCs w:val="24"/>
          <w:lang w:eastAsia="it-IT"/>
        </w:rPr>
        <w:t>ictu</w:t>
      </w:r>
      <w:proofErr w:type="spellEnd"/>
      <w:r w:rsidRPr="003331C9">
        <w:rPr>
          <w:rFonts w:ascii="Times New Roman" w:eastAsia="Times New Roman" w:hAnsi="Times New Roman" w:cs="Times New Roman"/>
          <w:sz w:val="24"/>
          <w:szCs w:val="24"/>
          <w:lang w:eastAsia="it-IT"/>
        </w:rPr>
        <w:t xml:space="preserve"> oculi, su una dimensione funzionale.</w:t>
      </w:r>
    </w:p>
    <w:p w14:paraId="603CD222"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Così nel caso in esame, ancora </w:t>
      </w:r>
      <w:proofErr w:type="spellStart"/>
      <w:r w:rsidRPr="003331C9">
        <w:rPr>
          <w:rFonts w:ascii="Times New Roman" w:eastAsia="Times New Roman" w:hAnsi="Times New Roman" w:cs="Times New Roman"/>
          <w:sz w:val="24"/>
          <w:szCs w:val="24"/>
          <w:lang w:eastAsia="it-IT"/>
        </w:rPr>
        <w:t>condivisibilmente</w:t>
      </w:r>
      <w:proofErr w:type="spellEnd"/>
      <w:r w:rsidRPr="003331C9">
        <w:rPr>
          <w:rFonts w:ascii="Times New Roman" w:eastAsia="Times New Roman" w:hAnsi="Times New Roman" w:cs="Times New Roman"/>
          <w:sz w:val="24"/>
          <w:szCs w:val="24"/>
          <w:lang w:eastAsia="it-IT"/>
        </w:rPr>
        <w:t xml:space="preserve">, la sentenza impugnata ha ravvisato una forma di supremazia pubblica nell'art. 7 dello statuto, che circoscrive il trasferimento delle azioni a qualunque titolo agli "enti pubblici territoriali costituenti l'Autorità di Ambito Territoriale Ottimale di Basilicata" (cfr. S.U. 21 giugno 2019 n. 16741, la quale - anche alla luce di giurisprudenza della CGUE come le sentenze del 13 novembre 2008, C-327/2007, </w:t>
      </w:r>
      <w:proofErr w:type="spellStart"/>
      <w:r w:rsidRPr="003331C9">
        <w:rPr>
          <w:rFonts w:ascii="Times New Roman" w:eastAsia="Times New Roman" w:hAnsi="Times New Roman" w:cs="Times New Roman"/>
          <w:sz w:val="24"/>
          <w:szCs w:val="24"/>
          <w:lang w:eastAsia="it-IT"/>
        </w:rPr>
        <w:t>Coditel</w:t>
      </w:r>
      <w:proofErr w:type="spellEnd"/>
      <w:r w:rsidRPr="003331C9">
        <w:rPr>
          <w:rFonts w:ascii="Times New Roman" w:eastAsia="Times New Roman" w:hAnsi="Times New Roman" w:cs="Times New Roman"/>
          <w:sz w:val="24"/>
          <w:szCs w:val="24"/>
          <w:lang w:eastAsia="it-IT"/>
        </w:rPr>
        <w:t xml:space="preserve"> </w:t>
      </w:r>
      <w:proofErr w:type="spellStart"/>
      <w:r w:rsidRPr="003331C9">
        <w:rPr>
          <w:rFonts w:ascii="Times New Roman" w:eastAsia="Times New Roman" w:hAnsi="Times New Roman" w:cs="Times New Roman"/>
          <w:sz w:val="24"/>
          <w:szCs w:val="24"/>
          <w:lang w:eastAsia="it-IT"/>
        </w:rPr>
        <w:t>Brabant</w:t>
      </w:r>
      <w:proofErr w:type="spellEnd"/>
      <w:r w:rsidRPr="003331C9">
        <w:rPr>
          <w:rFonts w:ascii="Times New Roman" w:eastAsia="Times New Roman" w:hAnsi="Times New Roman" w:cs="Times New Roman"/>
          <w:sz w:val="24"/>
          <w:szCs w:val="24"/>
          <w:lang w:eastAsia="it-IT"/>
        </w:rPr>
        <w:t xml:space="preserve"> SA, e del 19 giugno 2014, C-574/2012, Centro </w:t>
      </w:r>
      <w:proofErr w:type="spellStart"/>
      <w:r w:rsidRPr="003331C9">
        <w:rPr>
          <w:rFonts w:ascii="Times New Roman" w:eastAsia="Times New Roman" w:hAnsi="Times New Roman" w:cs="Times New Roman"/>
          <w:sz w:val="24"/>
          <w:szCs w:val="24"/>
          <w:lang w:eastAsia="it-IT"/>
        </w:rPr>
        <w:t>Hospitalar</w:t>
      </w:r>
      <w:proofErr w:type="spellEnd"/>
      <w:r w:rsidRPr="003331C9">
        <w:rPr>
          <w:rFonts w:ascii="Times New Roman" w:eastAsia="Times New Roman" w:hAnsi="Times New Roman" w:cs="Times New Roman"/>
          <w:sz w:val="24"/>
          <w:szCs w:val="24"/>
          <w:lang w:eastAsia="it-IT"/>
        </w:rPr>
        <w:t xml:space="preserve"> de Setubal giunge a precisare che "non può attribuirsi un carattere formale al requisito della iscrizione nello statuto della società in house della clausola di appartenenza esclusiva del capitale sociale all'ente che esercita il controllo in termini analoghi").</w:t>
      </w:r>
    </w:p>
    <w:p w14:paraId="185657B1"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14. La sussistenza, in conclusione, della giurisdizione contabile nel caso in esame deve allora confermarsi, le ampie argomentazioni dei ricorsi non essendo comunque risultate tali da inficiare tutti gli elementi emersi ed illustrati che la sorreggono.</w:t>
      </w:r>
    </w:p>
    <w:p w14:paraId="436EE603"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 xml:space="preserve">Ne consegue il rigetto dei ricorsi stessi, non essendovi luogo a pronuncia sulle spese processuali, in quanto il Procuratore Generale presso la Corte dei Conti ha rivestito il ruolo di parte soltanto in senso formale (tra le pronunce massimate lo hanno </w:t>
      </w:r>
      <w:proofErr w:type="spellStart"/>
      <w:r w:rsidRPr="003331C9">
        <w:rPr>
          <w:rFonts w:ascii="Times New Roman" w:eastAsia="Times New Roman" w:hAnsi="Times New Roman" w:cs="Times New Roman"/>
          <w:sz w:val="24"/>
          <w:szCs w:val="24"/>
          <w:lang w:eastAsia="it-IT"/>
        </w:rPr>
        <w:t>condivisibilmente</w:t>
      </w:r>
      <w:proofErr w:type="spellEnd"/>
      <w:r w:rsidRPr="003331C9">
        <w:rPr>
          <w:rFonts w:ascii="Times New Roman" w:eastAsia="Times New Roman" w:hAnsi="Times New Roman" w:cs="Times New Roman"/>
          <w:sz w:val="24"/>
          <w:szCs w:val="24"/>
          <w:lang w:eastAsia="it-IT"/>
        </w:rPr>
        <w:t xml:space="preserve"> affermato la recente S.U. 28 febbraio 2020 n. 5589 nonché la più risalente S.U. </w:t>
      </w:r>
      <w:proofErr w:type="spellStart"/>
      <w:r w:rsidRPr="003331C9">
        <w:rPr>
          <w:rFonts w:ascii="Times New Roman" w:eastAsia="Times New Roman" w:hAnsi="Times New Roman" w:cs="Times New Roman"/>
          <w:sz w:val="24"/>
          <w:szCs w:val="24"/>
          <w:lang w:eastAsia="it-IT"/>
        </w:rPr>
        <w:t>ord</w:t>
      </w:r>
      <w:proofErr w:type="spellEnd"/>
      <w:r w:rsidRPr="003331C9">
        <w:rPr>
          <w:rFonts w:ascii="Times New Roman" w:eastAsia="Times New Roman" w:hAnsi="Times New Roman" w:cs="Times New Roman"/>
          <w:sz w:val="24"/>
          <w:szCs w:val="24"/>
          <w:lang w:eastAsia="it-IT"/>
        </w:rPr>
        <w:t>. 2 aprile 2003 n. 5105).</w:t>
      </w:r>
    </w:p>
    <w:p w14:paraId="107ACA39"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Seguendo l'insegnamento di S.U. 20 febbraio 2020 n. 4315 si dà atto, ai sensi del </w:t>
      </w:r>
      <w:hyperlink r:id="rId151" w:history="1">
        <w:r w:rsidRPr="003331C9">
          <w:rPr>
            <w:rFonts w:ascii="Times New Roman" w:eastAsia="Times New Roman" w:hAnsi="Times New Roman" w:cs="Times New Roman"/>
            <w:b/>
            <w:bCs/>
            <w:color w:val="FFA403"/>
            <w:sz w:val="24"/>
            <w:szCs w:val="24"/>
            <w:lang w:eastAsia="it-IT"/>
          </w:rPr>
          <w:t>D.P.R. n. 115 del 2012</w:t>
        </w:r>
      </w:hyperlink>
      <w:r w:rsidRPr="003331C9">
        <w:rPr>
          <w:rFonts w:ascii="Times New Roman" w:eastAsia="Times New Roman" w:hAnsi="Times New Roman" w:cs="Times New Roman"/>
          <w:sz w:val="24"/>
          <w:szCs w:val="24"/>
          <w:lang w:eastAsia="it-IT"/>
        </w:rPr>
        <w:t>, art. 13, comma 1 quater, della sussistenza dei presupposti processuali per il versamento, da parte dei ricorrenti, di un ulteriore importo a titolo di contributo unificato pari a quello dovuto per il ricorso, a norma dello stesso art. 13, comma 1 bis, se dovuto.</w:t>
      </w:r>
    </w:p>
    <w:p w14:paraId="51ACAAF9"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P.Q.M.</w:t>
      </w:r>
    </w:p>
    <w:p w14:paraId="6827EA1F"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t>Rigetta i ricorsi. Nulla spese.</w:t>
      </w:r>
    </w:p>
    <w:p w14:paraId="5E4D9508" w14:textId="77777777" w:rsidR="003331C9" w:rsidRPr="003331C9" w:rsidRDefault="003331C9" w:rsidP="003331C9">
      <w:pPr>
        <w:spacing w:after="0" w:line="240" w:lineRule="auto"/>
        <w:jc w:val="both"/>
        <w:rPr>
          <w:rFonts w:ascii="Times New Roman" w:eastAsia="Times New Roman" w:hAnsi="Times New Roman" w:cs="Times New Roman"/>
          <w:sz w:val="24"/>
          <w:szCs w:val="24"/>
          <w:lang w:eastAsia="it-IT"/>
        </w:rPr>
      </w:pPr>
      <w:r w:rsidRPr="003331C9">
        <w:rPr>
          <w:rFonts w:ascii="Times New Roman" w:eastAsia="Times New Roman" w:hAnsi="Times New Roman" w:cs="Times New Roman"/>
          <w:sz w:val="24"/>
          <w:szCs w:val="24"/>
          <w:lang w:eastAsia="it-IT"/>
        </w:rPr>
        <w:lastRenderedPageBreak/>
        <w:t>Ai sensi del </w:t>
      </w:r>
      <w:hyperlink r:id="rId152" w:history="1">
        <w:r w:rsidRPr="003331C9">
          <w:rPr>
            <w:rFonts w:ascii="Times New Roman" w:eastAsia="Times New Roman" w:hAnsi="Times New Roman" w:cs="Times New Roman"/>
            <w:b/>
            <w:bCs/>
            <w:color w:val="FFA403"/>
            <w:sz w:val="24"/>
            <w:szCs w:val="24"/>
            <w:lang w:eastAsia="it-IT"/>
          </w:rPr>
          <w:t>D.P.R. n. 115 del 2002</w:t>
        </w:r>
      </w:hyperlink>
      <w:r w:rsidRPr="003331C9">
        <w:rPr>
          <w:rFonts w:ascii="Times New Roman" w:eastAsia="Times New Roman" w:hAnsi="Times New Roman" w:cs="Times New Roman"/>
          <w:sz w:val="24"/>
          <w:szCs w:val="24"/>
          <w:lang w:eastAsia="it-IT"/>
        </w:rPr>
        <w:t>, art. 13, comma 1 quater, dà atto della sussistenza dei presupposti per il versamento, da parte dei ricorrenti, dell'ulteriore importo a titolo di contributo unificato, pari a quello dovuto per il ricorso a norma dello stesso art. 13, comma 1 bis, se dovuto.</w:t>
      </w:r>
    </w:p>
    <w:p w14:paraId="615B31B7" w14:textId="77777777" w:rsidR="003331C9" w:rsidRPr="003331C9" w:rsidRDefault="003331C9" w:rsidP="003331C9">
      <w:pPr>
        <w:spacing w:after="0" w:line="240" w:lineRule="auto"/>
        <w:rPr>
          <w:rFonts w:ascii="Times New Roman" w:eastAsia="Times New Roman" w:hAnsi="Times New Roman" w:cs="Times New Roman"/>
          <w:sz w:val="24"/>
          <w:szCs w:val="24"/>
          <w:lang w:eastAsia="it-IT"/>
        </w:rPr>
      </w:pPr>
    </w:p>
    <w:p w14:paraId="06872540" w14:textId="77777777" w:rsidR="00B34B36" w:rsidRDefault="00B34B36"/>
    <w:p w14:paraId="0A1A8D8B" w14:textId="6CBEF82B" w:rsidR="003331C9" w:rsidRPr="003331C9" w:rsidRDefault="003331C9" w:rsidP="003331C9">
      <w:pPr>
        <w:shd w:val="clear" w:color="auto" w:fill="FFFFFF"/>
        <w:spacing w:after="0" w:line="240" w:lineRule="auto"/>
        <w:rPr>
          <w:rFonts w:ascii="Lato" w:eastAsia="Times New Roman" w:hAnsi="Lato" w:cs="Times New Roman"/>
          <w:color w:val="000000"/>
          <w:spacing w:val="5"/>
          <w:sz w:val="24"/>
          <w:szCs w:val="24"/>
          <w:lang w:eastAsia="it-IT"/>
        </w:rPr>
      </w:pPr>
    </w:p>
    <w:p w14:paraId="37B4C9BD" w14:textId="77777777" w:rsidR="003331C9" w:rsidRPr="003331C9" w:rsidRDefault="003331C9" w:rsidP="003331C9">
      <w:pPr>
        <w:shd w:val="clear" w:color="auto" w:fill="FFFFFF"/>
        <w:spacing w:after="0" w:line="240" w:lineRule="auto"/>
        <w:rPr>
          <w:rFonts w:ascii="Lato" w:eastAsia="Times New Roman" w:hAnsi="Lato" w:cs="Times New Roman"/>
          <w:color w:val="000000"/>
          <w:spacing w:val="5"/>
          <w:sz w:val="24"/>
          <w:szCs w:val="24"/>
          <w:lang w:eastAsia="it-IT"/>
        </w:rPr>
      </w:pPr>
      <w:r w:rsidRPr="003331C9">
        <w:rPr>
          <w:rFonts w:ascii="Lato" w:eastAsia="Times New Roman" w:hAnsi="Lato" w:cs="Times New Roman"/>
          <w:color w:val="000000"/>
          <w:spacing w:val="5"/>
          <w:sz w:val="24"/>
          <w:szCs w:val="24"/>
          <w:lang w:eastAsia="it-IT"/>
        </w:rPr>
        <w:t>Amministrazione dello Stato e degli enti pubblici in genere</w:t>
      </w:r>
    </w:p>
    <w:p w14:paraId="2DAC3300" w14:textId="77777777" w:rsidR="003331C9" w:rsidRPr="003331C9" w:rsidRDefault="003331C9" w:rsidP="003331C9">
      <w:pPr>
        <w:shd w:val="clear" w:color="auto" w:fill="FFFFFF"/>
        <w:spacing w:after="0" w:line="240" w:lineRule="auto"/>
        <w:jc w:val="both"/>
        <w:rPr>
          <w:rFonts w:ascii="Lato" w:eastAsia="Times New Roman" w:hAnsi="Lato" w:cs="Times New Roman"/>
          <w:i/>
          <w:iCs/>
          <w:color w:val="000000"/>
          <w:spacing w:val="5"/>
          <w:sz w:val="20"/>
          <w:szCs w:val="20"/>
          <w:lang w:eastAsia="it-IT"/>
        </w:rPr>
      </w:pPr>
      <w:proofErr w:type="spellStart"/>
      <w:r w:rsidRPr="003331C9">
        <w:rPr>
          <w:rFonts w:ascii="Lato" w:eastAsia="Times New Roman" w:hAnsi="Lato" w:cs="Times New Roman"/>
          <w:i/>
          <w:iCs/>
          <w:color w:val="000000"/>
          <w:spacing w:val="5"/>
          <w:sz w:val="20"/>
          <w:szCs w:val="20"/>
          <w:lang w:eastAsia="it-IT"/>
        </w:rPr>
        <w:t>Trib</w:t>
      </w:r>
      <w:proofErr w:type="spellEnd"/>
      <w:r w:rsidRPr="003331C9">
        <w:rPr>
          <w:rFonts w:ascii="Lato" w:eastAsia="Times New Roman" w:hAnsi="Lato" w:cs="Times New Roman"/>
          <w:i/>
          <w:iCs/>
          <w:color w:val="000000"/>
          <w:spacing w:val="5"/>
          <w:sz w:val="20"/>
          <w:szCs w:val="20"/>
          <w:lang w:eastAsia="it-IT"/>
        </w:rPr>
        <w:t xml:space="preserve">. civ., </w:t>
      </w:r>
      <w:proofErr w:type="spellStart"/>
      <w:r w:rsidRPr="003331C9">
        <w:rPr>
          <w:rFonts w:ascii="Lato" w:eastAsia="Times New Roman" w:hAnsi="Lato" w:cs="Times New Roman"/>
          <w:i/>
          <w:iCs/>
          <w:color w:val="000000"/>
          <w:spacing w:val="5"/>
          <w:sz w:val="20"/>
          <w:szCs w:val="20"/>
          <w:lang w:eastAsia="it-IT"/>
        </w:rPr>
        <w:t>sent</w:t>
      </w:r>
      <w:proofErr w:type="spellEnd"/>
      <w:r w:rsidRPr="003331C9">
        <w:rPr>
          <w:rFonts w:ascii="Lato" w:eastAsia="Times New Roman" w:hAnsi="Lato" w:cs="Times New Roman"/>
          <w:i/>
          <w:iCs/>
          <w:color w:val="000000"/>
          <w:spacing w:val="5"/>
          <w:sz w:val="20"/>
          <w:szCs w:val="20"/>
          <w:lang w:eastAsia="it-IT"/>
        </w:rPr>
        <w:t>. Civitavecchia, 24 giugno 2022</w:t>
      </w:r>
      <w:proofErr w:type="gramStart"/>
      <w:r w:rsidRPr="003331C9">
        <w:rPr>
          <w:rFonts w:ascii="Lato" w:eastAsia="Times New Roman" w:hAnsi="Lato" w:cs="Times New Roman"/>
          <w:i/>
          <w:iCs/>
          <w:color w:val="000000"/>
          <w:spacing w:val="5"/>
          <w:sz w:val="20"/>
          <w:szCs w:val="20"/>
          <w:lang w:eastAsia="it-IT"/>
        </w:rPr>
        <w:t>, ,</w:t>
      </w:r>
      <w:proofErr w:type="gramEnd"/>
      <w:r w:rsidRPr="003331C9">
        <w:rPr>
          <w:rFonts w:ascii="Lato" w:eastAsia="Times New Roman" w:hAnsi="Lato" w:cs="Times New Roman"/>
          <w:i/>
          <w:iCs/>
          <w:color w:val="000000"/>
          <w:spacing w:val="5"/>
          <w:sz w:val="20"/>
          <w:szCs w:val="20"/>
          <w:lang w:eastAsia="it-IT"/>
        </w:rPr>
        <w:t xml:space="preserve"> </w:t>
      </w:r>
      <w:proofErr w:type="spellStart"/>
      <w:r w:rsidRPr="003331C9">
        <w:rPr>
          <w:rFonts w:ascii="Lato" w:eastAsia="Times New Roman" w:hAnsi="Lato" w:cs="Times New Roman"/>
          <w:i/>
          <w:iCs/>
          <w:color w:val="000000"/>
          <w:spacing w:val="5"/>
          <w:sz w:val="20"/>
          <w:szCs w:val="20"/>
          <w:lang w:eastAsia="it-IT"/>
        </w:rPr>
        <w:t>Bazuro</w:t>
      </w:r>
      <w:proofErr w:type="spellEnd"/>
      <w:r w:rsidRPr="003331C9">
        <w:rPr>
          <w:rFonts w:ascii="Lato" w:eastAsia="Times New Roman" w:hAnsi="Lato" w:cs="Times New Roman"/>
          <w:i/>
          <w:iCs/>
          <w:color w:val="000000"/>
          <w:spacing w:val="5"/>
          <w:sz w:val="20"/>
          <w:szCs w:val="20"/>
          <w:lang w:eastAsia="it-IT"/>
        </w:rPr>
        <w:t xml:space="preserve"> Comune di Bracciano (Avv. Mainetti) c. </w:t>
      </w:r>
      <w:proofErr w:type="spellStart"/>
      <w:r w:rsidRPr="003331C9">
        <w:rPr>
          <w:rFonts w:ascii="Lato" w:eastAsia="Times New Roman" w:hAnsi="Lato" w:cs="Times New Roman"/>
          <w:i/>
          <w:iCs/>
          <w:color w:val="000000"/>
          <w:spacing w:val="5"/>
          <w:sz w:val="20"/>
          <w:szCs w:val="20"/>
          <w:lang w:eastAsia="it-IT"/>
        </w:rPr>
        <w:t>Soc</w:t>
      </w:r>
      <w:proofErr w:type="spellEnd"/>
      <w:r w:rsidRPr="003331C9">
        <w:rPr>
          <w:rFonts w:ascii="Lato" w:eastAsia="Times New Roman" w:hAnsi="Lato" w:cs="Times New Roman"/>
          <w:i/>
          <w:iCs/>
          <w:color w:val="000000"/>
          <w:spacing w:val="5"/>
          <w:sz w:val="20"/>
          <w:szCs w:val="20"/>
          <w:lang w:eastAsia="it-IT"/>
        </w:rPr>
        <w:t xml:space="preserve">. </w:t>
      </w:r>
      <w:proofErr w:type="spellStart"/>
      <w:r w:rsidRPr="003331C9">
        <w:rPr>
          <w:rFonts w:ascii="Lato" w:eastAsia="Times New Roman" w:hAnsi="Lato" w:cs="Times New Roman"/>
          <w:i/>
          <w:iCs/>
          <w:color w:val="000000"/>
          <w:spacing w:val="5"/>
          <w:sz w:val="20"/>
          <w:szCs w:val="20"/>
          <w:lang w:eastAsia="it-IT"/>
        </w:rPr>
        <w:t>Elvi</w:t>
      </w:r>
      <w:proofErr w:type="spellEnd"/>
      <w:r w:rsidRPr="003331C9">
        <w:rPr>
          <w:rFonts w:ascii="Lato" w:eastAsia="Times New Roman" w:hAnsi="Lato" w:cs="Times New Roman"/>
          <w:i/>
          <w:iCs/>
          <w:color w:val="000000"/>
          <w:spacing w:val="5"/>
          <w:sz w:val="20"/>
          <w:szCs w:val="20"/>
          <w:lang w:eastAsia="it-IT"/>
        </w:rPr>
        <w:t xml:space="preserve"> (Avv. Bonifazi, De </w:t>
      </w:r>
      <w:proofErr w:type="spellStart"/>
      <w:r w:rsidRPr="003331C9">
        <w:rPr>
          <w:rFonts w:ascii="Lato" w:eastAsia="Times New Roman" w:hAnsi="Lato" w:cs="Times New Roman"/>
          <w:i/>
          <w:iCs/>
          <w:color w:val="000000"/>
          <w:spacing w:val="5"/>
          <w:sz w:val="20"/>
          <w:szCs w:val="20"/>
          <w:lang w:eastAsia="it-IT"/>
        </w:rPr>
        <w:t>Prophetis</w:t>
      </w:r>
      <w:proofErr w:type="spellEnd"/>
      <w:r w:rsidRPr="003331C9">
        <w:rPr>
          <w:rFonts w:ascii="Lato" w:eastAsia="Times New Roman" w:hAnsi="Lato" w:cs="Times New Roman"/>
          <w:i/>
          <w:iCs/>
          <w:color w:val="000000"/>
          <w:spacing w:val="5"/>
          <w:sz w:val="20"/>
          <w:szCs w:val="20"/>
          <w:lang w:eastAsia="it-IT"/>
        </w:rPr>
        <w:t>)</w:t>
      </w:r>
    </w:p>
    <w:p w14:paraId="422D4A96" w14:textId="77777777" w:rsidR="003331C9" w:rsidRPr="003331C9" w:rsidRDefault="003331C9" w:rsidP="003331C9">
      <w:pPr>
        <w:shd w:val="clear" w:color="auto" w:fill="FFFFFF"/>
        <w:spacing w:after="0" w:line="240" w:lineRule="auto"/>
        <w:rPr>
          <w:rFonts w:ascii="Lato" w:eastAsia="Times New Roman" w:hAnsi="Lato" w:cs="Times New Roman"/>
          <w:b/>
          <w:bCs/>
          <w:color w:val="000000"/>
          <w:spacing w:val="5"/>
          <w:sz w:val="24"/>
          <w:szCs w:val="24"/>
          <w:lang w:eastAsia="it-IT"/>
        </w:rPr>
      </w:pPr>
      <w:r w:rsidRPr="003331C9">
        <w:rPr>
          <w:rFonts w:ascii="Lato" w:eastAsia="Times New Roman" w:hAnsi="Lato" w:cs="Times New Roman"/>
          <w:b/>
          <w:bCs/>
          <w:color w:val="000000"/>
          <w:spacing w:val="5"/>
          <w:sz w:val="24"/>
          <w:szCs w:val="24"/>
          <w:lang w:eastAsia="it-IT"/>
        </w:rPr>
        <w:t>Amministrazione dello Stato e degli enti pubblici in genere — Società in house — responsabilità dell'ente pubblico partecipante — Esclusione</w:t>
      </w:r>
    </w:p>
    <w:p w14:paraId="5E933030" w14:textId="77777777" w:rsidR="003331C9" w:rsidRPr="003331C9" w:rsidRDefault="003331C9" w:rsidP="003331C9">
      <w:pPr>
        <w:shd w:val="clear" w:color="auto" w:fill="FFFFFF"/>
        <w:spacing w:after="0" w:line="240" w:lineRule="auto"/>
        <w:jc w:val="both"/>
        <w:rPr>
          <w:rFonts w:ascii="Lato" w:eastAsia="Times New Roman" w:hAnsi="Lato" w:cs="Times New Roman"/>
          <w:color w:val="000000"/>
          <w:spacing w:val="5"/>
          <w:sz w:val="24"/>
          <w:szCs w:val="24"/>
          <w:lang w:eastAsia="it-IT"/>
        </w:rPr>
      </w:pPr>
      <w:r w:rsidRPr="003331C9">
        <w:rPr>
          <w:rFonts w:ascii="Lato" w:eastAsia="Times New Roman" w:hAnsi="Lato" w:cs="Times New Roman"/>
          <w:color w:val="000000"/>
          <w:spacing w:val="5"/>
          <w:sz w:val="24"/>
          <w:szCs w:val="24"/>
          <w:lang w:eastAsia="it-IT"/>
        </w:rPr>
        <w:t>L'ente pubblico non risponde dei debiti contratti dalla società in house alla quale partecipa, non potendo derivare da tale modello organizzativo una deroga alle regole del diritto societario con estensione illimitata e solidale della responsabilità dell'ente pubblico socio per le obbligazioni assunte dalla società partecipata.</w:t>
      </w:r>
    </w:p>
    <w:p w14:paraId="4FAC7728" w14:textId="77777777" w:rsidR="003331C9" w:rsidRPr="003331C9" w:rsidRDefault="003331C9" w:rsidP="003331C9">
      <w:pPr>
        <w:shd w:val="clear" w:color="auto" w:fill="FFFFFF"/>
        <w:spacing w:after="0" w:line="240" w:lineRule="auto"/>
        <w:rPr>
          <w:rFonts w:ascii="Lato" w:eastAsia="Times New Roman" w:hAnsi="Lato" w:cs="Times New Roman"/>
          <w:color w:val="000000"/>
          <w:spacing w:val="5"/>
          <w:sz w:val="24"/>
          <w:szCs w:val="24"/>
          <w:lang w:eastAsia="it-IT"/>
        </w:rPr>
      </w:pPr>
    </w:p>
    <w:p w14:paraId="2FC6EA66" w14:textId="77777777" w:rsidR="002120EF" w:rsidRDefault="002120EF" w:rsidP="003331C9">
      <w:pPr>
        <w:shd w:val="clear" w:color="auto" w:fill="FFFFFF"/>
        <w:spacing w:after="0" w:line="240" w:lineRule="auto"/>
        <w:rPr>
          <w:rFonts w:ascii="Lato" w:eastAsia="Times New Roman" w:hAnsi="Lato" w:cs="Times New Roman"/>
          <w:b/>
          <w:bCs/>
          <w:color w:val="000000"/>
          <w:spacing w:val="5"/>
          <w:sz w:val="24"/>
          <w:szCs w:val="24"/>
          <w:lang w:eastAsia="it-IT"/>
        </w:rPr>
      </w:pPr>
    </w:p>
    <w:p w14:paraId="0AA0B6BF" w14:textId="77777777" w:rsidR="002120EF" w:rsidRPr="002120EF" w:rsidRDefault="002120EF" w:rsidP="002120EF">
      <w:pPr>
        <w:shd w:val="clear" w:color="auto" w:fill="FFFFFF"/>
        <w:spacing w:after="0" w:line="240" w:lineRule="auto"/>
        <w:jc w:val="center"/>
        <w:rPr>
          <w:rFonts w:ascii="Lato" w:eastAsia="Times New Roman" w:hAnsi="Lato" w:cs="Times New Roman"/>
          <w:color w:val="000000"/>
          <w:spacing w:val="5"/>
          <w:sz w:val="24"/>
          <w:szCs w:val="24"/>
          <w:lang w:eastAsia="it-IT"/>
        </w:rPr>
      </w:pPr>
    </w:p>
    <w:p w14:paraId="528F823F" w14:textId="77777777" w:rsidR="002120EF" w:rsidRPr="002120EF" w:rsidRDefault="002120EF" w:rsidP="002120EF">
      <w:pPr>
        <w:shd w:val="clear" w:color="auto" w:fill="FFFFFF"/>
        <w:spacing w:before="300" w:after="300" w:line="240" w:lineRule="auto"/>
        <w:jc w:val="center"/>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pict w14:anchorId="05FF98BC">
          <v:rect id="_x0000_i1055" style="width:0;height:0" o:hralign="center" o:hrstd="t" o:hr="t" fillcolor="#a0a0a0" stroked="f"/>
        </w:pict>
      </w:r>
    </w:p>
    <w:p w14:paraId="668481F4" w14:textId="77777777" w:rsidR="002120EF" w:rsidRPr="002120EF" w:rsidRDefault="002120EF" w:rsidP="002120EF">
      <w:pPr>
        <w:shd w:val="clear" w:color="auto" w:fill="FFFFFF"/>
        <w:spacing w:after="0" w:line="240" w:lineRule="auto"/>
        <w:jc w:val="center"/>
        <w:rPr>
          <w:rFonts w:ascii="Lato" w:eastAsia="Times New Roman" w:hAnsi="Lato" w:cs="Times New Roman"/>
          <w:color w:val="000000"/>
          <w:spacing w:val="5"/>
          <w:sz w:val="24"/>
          <w:szCs w:val="24"/>
          <w:lang w:eastAsia="it-IT"/>
        </w:rPr>
      </w:pPr>
      <w:r w:rsidRPr="002120EF">
        <w:rPr>
          <w:rFonts w:ascii="Lato" w:eastAsia="Times New Roman" w:hAnsi="Lato" w:cs="Times New Roman"/>
          <w:b/>
          <w:bCs/>
          <w:color w:val="000000"/>
          <w:spacing w:val="5"/>
          <w:sz w:val="27"/>
          <w:szCs w:val="27"/>
          <w:lang w:eastAsia="it-IT"/>
        </w:rPr>
        <w:t>I MIEI FASCICOLI</w:t>
      </w:r>
      <w:r w:rsidRPr="002120EF">
        <w:rPr>
          <w:rFonts w:ascii="Lato" w:eastAsia="Times New Roman" w:hAnsi="Lato" w:cs="Times New Roman"/>
          <w:color w:val="000000"/>
          <w:spacing w:val="5"/>
          <w:sz w:val="24"/>
          <w:szCs w:val="24"/>
          <w:lang w:eastAsia="it-IT"/>
        </w:rPr>
        <w:br/>
      </w:r>
      <w:r w:rsidRPr="002120EF">
        <w:rPr>
          <w:rFonts w:ascii="Lato" w:eastAsia="Times New Roman" w:hAnsi="Lato" w:cs="Times New Roman"/>
          <w:i/>
          <w:iCs/>
          <w:color w:val="000000"/>
          <w:spacing w:val="5"/>
          <w:sz w:val="24"/>
          <w:szCs w:val="24"/>
          <w:lang w:eastAsia="it-IT"/>
        </w:rPr>
        <w:t>Seleziona uno o più fascicoli per aggiungerci il documento</w:t>
      </w:r>
    </w:p>
    <w:p w14:paraId="047A4A08" w14:textId="77777777" w:rsidR="002120EF" w:rsidRPr="002120EF" w:rsidRDefault="002120EF" w:rsidP="002120EF">
      <w:pPr>
        <w:shd w:val="clear" w:color="auto" w:fill="FFFFFF"/>
        <w:spacing w:before="300" w:after="300" w:line="240" w:lineRule="auto"/>
        <w:jc w:val="center"/>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pict w14:anchorId="39931F44">
          <v:rect id="_x0000_i1056" style="width:0;height:0" o:hralign="center" o:hrstd="t" o:hr="t" fillcolor="#a0a0a0" stroked="f"/>
        </w:pict>
      </w:r>
    </w:p>
    <w:p w14:paraId="6276C6F5" w14:textId="77777777" w:rsidR="002120EF" w:rsidRPr="002120EF" w:rsidRDefault="002120EF" w:rsidP="002120EF">
      <w:pPr>
        <w:shd w:val="clear" w:color="auto" w:fill="FFFFFF"/>
        <w:spacing w:before="225" w:after="0" w:line="240" w:lineRule="auto"/>
        <w:jc w:val="center"/>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Nessun fascicolo salvato.</w:t>
      </w:r>
    </w:p>
    <w:p w14:paraId="01BB8BBC" w14:textId="77777777" w:rsidR="002120EF" w:rsidRPr="002120EF" w:rsidRDefault="002120EF" w:rsidP="002120EF">
      <w:pPr>
        <w:shd w:val="clear" w:color="auto" w:fill="FFFFFF"/>
        <w:spacing w:after="0" w:line="240" w:lineRule="auto"/>
        <w:jc w:val="center"/>
        <w:rPr>
          <w:rFonts w:ascii="Lato" w:eastAsia="Times New Roman" w:hAnsi="Lato" w:cs="Times New Roman"/>
          <w:color w:val="000000"/>
          <w:spacing w:val="5"/>
          <w:sz w:val="24"/>
          <w:szCs w:val="24"/>
          <w:lang w:eastAsia="it-IT"/>
        </w:rPr>
      </w:pPr>
      <w:hyperlink r:id="rId153" w:history="1">
        <w:r w:rsidRPr="002120EF">
          <w:rPr>
            <w:rFonts w:ascii="Lato" w:eastAsia="Times New Roman" w:hAnsi="Lato" w:cs="Times New Roman"/>
            <w:b/>
            <w:bCs/>
            <w:caps/>
            <w:color w:val="FFFFFF"/>
            <w:spacing w:val="5"/>
            <w:sz w:val="20"/>
            <w:szCs w:val="20"/>
            <w:u w:val="single"/>
            <w:bdr w:val="single" w:sz="6" w:space="4" w:color="222220" w:frame="1"/>
            <w:shd w:val="clear" w:color="auto" w:fill="222220"/>
            <w:lang w:eastAsia="it-IT"/>
          </w:rPr>
          <w:t>  AGGIUNGI FASCICOLO</w:t>
        </w:r>
      </w:hyperlink>
    </w:p>
    <w:p w14:paraId="12EC5FE6" w14:textId="77777777" w:rsidR="002120EF" w:rsidRPr="002120EF" w:rsidRDefault="002120EF" w:rsidP="002120EF">
      <w:pPr>
        <w:shd w:val="clear" w:color="auto" w:fill="FFFFFF"/>
        <w:spacing w:after="300" w:line="240" w:lineRule="auto"/>
        <w:jc w:val="center"/>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pict w14:anchorId="5C234BAB">
          <v:rect id="_x0000_i1057" style="width:0;height:0" o:hralign="center" o:hrstd="t" o:hr="t" fillcolor="#a0a0a0" stroked="f"/>
        </w:pict>
      </w:r>
    </w:p>
    <w:p w14:paraId="1127C1AB" w14:textId="77777777" w:rsidR="002120EF" w:rsidRPr="002120EF" w:rsidRDefault="002120EF" w:rsidP="002120EF">
      <w:pPr>
        <w:shd w:val="clear" w:color="auto" w:fill="FFFFFF"/>
        <w:spacing w:after="150" w:line="240" w:lineRule="auto"/>
        <w:jc w:val="center"/>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1"/>
          <w:szCs w:val="21"/>
          <w:lang w:eastAsia="it-IT"/>
        </w:rPr>
        <w:t>Pubblicato in </w:t>
      </w:r>
      <w:r w:rsidRPr="002120EF">
        <w:rPr>
          <w:rFonts w:ascii="Lato" w:eastAsia="Times New Roman" w:hAnsi="Lato" w:cs="Times New Roman"/>
          <w:b/>
          <w:bCs/>
          <w:color w:val="000000"/>
          <w:spacing w:val="5"/>
          <w:sz w:val="21"/>
          <w:szCs w:val="21"/>
          <w:lang w:eastAsia="it-IT"/>
        </w:rPr>
        <w:t>Foro Italiano</w:t>
      </w:r>
      <w:r w:rsidRPr="002120EF">
        <w:rPr>
          <w:rFonts w:ascii="Lato" w:eastAsia="Times New Roman" w:hAnsi="Lato" w:cs="Times New Roman"/>
          <w:color w:val="000000"/>
          <w:spacing w:val="5"/>
          <w:sz w:val="21"/>
          <w:szCs w:val="21"/>
          <w:lang w:eastAsia="it-IT"/>
        </w:rPr>
        <w:t>:</w:t>
      </w:r>
    </w:p>
    <w:p w14:paraId="3D3D6FB3" w14:textId="77777777" w:rsidR="002120EF" w:rsidRPr="002120EF" w:rsidRDefault="002120EF" w:rsidP="002120EF">
      <w:pPr>
        <w:shd w:val="clear" w:color="auto" w:fill="FFFFFF"/>
        <w:spacing w:line="240" w:lineRule="auto"/>
        <w:jc w:val="center"/>
        <w:rPr>
          <w:rFonts w:ascii="Lato" w:eastAsia="Times New Roman" w:hAnsi="Lato" w:cs="Times New Roman"/>
          <w:color w:val="000000"/>
          <w:spacing w:val="5"/>
          <w:sz w:val="24"/>
          <w:szCs w:val="24"/>
          <w:lang w:eastAsia="it-IT"/>
        </w:rPr>
      </w:pPr>
      <w:r w:rsidRPr="002120EF">
        <w:rPr>
          <w:rFonts w:ascii="Consolas" w:eastAsia="Times New Roman" w:hAnsi="Consolas" w:cs="Courier New"/>
          <w:color w:val="222220"/>
          <w:spacing w:val="5"/>
          <w:shd w:val="clear" w:color="auto" w:fill="FFC602"/>
          <w:lang w:eastAsia="it-IT"/>
        </w:rPr>
        <w:t>Anno: </w:t>
      </w:r>
      <w:r w:rsidRPr="002120EF">
        <w:rPr>
          <w:rFonts w:ascii="Consolas" w:eastAsia="Times New Roman" w:hAnsi="Consolas" w:cs="Courier New"/>
          <w:b/>
          <w:bCs/>
          <w:color w:val="222220"/>
          <w:spacing w:val="5"/>
          <w:shd w:val="clear" w:color="auto" w:fill="FFC602"/>
          <w:lang w:eastAsia="it-IT"/>
        </w:rPr>
        <w:t>2022</w:t>
      </w:r>
      <w:r w:rsidRPr="002120EF">
        <w:rPr>
          <w:rFonts w:ascii="Consolas" w:eastAsia="Times New Roman" w:hAnsi="Consolas" w:cs="Courier New"/>
          <w:color w:val="222220"/>
          <w:spacing w:val="5"/>
          <w:shd w:val="clear" w:color="auto" w:fill="FFC602"/>
          <w:lang w:eastAsia="it-IT"/>
        </w:rPr>
        <w:br/>
        <w:t>Colonna: </w:t>
      </w:r>
      <w:r w:rsidRPr="002120EF">
        <w:rPr>
          <w:rFonts w:ascii="Consolas" w:eastAsia="Times New Roman" w:hAnsi="Consolas" w:cs="Courier New"/>
          <w:b/>
          <w:bCs/>
          <w:color w:val="222220"/>
          <w:spacing w:val="5"/>
          <w:shd w:val="clear" w:color="auto" w:fill="FFC602"/>
          <w:lang w:eastAsia="it-IT"/>
        </w:rPr>
        <w:t>2847</w:t>
      </w:r>
      <w:r w:rsidRPr="002120EF">
        <w:rPr>
          <w:rFonts w:ascii="Consolas" w:eastAsia="Times New Roman" w:hAnsi="Consolas" w:cs="Courier New"/>
          <w:color w:val="222220"/>
          <w:spacing w:val="5"/>
          <w:shd w:val="clear" w:color="auto" w:fill="FFC602"/>
          <w:lang w:eastAsia="it-IT"/>
        </w:rPr>
        <w:br/>
        <w:t>Fascicolo: </w:t>
      </w:r>
      <w:r w:rsidRPr="002120EF">
        <w:rPr>
          <w:rFonts w:ascii="Consolas" w:eastAsia="Times New Roman" w:hAnsi="Consolas" w:cs="Courier New"/>
          <w:b/>
          <w:bCs/>
          <w:color w:val="222220"/>
          <w:spacing w:val="5"/>
          <w:shd w:val="clear" w:color="auto" w:fill="FFC602"/>
          <w:lang w:eastAsia="it-IT"/>
        </w:rPr>
        <w:t>09</w:t>
      </w:r>
      <w:r w:rsidRPr="002120EF">
        <w:rPr>
          <w:rFonts w:ascii="Consolas" w:eastAsia="Times New Roman" w:hAnsi="Consolas" w:cs="Courier New"/>
          <w:color w:val="222220"/>
          <w:spacing w:val="5"/>
          <w:shd w:val="clear" w:color="auto" w:fill="FFC602"/>
          <w:lang w:eastAsia="it-IT"/>
        </w:rPr>
        <w:br/>
        <w:t>Parte: </w:t>
      </w:r>
      <w:r w:rsidRPr="002120EF">
        <w:rPr>
          <w:rFonts w:ascii="Consolas" w:eastAsia="Times New Roman" w:hAnsi="Consolas" w:cs="Courier New"/>
          <w:b/>
          <w:bCs/>
          <w:color w:val="222220"/>
          <w:spacing w:val="5"/>
          <w:shd w:val="clear" w:color="auto" w:fill="FFC602"/>
          <w:lang w:eastAsia="it-IT"/>
        </w:rPr>
        <w:t>01</w:t>
      </w:r>
    </w:p>
    <w:p w14:paraId="78F2F0CD" w14:textId="77777777" w:rsidR="002120EF" w:rsidRPr="002120EF" w:rsidRDefault="002120EF" w:rsidP="002120EF">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2120EF">
        <w:rPr>
          <w:rFonts w:ascii="Lato" w:eastAsia="Times New Roman" w:hAnsi="Lato" w:cs="Times New Roman"/>
          <w:color w:val="3E4249"/>
          <w:spacing w:val="5"/>
          <w:kern w:val="36"/>
          <w:sz w:val="45"/>
          <w:szCs w:val="45"/>
          <w:lang w:eastAsia="it-IT"/>
        </w:rPr>
        <w:t>Tribunale civile Civitavecchia, 24 giugno 2022</w:t>
      </w:r>
    </w:p>
    <w:p w14:paraId="1B0CF351"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noProof/>
          <w:color w:val="005797"/>
          <w:spacing w:val="5"/>
          <w:sz w:val="24"/>
          <w:szCs w:val="24"/>
          <w:lang w:eastAsia="it-IT"/>
        </w:rPr>
        <w:drawing>
          <wp:inline distT="0" distB="0" distL="0" distR="0" wp14:anchorId="09A1CAAE" wp14:editId="380DE7D0">
            <wp:extent cx="160655" cy="160655"/>
            <wp:effectExtent l="0" t="0" r="0" b="0"/>
            <wp:docPr id="24" name="Immagine 9">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2120EF">
        <w:rPr>
          <w:rFonts w:ascii="Lato" w:eastAsia="Times New Roman" w:hAnsi="Lato" w:cs="Times New Roman"/>
          <w:color w:val="000000"/>
          <w:spacing w:val="5"/>
          <w:sz w:val="24"/>
          <w:szCs w:val="24"/>
          <w:lang w:eastAsia="it-IT"/>
        </w:rPr>
        <w:t>    </w:t>
      </w:r>
      <w:r w:rsidRPr="002120EF">
        <w:rPr>
          <w:rFonts w:ascii="Lato" w:eastAsia="Times New Roman" w:hAnsi="Lato" w:cs="Times New Roman"/>
          <w:b/>
          <w:bCs/>
          <w:color w:val="000000"/>
          <w:spacing w:val="5"/>
          <w:sz w:val="24"/>
          <w:szCs w:val="24"/>
          <w:shd w:val="clear" w:color="auto" w:fill="FFC602"/>
          <w:lang w:eastAsia="it-IT"/>
        </w:rPr>
        <w:t>IL FORO ITALIANO</w:t>
      </w:r>
      <w:r w:rsidRPr="002120EF">
        <w:rPr>
          <w:rFonts w:ascii="Lato" w:eastAsia="Times New Roman" w:hAnsi="Lato" w:cs="Times New Roman"/>
          <w:color w:val="000000"/>
          <w:spacing w:val="5"/>
          <w:sz w:val="24"/>
          <w:szCs w:val="24"/>
          <w:lang w:eastAsia="it-IT"/>
        </w:rPr>
        <w:t> </w:t>
      </w:r>
    </w:p>
    <w:p w14:paraId="5ADF343B" w14:textId="77777777" w:rsidR="002120EF" w:rsidRPr="002120EF" w:rsidRDefault="002120EF" w:rsidP="002120EF">
      <w:pPr>
        <w:pBdr>
          <w:top w:val="single" w:sz="6" w:space="0" w:color="auto"/>
          <w:left w:val="single" w:sz="6" w:space="8" w:color="auto"/>
          <w:bottom w:val="single" w:sz="6" w:space="0" w:color="auto"/>
          <w:right w:val="single" w:sz="6" w:space="8" w:color="auto"/>
        </w:pBdr>
        <w:shd w:val="clear" w:color="auto" w:fill="FFFFFF"/>
        <w:spacing w:before="45" w:after="0" w:line="570" w:lineRule="atLeast"/>
        <w:outlineLvl w:val="4"/>
        <w:rPr>
          <w:rFonts w:ascii="Lato" w:eastAsia="Times New Roman" w:hAnsi="Lato" w:cs="Times New Roman"/>
          <w:b/>
          <w:bCs/>
          <w:color w:val="905CB8"/>
          <w:spacing w:val="5"/>
          <w:sz w:val="21"/>
          <w:szCs w:val="21"/>
          <w:lang w:eastAsia="it-IT"/>
        </w:rPr>
      </w:pPr>
      <w:r w:rsidRPr="002120EF">
        <w:rPr>
          <w:rFonts w:ascii="Lato" w:eastAsia="Times New Roman" w:hAnsi="Lato" w:cs="Times New Roman"/>
          <w:b/>
          <w:bCs/>
          <w:color w:val="905CB8"/>
          <w:spacing w:val="5"/>
          <w:sz w:val="21"/>
          <w:szCs w:val="21"/>
          <w:lang w:eastAsia="it-IT"/>
        </w:rPr>
        <w:t>GIURISPRUDENZA • SENTENZA</w:t>
      </w:r>
    </w:p>
    <w:p w14:paraId="3FE3920D"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p>
    <w:p w14:paraId="1866D5AA" w14:textId="77777777" w:rsidR="002120EF" w:rsidRPr="002120EF" w:rsidRDefault="002120EF" w:rsidP="002120EF">
      <w:pPr>
        <w:shd w:val="clear" w:color="auto" w:fill="FFFFFF"/>
        <w:spacing w:after="0" w:line="240" w:lineRule="auto"/>
        <w:rPr>
          <w:rFonts w:ascii="Lato" w:eastAsia="Times New Roman" w:hAnsi="Lato" w:cs="Times New Roman"/>
          <w:i/>
          <w:iCs/>
          <w:color w:val="000000"/>
          <w:spacing w:val="5"/>
          <w:sz w:val="24"/>
          <w:szCs w:val="24"/>
          <w:lang w:eastAsia="it-IT"/>
        </w:rPr>
      </w:pPr>
      <w:hyperlink r:id="rId154" w:history="1">
        <w:r w:rsidRPr="002120EF">
          <w:rPr>
            <w:rFonts w:ascii="Lato" w:eastAsia="Times New Roman" w:hAnsi="Lato" w:cs="Times New Roman"/>
            <w:b/>
            <w:bCs/>
            <w:i/>
            <w:iCs/>
            <w:color w:val="FFFFFF"/>
            <w:spacing w:val="5"/>
            <w:sz w:val="24"/>
            <w:szCs w:val="24"/>
            <w:u w:val="single"/>
            <w:shd w:val="clear" w:color="auto" w:fill="FFA403"/>
            <w:lang w:eastAsia="it-IT"/>
          </w:rPr>
          <w:t>"Amministrazione dello Stato e degli enti pubblici in genere"</w:t>
        </w:r>
      </w:hyperlink>
      <w:r w:rsidRPr="002120EF">
        <w:rPr>
          <w:rFonts w:ascii="Lato" w:eastAsia="Times New Roman" w:hAnsi="Lato" w:cs="Times New Roman"/>
          <w:i/>
          <w:iCs/>
          <w:color w:val="000000"/>
          <w:spacing w:val="5"/>
          <w:sz w:val="24"/>
          <w:szCs w:val="24"/>
          <w:lang w:eastAsia="it-IT"/>
        </w:rPr>
        <w:t> </w:t>
      </w:r>
      <w:hyperlink r:id="rId155" w:history="1">
        <w:r w:rsidRPr="002120EF">
          <w:rPr>
            <w:rFonts w:ascii="Lato" w:eastAsia="Times New Roman" w:hAnsi="Lato" w:cs="Times New Roman"/>
            <w:b/>
            <w:bCs/>
            <w:i/>
            <w:iCs/>
            <w:color w:val="FFFFFF"/>
            <w:spacing w:val="5"/>
            <w:sz w:val="24"/>
            <w:szCs w:val="24"/>
            <w:u w:val="single"/>
            <w:shd w:val="clear" w:color="auto" w:fill="FFA403"/>
            <w:lang w:eastAsia="it-IT"/>
          </w:rPr>
          <w:t>"Competenza civile"</w:t>
        </w:r>
      </w:hyperlink>
      <w:r w:rsidRPr="002120EF">
        <w:rPr>
          <w:rFonts w:ascii="Lato" w:eastAsia="Times New Roman" w:hAnsi="Lato" w:cs="Times New Roman"/>
          <w:i/>
          <w:iCs/>
          <w:color w:val="000000"/>
          <w:spacing w:val="5"/>
          <w:sz w:val="24"/>
          <w:szCs w:val="24"/>
          <w:lang w:eastAsia="it-IT"/>
        </w:rPr>
        <w:t> </w:t>
      </w:r>
      <w:hyperlink r:id="rId156" w:history="1">
        <w:r w:rsidRPr="002120EF">
          <w:rPr>
            <w:rFonts w:ascii="Lato" w:eastAsia="Times New Roman" w:hAnsi="Lato" w:cs="Times New Roman"/>
            <w:b/>
            <w:bCs/>
            <w:i/>
            <w:iCs/>
            <w:color w:val="FFFFFF"/>
            <w:spacing w:val="5"/>
            <w:sz w:val="24"/>
            <w:szCs w:val="24"/>
            <w:u w:val="single"/>
            <w:shd w:val="clear" w:color="auto" w:fill="FFA403"/>
            <w:lang w:eastAsia="it-IT"/>
          </w:rPr>
          <w:t>"Società"</w:t>
        </w:r>
      </w:hyperlink>
    </w:p>
    <w:p w14:paraId="3C1FA589" w14:textId="77777777" w:rsidR="002120EF" w:rsidRPr="002120EF" w:rsidRDefault="002120EF" w:rsidP="002120EF">
      <w:pPr>
        <w:shd w:val="clear" w:color="auto" w:fill="FFFFFF"/>
        <w:spacing w:before="300" w:after="30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pict w14:anchorId="511AC266">
          <v:rect id="_x0000_i1058" style="width:0;height:0" o:hralign="center" o:hrstd="t" o:hr="t" fillcolor="#a0a0a0" stroked="f"/>
        </w:pict>
      </w:r>
    </w:p>
    <w:p w14:paraId="251E5D40"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br/>
      </w:r>
    </w:p>
    <w:p w14:paraId="18EC29FB"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lastRenderedPageBreak/>
        <w:t>Competenza civile</w:t>
      </w:r>
    </w:p>
    <w:p w14:paraId="371351D5"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Amministrazione dello Stato e degli enti pubblici in genere</w:t>
      </w:r>
    </w:p>
    <w:p w14:paraId="7B373570"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Società</w:t>
      </w:r>
    </w:p>
    <w:p w14:paraId="1009FA75" w14:textId="77777777" w:rsidR="002120EF" w:rsidRPr="002120EF" w:rsidRDefault="002120EF" w:rsidP="002120EF">
      <w:pPr>
        <w:shd w:val="clear" w:color="auto" w:fill="FFFFFF"/>
        <w:spacing w:after="0" w:line="240" w:lineRule="auto"/>
        <w:rPr>
          <w:rFonts w:ascii="Lato" w:eastAsia="Times New Roman" w:hAnsi="Lato" w:cs="Times New Roman"/>
          <w:i/>
          <w:iCs/>
          <w:color w:val="000000"/>
          <w:spacing w:val="5"/>
          <w:sz w:val="24"/>
          <w:szCs w:val="24"/>
          <w:lang w:eastAsia="it-IT"/>
        </w:rPr>
      </w:pPr>
      <w:r w:rsidRPr="002120EF">
        <w:rPr>
          <w:rFonts w:ascii="Lato" w:eastAsia="Times New Roman" w:hAnsi="Lato" w:cs="Times New Roman"/>
          <w:i/>
          <w:iCs/>
          <w:color w:val="000000"/>
          <w:spacing w:val="5"/>
          <w:sz w:val="24"/>
          <w:szCs w:val="24"/>
          <w:lang w:eastAsia="it-IT"/>
        </w:rPr>
        <w:t xml:space="preserve">Ricorrente Comune di Bracciano Avv. Mainetti contro </w:t>
      </w:r>
      <w:proofErr w:type="spellStart"/>
      <w:r w:rsidRPr="002120EF">
        <w:rPr>
          <w:rFonts w:ascii="Lato" w:eastAsia="Times New Roman" w:hAnsi="Lato" w:cs="Times New Roman"/>
          <w:i/>
          <w:iCs/>
          <w:color w:val="000000"/>
          <w:spacing w:val="5"/>
          <w:sz w:val="24"/>
          <w:szCs w:val="24"/>
          <w:lang w:eastAsia="it-IT"/>
        </w:rPr>
        <w:t>Soc</w:t>
      </w:r>
      <w:proofErr w:type="spellEnd"/>
      <w:r w:rsidRPr="002120EF">
        <w:rPr>
          <w:rFonts w:ascii="Lato" w:eastAsia="Times New Roman" w:hAnsi="Lato" w:cs="Times New Roman"/>
          <w:i/>
          <w:iCs/>
          <w:color w:val="000000"/>
          <w:spacing w:val="5"/>
          <w:sz w:val="24"/>
          <w:szCs w:val="24"/>
          <w:lang w:eastAsia="it-IT"/>
        </w:rPr>
        <w:t xml:space="preserve">. </w:t>
      </w:r>
      <w:proofErr w:type="spellStart"/>
      <w:r w:rsidRPr="002120EF">
        <w:rPr>
          <w:rFonts w:ascii="Lato" w:eastAsia="Times New Roman" w:hAnsi="Lato" w:cs="Times New Roman"/>
          <w:i/>
          <w:iCs/>
          <w:color w:val="000000"/>
          <w:spacing w:val="5"/>
          <w:sz w:val="24"/>
          <w:szCs w:val="24"/>
          <w:lang w:eastAsia="it-IT"/>
        </w:rPr>
        <w:t>Elvi</w:t>
      </w:r>
      <w:proofErr w:type="spellEnd"/>
      <w:r w:rsidRPr="002120EF">
        <w:rPr>
          <w:rFonts w:ascii="Lato" w:eastAsia="Times New Roman" w:hAnsi="Lato" w:cs="Times New Roman"/>
          <w:i/>
          <w:iCs/>
          <w:color w:val="000000"/>
          <w:spacing w:val="5"/>
          <w:sz w:val="24"/>
          <w:szCs w:val="24"/>
          <w:lang w:eastAsia="it-IT"/>
        </w:rPr>
        <w:t xml:space="preserve"> Avv. Bonifazi, De </w:t>
      </w:r>
      <w:proofErr w:type="spellStart"/>
      <w:r w:rsidRPr="002120EF">
        <w:rPr>
          <w:rFonts w:ascii="Lato" w:eastAsia="Times New Roman" w:hAnsi="Lato" w:cs="Times New Roman"/>
          <w:i/>
          <w:iCs/>
          <w:color w:val="000000"/>
          <w:spacing w:val="5"/>
          <w:sz w:val="24"/>
          <w:szCs w:val="24"/>
          <w:lang w:eastAsia="it-IT"/>
        </w:rPr>
        <w:t>Prophetis</w:t>
      </w:r>
      <w:proofErr w:type="spellEnd"/>
    </w:p>
    <w:p w14:paraId="69DA1C37"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br/>
      </w:r>
    </w:p>
    <w:p w14:paraId="6F794F48" w14:textId="77777777" w:rsidR="002120EF" w:rsidRPr="002120EF" w:rsidRDefault="002120EF" w:rsidP="002120EF">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2120EF">
        <w:rPr>
          <w:rFonts w:ascii="Lato" w:eastAsia="Times New Roman" w:hAnsi="Lato" w:cs="Times New Roman"/>
          <w:b/>
          <w:bCs/>
          <w:color w:val="000000"/>
          <w:spacing w:val="5"/>
          <w:sz w:val="26"/>
          <w:szCs w:val="26"/>
          <w:lang w:eastAsia="it-IT"/>
        </w:rPr>
        <w:t>Svolgimento del processo e motivi della decisione</w:t>
      </w:r>
    </w:p>
    <w:p w14:paraId="1BE36D2D"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i/>
          <w:iCs/>
          <w:color w:val="000000"/>
          <w:spacing w:val="5"/>
          <w:sz w:val="24"/>
          <w:szCs w:val="24"/>
          <w:lang w:eastAsia="it-IT"/>
        </w:rPr>
        <w:t>Premesso in fatto</w:t>
      </w:r>
      <w:r w:rsidRPr="002120EF">
        <w:rPr>
          <w:rFonts w:ascii="Lato" w:eastAsia="Times New Roman" w:hAnsi="Lato" w:cs="Times New Roman"/>
          <w:color w:val="000000"/>
          <w:spacing w:val="5"/>
          <w:sz w:val="24"/>
          <w:szCs w:val="24"/>
          <w:lang w:eastAsia="it-IT"/>
        </w:rPr>
        <w:t xml:space="preserve">. — Con ricorso monitorio, la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 premesso di essere creditrice del comune di Bracciano in quanto socio unico della società Bracciano ambiente s.p.a., società a totale partecipazione pubblica, della somma complessiva di euro 550.775,99, oltre interessi, a titolo di pagamento di forniture effettuate in favore della partecipata, come da fatture in atti — chiedeva al tribunale di ingiungere il pagamento del suindicato importo, oltre interessi.</w:t>
      </w:r>
    </w:p>
    <w:p w14:paraId="7EE02019"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in data 12 aprile 2016, il tribunale </w:t>
      </w:r>
      <w:proofErr w:type="spellStart"/>
      <w:r w:rsidRPr="002120EF">
        <w:rPr>
          <w:rFonts w:ascii="Lato" w:eastAsia="Times New Roman" w:hAnsi="Lato" w:cs="Times New Roman"/>
          <w:color w:val="000000"/>
          <w:spacing w:val="5"/>
          <w:sz w:val="24"/>
          <w:szCs w:val="24"/>
          <w:lang w:eastAsia="it-IT"/>
        </w:rPr>
        <w:t>adìto</w:t>
      </w:r>
      <w:proofErr w:type="spellEnd"/>
      <w:r w:rsidRPr="002120EF">
        <w:rPr>
          <w:rFonts w:ascii="Lato" w:eastAsia="Times New Roman" w:hAnsi="Lato" w:cs="Times New Roman"/>
          <w:color w:val="000000"/>
          <w:spacing w:val="5"/>
          <w:sz w:val="24"/>
          <w:szCs w:val="24"/>
          <w:lang w:eastAsia="it-IT"/>
        </w:rPr>
        <w:t xml:space="preserve"> emetteva il decreto ingiuntivo n. 348/16 provvisoriamente esecutivo, così come richiesto.</w:t>
      </w:r>
    </w:p>
    <w:p w14:paraId="773C6D9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Con atto di citazione, ritualmente notificato, il comune di Bracciano proponeva opposizione al suddetto decreto ingiuntivo, del quale chiedeva la revoca, previa richiesta di sospensione della provvisoria esecuzione concessa in sede monitoria, nonché valutazione della eccezione di incompetenza funzionale del tribunale </w:t>
      </w:r>
      <w:proofErr w:type="spellStart"/>
      <w:r w:rsidRPr="002120EF">
        <w:rPr>
          <w:rFonts w:ascii="Lato" w:eastAsia="Times New Roman" w:hAnsi="Lato" w:cs="Times New Roman"/>
          <w:color w:val="000000"/>
          <w:spacing w:val="5"/>
          <w:sz w:val="24"/>
          <w:szCs w:val="24"/>
          <w:lang w:eastAsia="it-IT"/>
        </w:rPr>
        <w:t>adìto</w:t>
      </w:r>
      <w:proofErr w:type="spellEnd"/>
      <w:r w:rsidRPr="002120EF">
        <w:rPr>
          <w:rFonts w:ascii="Lato" w:eastAsia="Times New Roman" w:hAnsi="Lato" w:cs="Times New Roman"/>
          <w:color w:val="000000"/>
          <w:spacing w:val="5"/>
          <w:sz w:val="24"/>
          <w:szCs w:val="24"/>
          <w:lang w:eastAsia="it-IT"/>
        </w:rPr>
        <w:t>, deducendo che:</w:t>
      </w:r>
    </w:p>
    <w:p w14:paraId="64454CA3"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—la società Bracciano ambiente s.p.a., trovandosi in stato di decozione, era stata ammessa alla procedura del concordato preventivo, con decreto reso dal Tribunale di Civitavecchia in data 28 gennaio 2016;</w:t>
      </w:r>
    </w:p>
    <w:p w14:paraId="519A031F"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—la società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ritenendo di poter aggirare le regole concorsuali del concordato preventivo, aveva erroneamente agito in sede monitoria nei confronti del comune di Bracciano ritenendolo responsabile in via solidale ed illimitata dei debiti della partecipata da esso ente, costituita per l'affidamento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xml:space="preserve"> del servizio di gestione rifiuti della discarica di </w:t>
      </w:r>
      <w:proofErr w:type="spellStart"/>
      <w:r w:rsidRPr="002120EF">
        <w:rPr>
          <w:rFonts w:ascii="Lato" w:eastAsia="Times New Roman" w:hAnsi="Lato" w:cs="Times New Roman"/>
          <w:color w:val="000000"/>
          <w:spacing w:val="5"/>
          <w:sz w:val="24"/>
          <w:szCs w:val="24"/>
          <w:lang w:eastAsia="it-IT"/>
        </w:rPr>
        <w:t>Cupinoro</w:t>
      </w:r>
      <w:proofErr w:type="spellEnd"/>
      <w:r w:rsidRPr="002120EF">
        <w:rPr>
          <w:rFonts w:ascii="Lato" w:eastAsia="Times New Roman" w:hAnsi="Lato" w:cs="Times New Roman"/>
          <w:color w:val="000000"/>
          <w:spacing w:val="5"/>
          <w:sz w:val="24"/>
          <w:szCs w:val="24"/>
          <w:lang w:eastAsia="it-IT"/>
        </w:rPr>
        <w:t>;</w:t>
      </w:r>
    </w:p>
    <w:p w14:paraId="1C76AA69"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—secondo la fallace tesi avversa, la qualificazione, sul piano civilistico, di società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xml:space="preserve"> avrebbe determinato una responsabilità diretta e solidale dell'ente conferente per le obbligazioni assunte dalla società, poiché, da una parte, vi sarebbe identificazione del soggetto pubblico con il soggetto partecipato nei rapporti verso terzi, dall'altra assumerebbero rilievo sia la responsabilità da eterodirezione prevista dall'art. 2497 c.c., sia quella dell'unico azionista ex art. 2325, 2° comma, e 2362 c.c.;</w:t>
      </w:r>
    </w:p>
    <w:p w14:paraId="0F743213"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—tuttavia, il rapporto societario in essere tra la Bracciano ambiente ed il comune di Bracciano non poteva qualificarsi come in house, difettando nel caso concreto i requisiti della prevalente destinazione della attività e del controllo analogo;</w:t>
      </w:r>
    </w:p>
    <w:p w14:paraId="77B1B1A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—anche a volere ritenere la società Bracciano ambiente una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da tale inquadramento non poteva giammai discendere sul piano degli effetti civilistici la responsabilità solidale ed illimitata dell'ente socio perché, come anche ritenuto dalle sezioni unite della Suprema corte (orientamento richiamato dal giudice in sede monitoria), nelle società in house esiste sempre una distinzione tra patrimonio dell'ente e patrimonio della società, da porsi in termini di separazione patrimoniale e non di distinta titolarità, medesima titolarità che evidentemente rilevava ai soli fini della qualifica del danno erariale;</w:t>
      </w:r>
    </w:p>
    <w:p w14:paraId="76F9610E"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—sicché, al di là di questo aspetto, dovevano considerarsi operanti tutte le regole del diritto societario previste per il tipo societario prescelto e, significativamente nel caso di specie, l'art. 2325 c.c. secondo il quale, «nella società per azioni per le obbligazioni sociali risponde soltanto la società con il suo patrimonio»;</w:t>
      </w:r>
    </w:p>
    <w:p w14:paraId="580D4CFF"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lastRenderedPageBreak/>
        <w:t>—diversamente, ove si ritenesse che, a causa della mancanza di alterità soggettiva, la responsabilità delle obbligazioni contratte dalla società fosse dell'ente pubblico, si giungerebbe alla conseguenza inaccettabile di far divenire i creditori sociali creditori dell'ente, verso il quale potrebbero agire — come ritenuto nel caso concreto dalla società ricorrente — con conseguenze devastanti sulla finanza pubblica;</w:t>
      </w:r>
    </w:p>
    <w:p w14:paraId="114FB6AB"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—ancora, in disparte dalla ritenuta inapplicabilità della disciplina contenuta nell'art. 2497, 2° comma, c.c., la relativa domanda di responsabilità appariva del tutto priva di riscontro probatorio; parimenti, l'invocata applicazione dell'art. 2325, 2° comma, c.c. era rimasta del tutto generica in difetto di prova in ordine ai requisiti applicativi richiesti dalla norma per dare luogo alla fattispecie in essa disciplinata.</w:t>
      </w:r>
    </w:p>
    <w:p w14:paraId="3A1F846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Tanto premesso concludeva: «Piaccia all'ill.mo tribunale </w:t>
      </w:r>
      <w:proofErr w:type="spellStart"/>
      <w:r w:rsidRPr="002120EF">
        <w:rPr>
          <w:rFonts w:ascii="Lato" w:eastAsia="Times New Roman" w:hAnsi="Lato" w:cs="Times New Roman"/>
          <w:color w:val="000000"/>
          <w:spacing w:val="5"/>
          <w:sz w:val="24"/>
          <w:szCs w:val="24"/>
          <w:lang w:eastAsia="it-IT"/>
        </w:rPr>
        <w:t>adìto</w:t>
      </w:r>
      <w:proofErr w:type="spellEnd"/>
      <w:r w:rsidRPr="002120EF">
        <w:rPr>
          <w:rFonts w:ascii="Lato" w:eastAsia="Times New Roman" w:hAnsi="Lato" w:cs="Times New Roman"/>
          <w:color w:val="000000"/>
          <w:spacing w:val="5"/>
          <w:sz w:val="24"/>
          <w:szCs w:val="24"/>
          <w:lang w:eastAsia="it-IT"/>
        </w:rPr>
        <w:t>, disattesa ogni contraria istanza, in via preliminare, </w:t>
      </w:r>
      <w:r w:rsidRPr="002120EF">
        <w:rPr>
          <w:rFonts w:ascii="Lato" w:eastAsia="Times New Roman" w:hAnsi="Lato" w:cs="Times New Roman"/>
          <w:i/>
          <w:iCs/>
          <w:color w:val="000000"/>
          <w:spacing w:val="5"/>
          <w:sz w:val="24"/>
          <w:szCs w:val="24"/>
          <w:lang w:eastAsia="it-IT"/>
        </w:rPr>
        <w:t>a</w:t>
      </w:r>
      <w:r w:rsidRPr="002120EF">
        <w:rPr>
          <w:rFonts w:ascii="Lato" w:eastAsia="Times New Roman" w:hAnsi="Lato" w:cs="Times New Roman"/>
          <w:color w:val="000000"/>
          <w:spacing w:val="5"/>
          <w:sz w:val="24"/>
          <w:szCs w:val="24"/>
          <w:lang w:eastAsia="it-IT"/>
        </w:rPr>
        <w:t>) accogliere l'istanza di sospensione dell'esecuzione provvisoria ex art. 649 c.p.c. del decreto ingiuntivo opposto; </w:t>
      </w:r>
      <w:r w:rsidRPr="002120EF">
        <w:rPr>
          <w:rFonts w:ascii="Lato" w:eastAsia="Times New Roman" w:hAnsi="Lato" w:cs="Times New Roman"/>
          <w:i/>
          <w:iCs/>
          <w:color w:val="000000"/>
          <w:spacing w:val="5"/>
          <w:sz w:val="24"/>
          <w:szCs w:val="24"/>
          <w:lang w:eastAsia="it-IT"/>
        </w:rPr>
        <w:t>b</w:t>
      </w:r>
      <w:r w:rsidRPr="002120EF">
        <w:rPr>
          <w:rFonts w:ascii="Lato" w:eastAsia="Times New Roman" w:hAnsi="Lato" w:cs="Times New Roman"/>
          <w:color w:val="000000"/>
          <w:spacing w:val="5"/>
          <w:sz w:val="24"/>
          <w:szCs w:val="24"/>
          <w:lang w:eastAsia="it-IT"/>
        </w:rPr>
        <w:t>) rilevata la incompetenza del Tribunale di Civitavecchia per l'emissione del decreto ingiuntivo opposto in favore del Tribunale di Roma - sezione specializzata in materia di impresa, dichiarare la conseguente nullità del decreto ingiuntivo stesso con revoca del decreto medesimo; nel merito, accertare la infondatezza della pretesa creditoria </w:t>
      </w:r>
      <w:r w:rsidRPr="002120EF">
        <w:rPr>
          <w:rFonts w:ascii="Lato" w:eastAsia="Times New Roman" w:hAnsi="Lato" w:cs="Times New Roman"/>
          <w:i/>
          <w:iCs/>
          <w:color w:val="000000"/>
          <w:spacing w:val="5"/>
          <w:sz w:val="24"/>
          <w:szCs w:val="24"/>
          <w:lang w:eastAsia="it-IT"/>
        </w:rPr>
        <w:t xml:space="preserve">ex </w:t>
      </w:r>
      <w:proofErr w:type="spellStart"/>
      <w:r w:rsidRPr="002120EF">
        <w:rPr>
          <w:rFonts w:ascii="Lato" w:eastAsia="Times New Roman" w:hAnsi="Lato" w:cs="Times New Roman"/>
          <w:i/>
          <w:iCs/>
          <w:color w:val="000000"/>
          <w:spacing w:val="5"/>
          <w:sz w:val="24"/>
          <w:szCs w:val="24"/>
          <w:lang w:eastAsia="it-IT"/>
        </w:rPr>
        <w:t>adverso</w:t>
      </w:r>
      <w:proofErr w:type="spellEnd"/>
      <w:r w:rsidRPr="002120EF">
        <w:rPr>
          <w:rFonts w:ascii="Lato" w:eastAsia="Times New Roman" w:hAnsi="Lato" w:cs="Times New Roman"/>
          <w:color w:val="000000"/>
          <w:spacing w:val="5"/>
          <w:sz w:val="24"/>
          <w:szCs w:val="24"/>
          <w:lang w:eastAsia="it-IT"/>
        </w:rPr>
        <w:t> azionata e, per l'effetto, revocare, annullare e/o comunque dichiarare inefficace il decreto opposto. in ogni caso con vittoria di spese e compensi, come per legge».</w:t>
      </w:r>
    </w:p>
    <w:p w14:paraId="66274BCB"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Si costituiva in giudizio la società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la quale chiedeva il rigetto dell'opposizione stante la totale infondatezza degli avversi assunti, atteso che:</w:t>
      </w:r>
    </w:p>
    <w:p w14:paraId="0C938590"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—il comune di Bracciano aveva costituito la Bracciano ambiente s.p.a. in data 1° luglio 2004 versandone interamente il capitale ed affidandole, tramite delibera n. 39 del 9 giugno 2004, la gestione degli impianti, tra cui l'intera area sulla quale erano presenti gli invasi già esauriti della discarica di </w:t>
      </w:r>
      <w:proofErr w:type="spellStart"/>
      <w:r w:rsidRPr="002120EF">
        <w:rPr>
          <w:rFonts w:ascii="Lato" w:eastAsia="Times New Roman" w:hAnsi="Lato" w:cs="Times New Roman"/>
          <w:color w:val="000000"/>
          <w:spacing w:val="5"/>
          <w:sz w:val="24"/>
          <w:szCs w:val="24"/>
          <w:lang w:eastAsia="it-IT"/>
        </w:rPr>
        <w:t>Cupinoro</w:t>
      </w:r>
      <w:proofErr w:type="spellEnd"/>
      <w:r w:rsidRPr="002120EF">
        <w:rPr>
          <w:rFonts w:ascii="Lato" w:eastAsia="Times New Roman" w:hAnsi="Lato" w:cs="Times New Roman"/>
          <w:color w:val="000000"/>
          <w:spacing w:val="5"/>
          <w:sz w:val="24"/>
          <w:szCs w:val="24"/>
          <w:lang w:eastAsia="it-IT"/>
        </w:rPr>
        <w:t>;</w:t>
      </w:r>
    </w:p>
    <w:p w14:paraId="12779E7C"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—infatti, stante la difficoltà di reperire un soggetto che gestisse l'emergenza ambientale in atto, il comune aveva deciso di costituire una società in house, appunto Bracciano ambiente s.p.a., incaricandola della gestione dei rifiuti;</w:t>
      </w:r>
    </w:p>
    <w:p w14:paraId="1207C53B"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—l'art. 4 dello statuto prevedeva che lo scopo primario della società fosse la gestione degli impianti destinati al servizio di discarica, con espressa previsione che l'attività prevalente fosse svolta per il comune di Bracciano o per gli altri enti pubblici futuri soci della società;</w:t>
      </w:r>
    </w:p>
    <w:p w14:paraId="4F26152A"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—dal 1° luglio 2004 al 31 gennaio 2014 la società aveva gestito la discarica comprensoriale di </w:t>
      </w:r>
      <w:proofErr w:type="spellStart"/>
      <w:r w:rsidRPr="002120EF">
        <w:rPr>
          <w:rFonts w:ascii="Lato" w:eastAsia="Times New Roman" w:hAnsi="Lato" w:cs="Times New Roman"/>
          <w:color w:val="000000"/>
          <w:spacing w:val="5"/>
          <w:sz w:val="24"/>
          <w:szCs w:val="24"/>
          <w:lang w:eastAsia="it-IT"/>
        </w:rPr>
        <w:t>Cupinoro</w:t>
      </w:r>
      <w:proofErr w:type="spellEnd"/>
      <w:r w:rsidRPr="002120EF">
        <w:rPr>
          <w:rFonts w:ascii="Lato" w:eastAsia="Times New Roman" w:hAnsi="Lato" w:cs="Times New Roman"/>
          <w:color w:val="000000"/>
          <w:spacing w:val="5"/>
          <w:sz w:val="24"/>
          <w:szCs w:val="24"/>
          <w:lang w:eastAsia="it-IT"/>
        </w:rPr>
        <w:t xml:space="preserve"> nella quale avevano versato i propri rifiuti ben venticinque comuni;</w:t>
      </w:r>
    </w:p>
    <w:p w14:paraId="0306D6F6"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—infine, con la modifica statutaria intervenuta nel 2013, la Bracciano ambiente era passata sotto il controllo degli enti affidanti, ai sensi della normativa nazionale e comunitaria per le società in house;</w:t>
      </w:r>
    </w:p>
    <w:p w14:paraId="387141A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—sin dalla sentenza della Corte dei conti 367/15 la predetta società era stata qualificata come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xml:space="preserve"> alla luce dei seguenti requisiti: 1) partecipazione totalitaria pubblica senza possibilità di entrata del socio privato; 2) riserva statutaria di attività prevalente verso il comune di Bracciano o altri enti pubblici che sarebbero potuti divenire soci; 3) omissione di controllo di tipo «analogo» dovuto nei confronti della Bracciano ambiente da parte del comune di Bracciano quale fondamento della responsabilità dello stesso;</w:t>
      </w:r>
    </w:p>
    <w:p w14:paraId="6BF09CE7"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—anche il successivo decreto di ammissione al concordato preventivo, emesso dal Tribunale di Civitavecchia il 2 febbraio 2016, aveva riconosciuto alla società Bracciano ambiente s.p.a. la natura di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ammettendone, peraltro, la fallibilità;</w:t>
      </w:r>
    </w:p>
    <w:p w14:paraId="08C036B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lastRenderedPageBreak/>
        <w:t>—sicché, la responsabilità del comune per i debiti contratti dalla società da esso interamente partecipata doveva essere ricondotta ad un duplice profilo: 1) la relazione organica esistente tra le due entità, articolata su un permanente dovere di relazione e controllo, «analogo» a quello svolto dal comune sui propri uffici, come sancito dallo statuto nella versione modificata nel 2013; 2) il vincolo di solidarietà derivato all'ente da tale ruolo di direzione e coordinamento sulla società partecipata in base al principio espresso dall'art. 2497 c.c.</w:t>
      </w:r>
    </w:p>
    <w:p w14:paraId="50FFDA6E"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Concludeva quindi: «Voglia il tribunale, disattesa ogni contraria istanza, respingere l'opposizione perché infondata in fatto ed in diritto, confermando il decreto ingiuntivo opposto. Spese vinte».</w:t>
      </w:r>
    </w:p>
    <w:p w14:paraId="026B8089"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Con ordinanza riservata del 31 ottobre 2016 il tribunale rigettava l'istanza di sospensione della provvisoria esecuzione del decreto ingiuntivo opposto (poi reiterata e rigettata con ordinanza del 9 maggio 2019). La causa veniva istruita mediante produzione documentale; indi, chiamata all'udienza del 22 febbraio 2022 per la precisazione delle conclusioni, è stata trattenuta in decisione con assegnazione dei termini di cui all'art. 190 c.p.c.</w:t>
      </w:r>
    </w:p>
    <w:p w14:paraId="712EC1B0"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i/>
          <w:iCs/>
          <w:color w:val="000000"/>
          <w:spacing w:val="5"/>
          <w:sz w:val="24"/>
          <w:szCs w:val="24"/>
          <w:lang w:eastAsia="it-IT"/>
        </w:rPr>
        <w:t>Osserva in diritto</w:t>
      </w:r>
      <w:r w:rsidRPr="002120EF">
        <w:rPr>
          <w:rFonts w:ascii="Lato" w:eastAsia="Times New Roman" w:hAnsi="Lato" w:cs="Times New Roman"/>
          <w:color w:val="000000"/>
          <w:spacing w:val="5"/>
          <w:sz w:val="24"/>
          <w:szCs w:val="24"/>
          <w:lang w:eastAsia="it-IT"/>
        </w:rPr>
        <w:t xml:space="preserve">. — 1. - in via preliminare l'opponente comune ha eccepito l'incompetenza del tribunale </w:t>
      </w:r>
      <w:proofErr w:type="spellStart"/>
      <w:r w:rsidRPr="002120EF">
        <w:rPr>
          <w:rFonts w:ascii="Lato" w:eastAsia="Times New Roman" w:hAnsi="Lato" w:cs="Times New Roman"/>
          <w:color w:val="000000"/>
          <w:spacing w:val="5"/>
          <w:sz w:val="24"/>
          <w:szCs w:val="24"/>
          <w:lang w:eastAsia="it-IT"/>
        </w:rPr>
        <w:t>adìto</w:t>
      </w:r>
      <w:proofErr w:type="spellEnd"/>
      <w:r w:rsidRPr="002120EF">
        <w:rPr>
          <w:rFonts w:ascii="Lato" w:eastAsia="Times New Roman" w:hAnsi="Lato" w:cs="Times New Roman"/>
          <w:color w:val="000000"/>
          <w:spacing w:val="5"/>
          <w:sz w:val="24"/>
          <w:szCs w:val="24"/>
          <w:lang w:eastAsia="it-IT"/>
        </w:rPr>
        <w:t xml:space="preserve"> in favore del Tribunale di Roma - sezione specializzata in materia di impresa, in base all'art. 3, 2° e 3° comma,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xml:space="preserve">. 168/03, come modificato dall'art. 2 </w:t>
      </w:r>
      <w:proofErr w:type="spellStart"/>
      <w:r w:rsidRPr="002120EF">
        <w:rPr>
          <w:rFonts w:ascii="Lato" w:eastAsia="Times New Roman" w:hAnsi="Lato" w:cs="Times New Roman"/>
          <w:color w:val="000000"/>
          <w:spacing w:val="5"/>
          <w:sz w:val="24"/>
          <w:szCs w:val="24"/>
          <w:lang w:eastAsia="it-IT"/>
        </w:rPr>
        <w:t>d.l.</w:t>
      </w:r>
      <w:proofErr w:type="spellEnd"/>
      <w:r w:rsidRPr="002120EF">
        <w:rPr>
          <w:rFonts w:ascii="Lato" w:eastAsia="Times New Roman" w:hAnsi="Lato" w:cs="Times New Roman"/>
          <w:color w:val="000000"/>
          <w:spacing w:val="5"/>
          <w:sz w:val="24"/>
          <w:szCs w:val="24"/>
          <w:lang w:eastAsia="it-IT"/>
        </w:rPr>
        <w:t xml:space="preserve"> 1/12 (convertito, con modificazioni, dalla l. 27/12). L'art. 3, 2° e 3° comma, cit. dispone che «2. Le sezioni specializzate sono altresì competenti, relativamente alle società di cui al libro V, titolo V, capi V, VI e VII, e titolo VI, c.c., … per le cause e i procedimenti: </w:t>
      </w:r>
      <w:r w:rsidRPr="002120EF">
        <w:rPr>
          <w:rFonts w:ascii="Lato" w:eastAsia="Times New Roman" w:hAnsi="Lato" w:cs="Times New Roman"/>
          <w:i/>
          <w:iCs/>
          <w:color w:val="000000"/>
          <w:spacing w:val="5"/>
          <w:sz w:val="24"/>
          <w:szCs w:val="24"/>
          <w:lang w:eastAsia="it-IT"/>
        </w:rPr>
        <w:t>a</w:t>
      </w:r>
      <w:r w:rsidRPr="002120EF">
        <w:rPr>
          <w:rFonts w:ascii="Lato" w:eastAsia="Times New Roman" w:hAnsi="Lato" w:cs="Times New Roman"/>
          <w:color w:val="000000"/>
          <w:spacing w:val="5"/>
          <w:sz w:val="24"/>
          <w:szCs w:val="24"/>
          <w:lang w:eastAsia="it-IT"/>
        </w:rPr>
        <w:t>) relativi a rapporti societari … </w:t>
      </w:r>
      <w:r w:rsidRPr="002120EF">
        <w:rPr>
          <w:rFonts w:ascii="Lato" w:eastAsia="Times New Roman" w:hAnsi="Lato" w:cs="Times New Roman"/>
          <w:i/>
          <w:iCs/>
          <w:color w:val="000000"/>
          <w:spacing w:val="5"/>
          <w:sz w:val="24"/>
          <w:szCs w:val="24"/>
          <w:lang w:eastAsia="it-IT"/>
        </w:rPr>
        <w:t>b</w:t>
      </w:r>
      <w:r w:rsidRPr="002120EF">
        <w:rPr>
          <w:rFonts w:ascii="Lato" w:eastAsia="Times New Roman" w:hAnsi="Lato" w:cs="Times New Roman"/>
          <w:color w:val="000000"/>
          <w:spacing w:val="5"/>
          <w:sz w:val="24"/>
          <w:szCs w:val="24"/>
          <w:lang w:eastAsia="it-IT"/>
        </w:rPr>
        <w:t>) relativi al trasferimento delle partecipazioni sociali o ad ogni altro negozio avente ad oggetto le partecipazioni sociali o i diritti inerenti … </w:t>
      </w:r>
      <w:r w:rsidRPr="002120EF">
        <w:rPr>
          <w:rFonts w:ascii="Lato" w:eastAsia="Times New Roman" w:hAnsi="Lato" w:cs="Times New Roman"/>
          <w:i/>
          <w:iCs/>
          <w:color w:val="000000"/>
          <w:spacing w:val="5"/>
          <w:sz w:val="24"/>
          <w:szCs w:val="24"/>
          <w:lang w:eastAsia="it-IT"/>
        </w:rPr>
        <w:t>c</w:t>
      </w:r>
      <w:r w:rsidRPr="002120EF">
        <w:rPr>
          <w:rFonts w:ascii="Lato" w:eastAsia="Times New Roman" w:hAnsi="Lato" w:cs="Times New Roman"/>
          <w:color w:val="000000"/>
          <w:spacing w:val="5"/>
          <w:sz w:val="24"/>
          <w:szCs w:val="24"/>
          <w:lang w:eastAsia="it-IT"/>
        </w:rPr>
        <w:t>) in materia di patti parasociali … </w:t>
      </w:r>
      <w:r w:rsidRPr="002120EF">
        <w:rPr>
          <w:rFonts w:ascii="Lato" w:eastAsia="Times New Roman" w:hAnsi="Lato" w:cs="Times New Roman"/>
          <w:i/>
          <w:iCs/>
          <w:color w:val="000000"/>
          <w:spacing w:val="5"/>
          <w:sz w:val="24"/>
          <w:szCs w:val="24"/>
          <w:lang w:eastAsia="it-IT"/>
        </w:rPr>
        <w:t>d</w:t>
      </w:r>
      <w:r w:rsidRPr="002120EF">
        <w:rPr>
          <w:rFonts w:ascii="Lato" w:eastAsia="Times New Roman" w:hAnsi="Lato" w:cs="Times New Roman"/>
          <w:color w:val="000000"/>
          <w:spacing w:val="5"/>
          <w:sz w:val="24"/>
          <w:szCs w:val="24"/>
          <w:lang w:eastAsia="it-IT"/>
        </w:rPr>
        <w:t>) aventi ad oggetto azioni di responsabilità promosse dai creditori delle società controllate contro le società che le controllano … </w:t>
      </w:r>
      <w:r w:rsidRPr="002120EF">
        <w:rPr>
          <w:rFonts w:ascii="Lato" w:eastAsia="Times New Roman" w:hAnsi="Lato" w:cs="Times New Roman"/>
          <w:i/>
          <w:iCs/>
          <w:color w:val="000000"/>
          <w:spacing w:val="5"/>
          <w:sz w:val="24"/>
          <w:szCs w:val="24"/>
          <w:lang w:eastAsia="it-IT"/>
        </w:rPr>
        <w:t>e</w:t>
      </w:r>
      <w:r w:rsidRPr="002120EF">
        <w:rPr>
          <w:rFonts w:ascii="Lato" w:eastAsia="Times New Roman" w:hAnsi="Lato" w:cs="Times New Roman"/>
          <w:color w:val="000000"/>
          <w:spacing w:val="5"/>
          <w:sz w:val="24"/>
          <w:szCs w:val="24"/>
          <w:lang w:eastAsia="it-IT"/>
        </w:rPr>
        <w:t>) relativi a rapporti di cui all'art. 2359, 1° comma, n. 3, all'art. 2497 </w:t>
      </w:r>
      <w:proofErr w:type="spellStart"/>
      <w:r w:rsidRPr="002120EF">
        <w:rPr>
          <w:rFonts w:ascii="Lato" w:eastAsia="Times New Roman" w:hAnsi="Lato" w:cs="Times New Roman"/>
          <w:i/>
          <w:iCs/>
          <w:color w:val="000000"/>
          <w:spacing w:val="5"/>
          <w:sz w:val="24"/>
          <w:szCs w:val="24"/>
          <w:lang w:eastAsia="it-IT"/>
        </w:rPr>
        <w:t>septies</w:t>
      </w:r>
      <w:proofErr w:type="spellEnd"/>
      <w:r w:rsidRPr="002120EF">
        <w:rPr>
          <w:rFonts w:ascii="Lato" w:eastAsia="Times New Roman" w:hAnsi="Lato" w:cs="Times New Roman"/>
          <w:color w:val="000000"/>
          <w:spacing w:val="5"/>
          <w:sz w:val="24"/>
          <w:szCs w:val="24"/>
          <w:lang w:eastAsia="it-IT"/>
        </w:rPr>
        <w:t> e all'art. 2545 </w:t>
      </w:r>
      <w:proofErr w:type="spellStart"/>
      <w:r w:rsidRPr="002120EF">
        <w:rPr>
          <w:rFonts w:ascii="Lato" w:eastAsia="Times New Roman" w:hAnsi="Lato" w:cs="Times New Roman"/>
          <w:i/>
          <w:iCs/>
          <w:color w:val="000000"/>
          <w:spacing w:val="5"/>
          <w:sz w:val="24"/>
          <w:szCs w:val="24"/>
          <w:lang w:eastAsia="it-IT"/>
        </w:rPr>
        <w:t>septies</w:t>
      </w:r>
      <w:proofErr w:type="spellEnd"/>
      <w:r w:rsidRPr="002120EF">
        <w:rPr>
          <w:rFonts w:ascii="Lato" w:eastAsia="Times New Roman" w:hAnsi="Lato" w:cs="Times New Roman"/>
          <w:color w:val="000000"/>
          <w:spacing w:val="5"/>
          <w:sz w:val="24"/>
          <w:szCs w:val="24"/>
          <w:lang w:eastAsia="it-IT"/>
        </w:rPr>
        <w:t> c.c. … </w:t>
      </w:r>
      <w:r w:rsidRPr="002120EF">
        <w:rPr>
          <w:rFonts w:ascii="Lato" w:eastAsia="Times New Roman" w:hAnsi="Lato" w:cs="Times New Roman"/>
          <w:i/>
          <w:iCs/>
          <w:color w:val="000000"/>
          <w:spacing w:val="5"/>
          <w:sz w:val="24"/>
          <w:szCs w:val="24"/>
          <w:lang w:eastAsia="it-IT"/>
        </w:rPr>
        <w:t>f</w:t>
      </w:r>
      <w:r w:rsidRPr="002120EF">
        <w:rPr>
          <w:rFonts w:ascii="Lato" w:eastAsia="Times New Roman" w:hAnsi="Lato" w:cs="Times New Roman"/>
          <w:color w:val="000000"/>
          <w:spacing w:val="5"/>
          <w:sz w:val="24"/>
          <w:szCs w:val="24"/>
          <w:lang w:eastAsia="it-IT"/>
        </w:rPr>
        <w:t>) relativi a contratti pubblici di appalto di lavori, servizi o forniture di rilevanza comunitaria dei quali sia parte una delle società di cui al presente comma, ovvero quando una delle stesse partecipa al consorzio o al raggruppamento temporaneo cui i contratti siano stati affidati, ove comunque sussista la giurisdizione del giudice ordinario. — 3. Le sezioni specializzate sono altresì competenti per le cause e i procedimenti che presentano ragioni di connessione con quelli di cui al 1° e 2° comma».</w:t>
      </w:r>
    </w:p>
    <w:p w14:paraId="29C96671"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Secondo la tesi prospettata dall'opponente, il comune di Bracciano risponderebbe in via solidale del debito della Bracciano ambiente s.p.a. azionato dalla società ricorrente in forza del «rapporto societario» intercorrente tra lo stesso comune e la Bracciano ambiente s.p.a., per ciò sottoposto alla cognizione delle sezioni specializzate in virtù della norma richiamata.</w:t>
      </w:r>
    </w:p>
    <w:p w14:paraId="2E6BBE04"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Al riguardo va, tuttavia, rilevato che la controversia sottoposta all'attenzione del tribunale, pur coinvolgendo soggetti che rivestono la forma di società di capitali (nella specie, Bracciano ambiente s.p.a.) in rapporto con l'ente locale convenuto, attiene più strettamente alla definizione del rapporto di credito vantato da un terzo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verso l'ente locale ingiunto, ciò che esclude il radicarsi della competenza della sezione specializzata invocata dall'opponente.</w:t>
      </w:r>
    </w:p>
    <w:p w14:paraId="7665656F"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L'eccezione va, pertanto, rigettata.</w:t>
      </w:r>
    </w:p>
    <w:p w14:paraId="2AF14631"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2. - Ciò premesso, l'opposizione proposta dal comune di Bracciano va integralmente accolta per le ragioni di seguito esposte.</w:t>
      </w:r>
    </w:p>
    <w:p w14:paraId="051E8AD0"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lastRenderedPageBreak/>
        <w:t>Prima di procedere all'esame della fattispecie concreta, giova ricordare che il giudizio di cognizione che si apre in conseguenza dell'opposizione ex art. 645 ss. c.p.c. è governato dalle ordinarie regole in tema di riparto dell'onere della prova, come enucleabili dal disposto dell'art. 2697 c.c. Pertanto, anche in seno a tale procedimento, il creditore è tenuto a provare i fatti costitutivi della pretesa, cioè l'esistenza ed il contenuto della fonte negoziale o legale del credito e, se previsto, il termine di scadenza — e non anche l'inadempimento, che deve essere semplicemente allegato — mentre il debitore ha l'onere di eccepire e dimostrare il fatto estintivo del diritto, costituito dall'avvenuto adempimento, ovvero ogni altra circostanza dedotta al fine di contestare il titolo posto a base dell'avversa pretesa o, infine, gli eventi modificativi del credito azionato in sede monitoria.</w:t>
      </w:r>
    </w:p>
    <w:p w14:paraId="7FC00C33"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invero, dall'art. 2697 c.c. — che richiede all'attore la prova del diritto fatto valere ed al convenuto la prova della modificazione o dell'estinzione dello stesso — si desume il principio della presunzione di persistenza del diritto: in forza di tale principio, pacificamente applicabile all'ipotesi della domanda di adempimento, ove il creditore dia la prova della fonte negoziale o legale della propria pretesa, la persistenza del credito si presume ed è, dunque, sul debitore che grava l'onere di provare di aver provveduto alla relativa estinzione ovvero di dimostrare gli altri atti o fatti allegati come eventi modificativi o estintivi del credito di parte avversa (in tal senso, Cass., sez. un., 30 ottobre 2001, n. 13533, </w:t>
      </w:r>
      <w:r w:rsidRPr="002120EF">
        <w:rPr>
          <w:rFonts w:ascii="Lato" w:eastAsia="Times New Roman" w:hAnsi="Lato" w:cs="Times New Roman"/>
          <w:i/>
          <w:iCs/>
          <w:color w:val="000000"/>
          <w:spacing w:val="5"/>
          <w:sz w:val="24"/>
          <w:szCs w:val="24"/>
          <w:lang w:eastAsia="it-IT"/>
        </w:rPr>
        <w:t xml:space="preserve">Foro </w:t>
      </w:r>
      <w:proofErr w:type="spellStart"/>
      <w:r w:rsidRPr="002120EF">
        <w:rPr>
          <w:rFonts w:ascii="Lato" w:eastAsia="Times New Roman" w:hAnsi="Lato" w:cs="Times New Roman"/>
          <w:i/>
          <w:iCs/>
          <w:color w:val="000000"/>
          <w:spacing w:val="5"/>
          <w:sz w:val="24"/>
          <w:szCs w:val="24"/>
          <w:lang w:eastAsia="it-IT"/>
        </w:rPr>
        <w:t>it</w:t>
      </w:r>
      <w:proofErr w:type="spellEnd"/>
      <w:r w:rsidRPr="002120EF">
        <w:rPr>
          <w:rFonts w:ascii="Lato" w:eastAsia="Times New Roman" w:hAnsi="Lato" w:cs="Times New Roman"/>
          <w:color w:val="000000"/>
          <w:spacing w:val="5"/>
          <w:sz w:val="24"/>
          <w:szCs w:val="24"/>
          <w:lang w:eastAsia="it-IT"/>
        </w:rPr>
        <w:t xml:space="preserve">., 2002, I, 769; </w:t>
      </w:r>
      <w:proofErr w:type="spellStart"/>
      <w:r w:rsidRPr="002120EF">
        <w:rPr>
          <w:rFonts w:ascii="Lato" w:eastAsia="Times New Roman" w:hAnsi="Lato" w:cs="Times New Roman"/>
          <w:color w:val="000000"/>
          <w:spacing w:val="5"/>
          <w:sz w:val="24"/>
          <w:szCs w:val="24"/>
          <w:lang w:eastAsia="it-IT"/>
        </w:rPr>
        <w:t>conf.</w:t>
      </w:r>
      <w:proofErr w:type="spellEnd"/>
      <w:r w:rsidRPr="002120EF">
        <w:rPr>
          <w:rFonts w:ascii="Lato" w:eastAsia="Times New Roman" w:hAnsi="Lato" w:cs="Times New Roman"/>
          <w:color w:val="000000"/>
          <w:spacing w:val="5"/>
          <w:sz w:val="24"/>
          <w:szCs w:val="24"/>
          <w:lang w:eastAsia="it-IT"/>
        </w:rPr>
        <w:t>, </w:t>
      </w:r>
      <w:r w:rsidRPr="002120EF">
        <w:rPr>
          <w:rFonts w:ascii="Lato" w:eastAsia="Times New Roman" w:hAnsi="Lato" w:cs="Times New Roman"/>
          <w:i/>
          <w:iCs/>
          <w:color w:val="000000"/>
          <w:spacing w:val="5"/>
          <w:sz w:val="24"/>
          <w:szCs w:val="24"/>
          <w:lang w:eastAsia="it-IT"/>
        </w:rPr>
        <w:t xml:space="preserve">ex </w:t>
      </w:r>
      <w:proofErr w:type="spellStart"/>
      <w:r w:rsidRPr="002120EF">
        <w:rPr>
          <w:rFonts w:ascii="Lato" w:eastAsia="Times New Roman" w:hAnsi="Lato" w:cs="Times New Roman"/>
          <w:i/>
          <w:iCs/>
          <w:color w:val="000000"/>
          <w:spacing w:val="5"/>
          <w:sz w:val="24"/>
          <w:szCs w:val="24"/>
          <w:lang w:eastAsia="it-IT"/>
        </w:rPr>
        <w:t>plurimis</w:t>
      </w:r>
      <w:proofErr w:type="spellEnd"/>
      <w:r w:rsidRPr="002120EF">
        <w:rPr>
          <w:rFonts w:ascii="Lato" w:eastAsia="Times New Roman" w:hAnsi="Lato" w:cs="Times New Roman"/>
          <w:color w:val="000000"/>
          <w:spacing w:val="5"/>
          <w:sz w:val="24"/>
          <w:szCs w:val="24"/>
          <w:lang w:eastAsia="it-IT"/>
        </w:rPr>
        <w:t>, Cass. 13 giugno 2006, n. 13674,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2008, voce </w:t>
      </w:r>
      <w:r w:rsidRPr="002120EF">
        <w:rPr>
          <w:rFonts w:ascii="Lato" w:eastAsia="Times New Roman" w:hAnsi="Lato" w:cs="Times New Roman"/>
          <w:i/>
          <w:iCs/>
          <w:color w:val="000000"/>
          <w:spacing w:val="5"/>
          <w:sz w:val="24"/>
          <w:szCs w:val="24"/>
          <w:lang w:eastAsia="it-IT"/>
        </w:rPr>
        <w:t>Contratto in genere</w:t>
      </w:r>
      <w:r w:rsidRPr="002120EF">
        <w:rPr>
          <w:rFonts w:ascii="Lato" w:eastAsia="Times New Roman" w:hAnsi="Lato" w:cs="Times New Roman"/>
          <w:color w:val="000000"/>
          <w:spacing w:val="5"/>
          <w:sz w:val="24"/>
          <w:szCs w:val="24"/>
          <w:lang w:eastAsia="it-IT"/>
        </w:rPr>
        <w:t>, n. 482; 12 aprile 2006, n. 8615,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2006, voce </w:t>
      </w:r>
      <w:r w:rsidRPr="002120EF">
        <w:rPr>
          <w:rFonts w:ascii="Lato" w:eastAsia="Times New Roman" w:hAnsi="Lato" w:cs="Times New Roman"/>
          <w:i/>
          <w:iCs/>
          <w:color w:val="000000"/>
          <w:spacing w:val="5"/>
          <w:sz w:val="24"/>
          <w:szCs w:val="24"/>
          <w:lang w:eastAsia="it-IT"/>
        </w:rPr>
        <w:t>Danni civili</w:t>
      </w:r>
      <w:r w:rsidRPr="002120EF">
        <w:rPr>
          <w:rFonts w:ascii="Lato" w:eastAsia="Times New Roman" w:hAnsi="Lato" w:cs="Times New Roman"/>
          <w:color w:val="000000"/>
          <w:spacing w:val="5"/>
          <w:sz w:val="24"/>
          <w:szCs w:val="24"/>
          <w:lang w:eastAsia="it-IT"/>
        </w:rPr>
        <w:t>, n. 356).</w:t>
      </w:r>
    </w:p>
    <w:p w14:paraId="05A0FB0A"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3. - Nella presente sede, la società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ha chiesto l'emissione del decreto ingiuntivo opposto, al fine di ottenere il pagamento della somma complessiva di euro 550.775,99, oltre interessi, quale credito derivante dal mancato pagamento di forniture effettuate in favore della Bracciano ambiente s.p.a., società interamente partecipata dal comune di Bracciano. La responsabilità dell'ente locale deriverebbe dalla circostanza che la Bracciano ambiente s.p.a. andrebbe qualificata come società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xml:space="preserve"> con la conseguenza che la responsabilità dell'unico socio per le obbligazioni da essa assunte troverebbe origine sia nella relazione organica esistente tra le due entità, articolata su un permanente dovere di relazione e controllo «analogo» a quello svolto dal comune sui propri uffici, come sancito dallo statuto nella versione modificata nel 2013, sia nel vincolo di solidarietà derivato all'ente da tale ruolo di direzione e coordinamento sulla società partecipata in base al principio espresso dall'art. 2497 c.c.</w:t>
      </w:r>
    </w:p>
    <w:p w14:paraId="0BCB6183"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Per contro, l'opponente — pur non contestando l'esistenza del rapporto di fornitura intercorso tra la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e la Bracciano ambiente s.p.a., le fatture in atti, nonché il </w:t>
      </w:r>
      <w:r w:rsidRPr="002120EF">
        <w:rPr>
          <w:rFonts w:ascii="Lato" w:eastAsia="Times New Roman" w:hAnsi="Lato" w:cs="Times New Roman"/>
          <w:i/>
          <w:iCs/>
          <w:color w:val="000000"/>
          <w:spacing w:val="5"/>
          <w:sz w:val="24"/>
          <w:szCs w:val="24"/>
          <w:lang w:eastAsia="it-IT"/>
        </w:rPr>
        <w:t>quantum</w:t>
      </w:r>
      <w:r w:rsidRPr="002120EF">
        <w:rPr>
          <w:rFonts w:ascii="Lato" w:eastAsia="Times New Roman" w:hAnsi="Lato" w:cs="Times New Roman"/>
          <w:color w:val="000000"/>
          <w:spacing w:val="5"/>
          <w:sz w:val="24"/>
          <w:szCs w:val="24"/>
          <w:lang w:eastAsia="it-IT"/>
        </w:rPr>
        <w:t xml:space="preserve"> richiesto a titolo di corrispettivo — ha escluso che il comune di Bracciano possa considerarsi debitore della società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atteso che, da un lato, la Bracciano ambiente s.p.a. difetterebbe dei requisiti della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dall'altro, anche a volerne riconoscere la natura anzidetta, ciò non comporterebbe sul piano degli effetti civilistici la responsabilità solidale ed illimitata dell'ente socio, sempre sussistendo una distinzione tra patrimonio dell'ente e patrimonio della società, da porsi in termini di separazione patrimoniale e non di distinta titolarità.</w:t>
      </w:r>
    </w:p>
    <w:p w14:paraId="14689EE2"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4. - Tanto chiarito, il tribunale non ritiene condivisibile la tesi prospettata dalla società opposta in ordine al coinvolgimento della responsabilità dell'ente per le obbligazioni assunte dalla propria partecipata Bracciano ambiente s.p.a. nella vicenda in analisi.</w:t>
      </w:r>
    </w:p>
    <w:p w14:paraId="0CA3F1BD"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Tanto lo si afferma, in linea con quanto sostenuto dal comune opponente, sia nel caso in cui la Bracciano ambiente s.p.a. venga qualificata come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xml:space="preserve">, sia nel caso in cui la stessa non possa essere sussunta — come </w:t>
      </w:r>
      <w:proofErr w:type="spellStart"/>
      <w:r w:rsidRPr="002120EF">
        <w:rPr>
          <w:rFonts w:ascii="Lato" w:eastAsia="Times New Roman" w:hAnsi="Lato" w:cs="Times New Roman"/>
          <w:color w:val="000000"/>
          <w:spacing w:val="5"/>
          <w:sz w:val="24"/>
          <w:szCs w:val="24"/>
          <w:lang w:eastAsia="it-IT"/>
        </w:rPr>
        <w:t>condivisibilmente</w:t>
      </w:r>
      <w:proofErr w:type="spellEnd"/>
      <w:r w:rsidRPr="002120EF">
        <w:rPr>
          <w:rFonts w:ascii="Lato" w:eastAsia="Times New Roman" w:hAnsi="Lato" w:cs="Times New Roman"/>
          <w:color w:val="000000"/>
          <w:spacing w:val="5"/>
          <w:sz w:val="24"/>
          <w:szCs w:val="24"/>
          <w:lang w:eastAsia="it-IT"/>
        </w:rPr>
        <w:t xml:space="preserve"> ritenuto dalla Corte </w:t>
      </w:r>
      <w:r w:rsidRPr="002120EF">
        <w:rPr>
          <w:rFonts w:ascii="Lato" w:eastAsia="Times New Roman" w:hAnsi="Lato" w:cs="Times New Roman"/>
          <w:color w:val="000000"/>
          <w:spacing w:val="5"/>
          <w:sz w:val="24"/>
          <w:szCs w:val="24"/>
          <w:lang w:eastAsia="it-IT"/>
        </w:rPr>
        <w:lastRenderedPageBreak/>
        <w:t>dei conti, sezione II giurisdizionale centrale d'appello, nella sentenza 43/19 resa in riforma della sentenza n. 4 del 10 gennaio 2017 emessa dalla sezione giurisdizionale per la regione Lazio (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2017, voce </w:t>
      </w:r>
      <w:r w:rsidRPr="002120EF">
        <w:rPr>
          <w:rFonts w:ascii="Lato" w:eastAsia="Times New Roman" w:hAnsi="Lato" w:cs="Times New Roman"/>
          <w:i/>
          <w:iCs/>
          <w:color w:val="000000"/>
          <w:spacing w:val="5"/>
          <w:sz w:val="24"/>
          <w:szCs w:val="24"/>
          <w:lang w:eastAsia="it-IT"/>
        </w:rPr>
        <w:t>responsabilità contabile</w:t>
      </w:r>
      <w:r w:rsidRPr="002120EF">
        <w:rPr>
          <w:rFonts w:ascii="Lato" w:eastAsia="Times New Roman" w:hAnsi="Lato" w:cs="Times New Roman"/>
          <w:color w:val="000000"/>
          <w:spacing w:val="5"/>
          <w:sz w:val="24"/>
          <w:szCs w:val="24"/>
          <w:lang w:eastAsia="it-IT"/>
        </w:rPr>
        <w:t>, n. 115) — in tale modello organizzativo.</w:t>
      </w:r>
    </w:p>
    <w:p w14:paraId="087D8487"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Difatti, nell'uno e nell'altro caso, sono applicabili i principî più volte espressi dalla Suprema corte, secondo i quali, «la società di capitali con partecipazione pubblica non muta la sua natura di soggetto di diritto privato solo perché gli enti pubblici (comune, provincia e simili) ne posseggano le partecipazioni, in tutto o in parte, non assumendo rilievo alcuno, per le vicende della società medesima, la persona dell'azionista, dato che la società, quale persona giuridica privata, opera comunque nell'esercizio della propria autonomia negoziale. Il rapporto tra la società e l'ente locale è, cioè, di sostanziale autonomia, al punto che non è consentito al comune di incidere unilateralmente sullo svolgimento del rapporto medesimo (e sull'attività dell'ente collettivo) mediante l'esercizio di poteri autoritativi o discrezionali (così, da ultimo, Cass. n. 5346 del 22 febbraio 2019,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2020, voce </w:t>
      </w:r>
      <w:r w:rsidRPr="002120EF">
        <w:rPr>
          <w:rFonts w:ascii="Lato" w:eastAsia="Times New Roman" w:hAnsi="Lato" w:cs="Times New Roman"/>
          <w:i/>
          <w:iCs/>
          <w:color w:val="000000"/>
          <w:spacing w:val="5"/>
          <w:sz w:val="24"/>
          <w:szCs w:val="24"/>
          <w:lang w:eastAsia="it-IT"/>
        </w:rPr>
        <w:t>Fallimento</w:t>
      </w:r>
      <w:r w:rsidRPr="002120EF">
        <w:rPr>
          <w:rFonts w:ascii="Lato" w:eastAsia="Times New Roman" w:hAnsi="Lato" w:cs="Times New Roman"/>
          <w:color w:val="000000"/>
          <w:spacing w:val="5"/>
          <w:sz w:val="24"/>
          <w:szCs w:val="24"/>
          <w:lang w:eastAsia="it-IT"/>
        </w:rPr>
        <w:t>, n. 144; v., altresì, Cass., sez. un., n. 7799 del 15 aprile 2005,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2005, I, 2726; n. 392 dell'11 gennaio 2011,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2012, voce </w:t>
      </w:r>
      <w:r w:rsidRPr="002120EF">
        <w:rPr>
          <w:rFonts w:ascii="Lato" w:eastAsia="Times New Roman" w:hAnsi="Lato" w:cs="Times New Roman"/>
          <w:i/>
          <w:iCs/>
          <w:color w:val="000000"/>
          <w:spacing w:val="5"/>
          <w:sz w:val="24"/>
          <w:szCs w:val="24"/>
          <w:lang w:eastAsia="it-IT"/>
        </w:rPr>
        <w:t>Giurisdizione civile</w:t>
      </w:r>
      <w:r w:rsidRPr="002120EF">
        <w:rPr>
          <w:rFonts w:ascii="Lato" w:eastAsia="Times New Roman" w:hAnsi="Lato" w:cs="Times New Roman"/>
          <w:color w:val="000000"/>
          <w:spacing w:val="5"/>
          <w:sz w:val="24"/>
          <w:szCs w:val="24"/>
          <w:lang w:eastAsia="it-IT"/>
        </w:rPr>
        <w:t>, n. 159; n. 8454 del 26 agosto 1998,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1999, voce </w:t>
      </w:r>
      <w:r w:rsidRPr="002120EF">
        <w:rPr>
          <w:rFonts w:ascii="Lato" w:eastAsia="Times New Roman" w:hAnsi="Lato" w:cs="Times New Roman"/>
          <w:i/>
          <w:iCs/>
          <w:color w:val="000000"/>
          <w:spacing w:val="5"/>
          <w:sz w:val="24"/>
          <w:szCs w:val="24"/>
          <w:lang w:eastAsia="it-IT"/>
        </w:rPr>
        <w:t>Comune</w:t>
      </w:r>
      <w:r w:rsidRPr="002120EF">
        <w:rPr>
          <w:rFonts w:ascii="Lato" w:eastAsia="Times New Roman" w:hAnsi="Lato" w:cs="Times New Roman"/>
          <w:color w:val="000000"/>
          <w:spacing w:val="5"/>
          <w:sz w:val="24"/>
          <w:szCs w:val="24"/>
          <w:lang w:eastAsia="it-IT"/>
        </w:rPr>
        <w:t>, n. 458; n. 4989 del 6 maggio 1995,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1996, I, 1363; n. 3196 del 7 febbraio 2017,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2017, voce </w:t>
      </w:r>
      <w:r w:rsidRPr="002120EF">
        <w:rPr>
          <w:rFonts w:ascii="Lato" w:eastAsia="Times New Roman" w:hAnsi="Lato" w:cs="Times New Roman"/>
          <w:i/>
          <w:iCs/>
          <w:color w:val="000000"/>
          <w:spacing w:val="5"/>
          <w:sz w:val="24"/>
          <w:szCs w:val="24"/>
          <w:lang w:eastAsia="it-IT"/>
        </w:rPr>
        <w:t>Fallimento</w:t>
      </w:r>
      <w:r w:rsidRPr="002120EF">
        <w:rPr>
          <w:rFonts w:ascii="Lato" w:eastAsia="Times New Roman" w:hAnsi="Lato" w:cs="Times New Roman"/>
          <w:color w:val="000000"/>
          <w:spacing w:val="5"/>
          <w:sz w:val="24"/>
          <w:szCs w:val="24"/>
          <w:lang w:eastAsia="it-IT"/>
        </w:rPr>
        <w:t>, n. 205; con specifico riferimento alla società in house, v. Cass., sez. un., n. 7759 del 27 marzo 2017,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2017, I, 1526; n. 7222 del 22 marzo 2018,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2018, voce </w:t>
      </w:r>
      <w:r w:rsidRPr="002120EF">
        <w:rPr>
          <w:rFonts w:ascii="Lato" w:eastAsia="Times New Roman" w:hAnsi="Lato" w:cs="Times New Roman"/>
          <w:i/>
          <w:iCs/>
          <w:color w:val="000000"/>
          <w:spacing w:val="5"/>
          <w:sz w:val="24"/>
          <w:szCs w:val="24"/>
          <w:lang w:eastAsia="it-IT"/>
        </w:rPr>
        <w:t>Lavoro</w:t>
      </w:r>
      <w:r w:rsidRPr="002120EF">
        <w:rPr>
          <w:rFonts w:ascii="Lato" w:eastAsia="Times New Roman" w:hAnsi="Lato" w:cs="Times New Roman"/>
          <w:color w:val="000000"/>
          <w:spacing w:val="5"/>
          <w:sz w:val="24"/>
          <w:szCs w:val="24"/>
          <w:lang w:eastAsia="it-IT"/>
        </w:rPr>
        <w:t> (rapporto), n. 681) ... Tale caratteristica non viene meno in caso di società c.d.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xml:space="preserve">, in funzione dell'esistenza di un ‘controllo analogo’ del comune nei confronti della società. invero, il c.d. controllo analogo esercitato dall'amministrazione sulla società partecipata serve a consentire all'azionista pubblico di svolgere un'influenza dominante sulla società, se del caso attraverso strumenti derogatori rispetto agli ordinari meccanismi di funzionamento, così da rendere il legame partecipativo assimilabile a una relazione </w:t>
      </w:r>
      <w:proofErr w:type="spellStart"/>
      <w:r w:rsidRPr="002120EF">
        <w:rPr>
          <w:rFonts w:ascii="Lato" w:eastAsia="Times New Roman" w:hAnsi="Lato" w:cs="Times New Roman"/>
          <w:color w:val="000000"/>
          <w:spacing w:val="5"/>
          <w:sz w:val="24"/>
          <w:szCs w:val="24"/>
          <w:lang w:eastAsia="it-IT"/>
        </w:rPr>
        <w:t>interorganica</w:t>
      </w:r>
      <w:proofErr w:type="spellEnd"/>
      <w:r w:rsidRPr="002120EF">
        <w:rPr>
          <w:rFonts w:ascii="Lato" w:eastAsia="Times New Roman" w:hAnsi="Lato" w:cs="Times New Roman"/>
          <w:color w:val="000000"/>
          <w:spacing w:val="5"/>
          <w:sz w:val="24"/>
          <w:szCs w:val="24"/>
          <w:lang w:eastAsia="it-IT"/>
        </w:rPr>
        <w:t xml:space="preserve">; e tuttavia questa relazione </w:t>
      </w:r>
      <w:proofErr w:type="spellStart"/>
      <w:r w:rsidRPr="002120EF">
        <w:rPr>
          <w:rFonts w:ascii="Lato" w:eastAsia="Times New Roman" w:hAnsi="Lato" w:cs="Times New Roman"/>
          <w:color w:val="000000"/>
          <w:spacing w:val="5"/>
          <w:sz w:val="24"/>
          <w:szCs w:val="24"/>
          <w:lang w:eastAsia="it-IT"/>
        </w:rPr>
        <w:t>interorganica</w:t>
      </w:r>
      <w:proofErr w:type="spellEnd"/>
      <w:r w:rsidRPr="002120EF">
        <w:rPr>
          <w:rFonts w:ascii="Lato" w:eastAsia="Times New Roman" w:hAnsi="Lato" w:cs="Times New Roman"/>
          <w:color w:val="000000"/>
          <w:spacing w:val="5"/>
          <w:sz w:val="24"/>
          <w:szCs w:val="24"/>
          <w:lang w:eastAsia="it-IT"/>
        </w:rPr>
        <w:t xml:space="preserve"> non incide affatto sull'alterità soggettiva dell'ente societario nei confronti dell'amministrazione pubblica, dovendosi mantenere infine pur sempre separati i due enti — quello pubblico e quello privato societario — sul piano giuridico-formale, in quanto la società in house rappresenta pur sempre un centro di imputazione di rapporti e posizioni giuridiche soggettive diverso dall'ente partecipante (cfr., ancora, la motivazione di Cass. n. 5346 del 2019, cit.) ... in altre parole, la natura di ente in house deriva da una visione sostanziale del fenomeno tipico dell'approccio funzionale seguìto in sede europea, nell'ambito del quale gli istituti giuridici elaborati a livello sovranazionale sono applicati sulla base della reale essenza della fattispecie concreta, a prescindere dalle qualificazioni formali vigenti negli ordinamenti dei singoli paesi membri. Resta intatta la considerazione, però, che nell'ambito dell'ordinamento nazionale non è prevista — per le società in house così come per quelle miste — alcuna apprezzabile deviazione rispetto alla comune disciplina privatistica delle società di capitali, nel senso che la posizione dei comuni all'interno della società è unicamente quella di socio in base al capitale conferito. Donde soltanto in tale veste l'ente pubblico può influire sul funzionamento della società, avvalendosi non di poteri pubblicistici ma dei soli strumenti previsti dal diritto societario, da esercitare a mezzo dei membri presenti negli organi della società (così, ancora, la motivazione di Cass. n. 5346 del 2019, cit.)» (Cass. n. 21658 del 29 luglio 2021, </w:t>
      </w:r>
      <w:proofErr w:type="spellStart"/>
      <w:r w:rsidRPr="002120EF">
        <w:rPr>
          <w:rFonts w:ascii="Lato" w:eastAsia="Times New Roman" w:hAnsi="Lato" w:cs="Times New Roman"/>
          <w:i/>
          <w:iCs/>
          <w:color w:val="000000"/>
          <w:spacing w:val="5"/>
          <w:sz w:val="24"/>
          <w:szCs w:val="24"/>
          <w:lang w:eastAsia="it-IT"/>
        </w:rPr>
        <w:t>ForoPlus</w:t>
      </w:r>
      <w:proofErr w:type="spellEnd"/>
      <w:r w:rsidRPr="002120EF">
        <w:rPr>
          <w:rFonts w:ascii="Lato" w:eastAsia="Times New Roman" w:hAnsi="Lato" w:cs="Times New Roman"/>
          <w:color w:val="000000"/>
          <w:spacing w:val="5"/>
          <w:sz w:val="24"/>
          <w:szCs w:val="24"/>
          <w:lang w:eastAsia="it-IT"/>
        </w:rPr>
        <w:t>).</w:t>
      </w:r>
    </w:p>
    <w:p w14:paraId="5251F09B"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Con formula riassuntiva detti principî sono stati da ultimo recepiti anche nell'art. 1, 3° comma,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19 agosto 2016 n. 175 («</w:t>
      </w:r>
      <w:proofErr w:type="spellStart"/>
      <w:r w:rsidRPr="002120EF">
        <w:rPr>
          <w:rFonts w:ascii="Lato" w:eastAsia="Times New Roman" w:hAnsi="Lato" w:cs="Times New Roman"/>
          <w:color w:val="000000"/>
          <w:spacing w:val="5"/>
          <w:sz w:val="24"/>
          <w:szCs w:val="24"/>
          <w:lang w:eastAsia="it-IT"/>
        </w:rPr>
        <w:t>t.u.</w:t>
      </w:r>
      <w:proofErr w:type="spellEnd"/>
      <w:r w:rsidRPr="002120EF">
        <w:rPr>
          <w:rFonts w:ascii="Lato" w:eastAsia="Times New Roman" w:hAnsi="Lato" w:cs="Times New Roman"/>
          <w:color w:val="000000"/>
          <w:spacing w:val="5"/>
          <w:sz w:val="24"/>
          <w:szCs w:val="24"/>
          <w:lang w:eastAsia="it-IT"/>
        </w:rPr>
        <w:t xml:space="preserve"> in materia di società a partecipazione pubblica») che dispone testualmente, «per tutto quanto non derogato dalle disposizioni </w:t>
      </w:r>
      <w:r w:rsidRPr="002120EF">
        <w:rPr>
          <w:rFonts w:ascii="Lato" w:eastAsia="Times New Roman" w:hAnsi="Lato" w:cs="Times New Roman"/>
          <w:color w:val="000000"/>
          <w:spacing w:val="5"/>
          <w:sz w:val="24"/>
          <w:szCs w:val="24"/>
          <w:lang w:eastAsia="it-IT"/>
        </w:rPr>
        <w:lastRenderedPageBreak/>
        <w:t>del presente decreto, si applicano alle società a partecipazione pubblica le norme sulle società contenute nel codice civile e le norme generali di diritto privato».</w:t>
      </w:r>
    </w:p>
    <w:p w14:paraId="2C8841AD"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Ne discende che la presenza di un'amministrazione nella compagine di una società di capitali può comportare, in ragione anche del settore in cui opera, l'applicazione di regole pubblicistiche derogatorie ai modelli societari delineati dal codice civile in grado di incidere sull'attività della società connotandone aspetti peculiari (si pensi, ad esempio, nella materia dei contratti pubblici, ai fini dell'individuazione dell'ente aggiudicatore, la qualificazione della società quale organismo di diritto pubblico ai sensi dell'art. 3, 1° comma, lett. </w:t>
      </w:r>
      <w:r w:rsidRPr="002120EF">
        <w:rPr>
          <w:rFonts w:ascii="Lato" w:eastAsia="Times New Roman" w:hAnsi="Lato" w:cs="Times New Roman"/>
          <w:i/>
          <w:iCs/>
          <w:color w:val="000000"/>
          <w:spacing w:val="5"/>
          <w:sz w:val="24"/>
          <w:szCs w:val="24"/>
          <w:lang w:eastAsia="it-IT"/>
        </w:rPr>
        <w:t>d</w:t>
      </w:r>
      <w:r w:rsidRPr="002120EF">
        <w:rPr>
          <w:rFonts w:ascii="Lato" w:eastAsia="Times New Roman" w:hAnsi="Lato" w:cs="Times New Roman"/>
          <w:color w:val="000000"/>
          <w:spacing w:val="5"/>
          <w:sz w:val="24"/>
          <w:szCs w:val="24"/>
          <w:lang w:eastAsia="it-IT"/>
        </w:rPr>
        <w:t xml:space="preserve">,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50/16; nella disciplina dell'accesso agli atti della pubblica amministrazione, la qualificazione di pubblica amministrazione anche dei soggetti di diritto privato limitatamente alla loro attività di pubblico interesse ai sensi dell'art. 22, 1° comma, lett. </w:t>
      </w:r>
      <w:r w:rsidRPr="002120EF">
        <w:rPr>
          <w:rFonts w:ascii="Lato" w:eastAsia="Times New Roman" w:hAnsi="Lato" w:cs="Times New Roman"/>
          <w:i/>
          <w:iCs/>
          <w:color w:val="000000"/>
          <w:spacing w:val="5"/>
          <w:sz w:val="24"/>
          <w:szCs w:val="24"/>
          <w:lang w:eastAsia="it-IT"/>
        </w:rPr>
        <w:t>e</w:t>
      </w:r>
      <w:r w:rsidRPr="002120EF">
        <w:rPr>
          <w:rFonts w:ascii="Lato" w:eastAsia="Times New Roman" w:hAnsi="Lato" w:cs="Times New Roman"/>
          <w:color w:val="000000"/>
          <w:spacing w:val="5"/>
          <w:sz w:val="24"/>
          <w:szCs w:val="24"/>
          <w:lang w:eastAsia="it-IT"/>
        </w:rPr>
        <w:t>, l. 241/90), ma senza alterarne la natura, come del resto precluso dal principio generale, espresso dall'art. 4 l. 70/75, in virtù del quale occorre l'intervento del legislatore per l'istituzione di nuovi enti pubblici.</w:t>
      </w:r>
    </w:p>
    <w:p w14:paraId="024C5BC0"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Sulla base delle stesse coordinate interpretative, è stata affrontata — e risolta in senso positivo — anche la discussa questione dell'assoggettamento, o meno, delle società partecipate dagli enti locali alle procedure concorsuali. La Suprema corte, con orientamento che codesto tribunale ha condiviso in numerosi precedenti (anche in sede di ammissione della Bracciano ambiente s.p.a. alla procedura di concordato preventivo giusto decreto del 28 gennaio 2016: doc. 6 fascicolo opponente) ha affermato che «la scelta del legislatore di consentire l'esercizio di determinate attività a società di capitali, e dunque di perseguire l'interesse pubblico attraverso lo strumento privatistico, comporta che queste assumano i rischi connessi alla loro insolvenza, pena la violazione dei principî di uguaglianza e di affidamento dei soggetti che con esse entrano in rapporto ed attesa la necessità del rispetto delle regole della concorrenza, che impone parità di trattamento tra quanti operano all'interno di uno stesso mercato con identiche forme e medesime modalità. Del resto, da un lato, l'art. 1 l. </w:t>
      </w:r>
      <w:proofErr w:type="spellStart"/>
      <w:r w:rsidRPr="002120EF">
        <w:rPr>
          <w:rFonts w:ascii="Lato" w:eastAsia="Times New Roman" w:hAnsi="Lato" w:cs="Times New Roman"/>
          <w:color w:val="000000"/>
          <w:spacing w:val="5"/>
          <w:sz w:val="24"/>
          <w:szCs w:val="24"/>
          <w:lang w:eastAsia="it-IT"/>
        </w:rPr>
        <w:t>fall</w:t>
      </w:r>
      <w:proofErr w:type="spellEnd"/>
      <w:r w:rsidRPr="002120EF">
        <w:rPr>
          <w:rFonts w:ascii="Lato" w:eastAsia="Times New Roman" w:hAnsi="Lato" w:cs="Times New Roman"/>
          <w:color w:val="000000"/>
          <w:spacing w:val="5"/>
          <w:sz w:val="24"/>
          <w:szCs w:val="24"/>
          <w:lang w:eastAsia="it-IT"/>
        </w:rPr>
        <w:t xml:space="preserve">. esclude dall'area della </w:t>
      </w:r>
      <w:proofErr w:type="spellStart"/>
      <w:r w:rsidRPr="002120EF">
        <w:rPr>
          <w:rFonts w:ascii="Lato" w:eastAsia="Times New Roman" w:hAnsi="Lato" w:cs="Times New Roman"/>
          <w:color w:val="000000"/>
          <w:spacing w:val="5"/>
          <w:sz w:val="24"/>
          <w:szCs w:val="24"/>
          <w:lang w:eastAsia="it-IT"/>
        </w:rPr>
        <w:t>concorsualità</w:t>
      </w:r>
      <w:proofErr w:type="spellEnd"/>
      <w:r w:rsidRPr="002120EF">
        <w:rPr>
          <w:rFonts w:ascii="Lato" w:eastAsia="Times New Roman" w:hAnsi="Lato" w:cs="Times New Roman"/>
          <w:color w:val="000000"/>
          <w:spacing w:val="5"/>
          <w:sz w:val="24"/>
          <w:szCs w:val="24"/>
          <w:lang w:eastAsia="it-IT"/>
        </w:rPr>
        <w:t xml:space="preserve"> gli enti pubblici e non anche le società pubbliche, per le quali trovano applicazione le norme del codice civile (art. 4, 13° comma, </w:t>
      </w:r>
      <w:proofErr w:type="spellStart"/>
      <w:r w:rsidRPr="002120EF">
        <w:rPr>
          <w:rFonts w:ascii="Lato" w:eastAsia="Times New Roman" w:hAnsi="Lato" w:cs="Times New Roman"/>
          <w:color w:val="000000"/>
          <w:spacing w:val="5"/>
          <w:sz w:val="24"/>
          <w:szCs w:val="24"/>
          <w:lang w:eastAsia="it-IT"/>
        </w:rPr>
        <w:t>d.l.</w:t>
      </w:r>
      <w:proofErr w:type="spellEnd"/>
      <w:r w:rsidRPr="002120EF">
        <w:rPr>
          <w:rFonts w:ascii="Lato" w:eastAsia="Times New Roman" w:hAnsi="Lato" w:cs="Times New Roman"/>
          <w:color w:val="000000"/>
          <w:spacing w:val="5"/>
          <w:sz w:val="24"/>
          <w:szCs w:val="24"/>
          <w:lang w:eastAsia="it-IT"/>
        </w:rPr>
        <w:t xml:space="preserve"> n. 95 del 2012, convertito, con modificazioni, dalla l. n. 135 del 2012, e, quindi, art. 1, 3° comma,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xml:space="preserve">. n. 175 del 2016), nonché quelle sul fallimento, sul concordato preventivo e sull'amministrazione straordinaria delle grandi imprese in crisi (art. 14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n. 175 del 2016); dall'altro, vanno respinte le suggestioni dirette alla compenetrazione sostanzialistica tra tipi societari e qualificazioni pubblicistiche, al di fuori della riserva di legge di cui all'art. 4 l. n. 70 del 1975, che vieta la istituzione di enti pubblici se non in forza di un atto normativo» (Cass. n. 3196 del 7 febbraio 2017, cit.).</w:t>
      </w:r>
    </w:p>
    <w:p w14:paraId="46687651"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Anche in tale ambito, pertanto, la giurisprudenza di legittimità ha voluto ribadire che le società partecipate non si sottraggono all'applicazione delle norme sulle società contenute nel codice civile e delle regole generali di diritto privato.</w:t>
      </w:r>
    </w:p>
    <w:p w14:paraId="308FE9A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in conclusione, non esistendo specifiche disposizioni di legge in materia di responsabilità patrimoniale degli enti pubblici per le obbligazioni sociali assunte dalle società da essi partecipate, in deroga alla normativa societaria, è certo che anche per tali società trova applicazione l'art. 2325, 1° comma, c.c. a mente del quale, «per le obbligazioni sociali risponde soltanto la società con il suo patrimonio», in ossequio al più generale principio sancito dall'art. 2740 c.c., secondo cui «il debitore risponde dell'adempimento delle obbligazioni con tutti i suoi beni presenti e futuri. Le limitazioni della responsabilità non sono ammesse se non nei casi stabiliti dalla legge».</w:t>
      </w:r>
    </w:p>
    <w:p w14:paraId="1C038F8D"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Da tanto discende, nel caso di specie, che in alcun modo il comune di Bracciano può rispondere delle obbligazioni assunte autonomamente dalla società Bracciano ambiente </w:t>
      </w:r>
      <w:r w:rsidRPr="002120EF">
        <w:rPr>
          <w:rFonts w:ascii="Lato" w:eastAsia="Times New Roman" w:hAnsi="Lato" w:cs="Times New Roman"/>
          <w:color w:val="000000"/>
          <w:spacing w:val="5"/>
          <w:sz w:val="24"/>
          <w:szCs w:val="24"/>
          <w:lang w:eastAsia="it-IT"/>
        </w:rPr>
        <w:lastRenderedPageBreak/>
        <w:t>s.p.a., proprio perché la veste di società per azioni di tale soggetto giuridico impone l'applicazione della comune disciplina privatistica delle società di capitali involgente nei confronti del terzo contraente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esclusivamente la responsabilità patrimoniale di tale s.p.a.</w:t>
      </w:r>
    </w:p>
    <w:p w14:paraId="4FA6CC91"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Peraltro, la situazione non cambierebbe anche a volere sussumere, come ritiene erroneamente la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la Bracciano ambiente nel modello organizzativo costituito dalla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w:t>
      </w:r>
    </w:p>
    <w:p w14:paraId="4D02C74B"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Come noto, le caratteristiche del modello sono state progressivamente delineate dalla giurisprudenza della Corte di giustizia (a partire dalla nota sentenza </w:t>
      </w:r>
      <w:proofErr w:type="spellStart"/>
      <w:r w:rsidRPr="002120EF">
        <w:rPr>
          <w:rFonts w:ascii="Lato" w:eastAsia="Times New Roman" w:hAnsi="Lato" w:cs="Times New Roman"/>
          <w:i/>
          <w:iCs/>
          <w:color w:val="000000"/>
          <w:spacing w:val="5"/>
          <w:sz w:val="24"/>
          <w:szCs w:val="24"/>
          <w:lang w:eastAsia="it-IT"/>
        </w:rPr>
        <w:t>Teckal</w:t>
      </w:r>
      <w:proofErr w:type="spellEnd"/>
      <w:r w:rsidRPr="002120EF">
        <w:rPr>
          <w:rFonts w:ascii="Lato" w:eastAsia="Times New Roman" w:hAnsi="Lato" w:cs="Times New Roman"/>
          <w:color w:val="000000"/>
          <w:spacing w:val="5"/>
          <w:sz w:val="24"/>
          <w:szCs w:val="24"/>
          <w:lang w:eastAsia="it-IT"/>
        </w:rPr>
        <w:t>, 18 novembre 1999, causa C-107/98,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1999, voce </w:t>
      </w:r>
      <w:r w:rsidRPr="002120EF">
        <w:rPr>
          <w:rFonts w:ascii="Lato" w:eastAsia="Times New Roman" w:hAnsi="Lato" w:cs="Times New Roman"/>
          <w:i/>
          <w:iCs/>
          <w:color w:val="000000"/>
          <w:spacing w:val="5"/>
          <w:sz w:val="24"/>
          <w:szCs w:val="24"/>
          <w:lang w:eastAsia="it-IT"/>
        </w:rPr>
        <w:t>Unione europea</w:t>
      </w:r>
      <w:r w:rsidRPr="002120EF">
        <w:rPr>
          <w:rFonts w:ascii="Lato" w:eastAsia="Times New Roman" w:hAnsi="Lato" w:cs="Times New Roman"/>
          <w:color w:val="000000"/>
          <w:spacing w:val="5"/>
          <w:sz w:val="24"/>
          <w:szCs w:val="24"/>
          <w:lang w:eastAsia="it-IT"/>
        </w:rPr>
        <w:t>, n. 1223) e del giudice nazionale, che ha individuato in tali società tre requisiti, che devono sussistere tutti contemporaneamente, nel senso che l'assenza anche di uno solo esclude la riconducibilità alla fattispecie, e devono tutti trovare il loro fondamento in precise e non derogabili disposizioni dello statuto sociale, ovverosia: 1) impossibilità di cessione a privati delle partecipazioni societarie di cui gli enti pubblici siano titolari; 2) prevalente destinazione dell'attività in favore dell'ente o degli enti partecipanti alla società; 3) c.d. controllo analogo, ovverosia un potere di comando direttamente esercitato sulla gestione dell'ente con modalità e con un'intensità non riconducibili ai diritti ed alle facoltà che normalmente spettano al socio in base alle regole dettate dal codice civile, e sino al punto che agli organi della società non resta affidata nessuna autonoma rilevante autonomia gestionale.</w:t>
      </w:r>
    </w:p>
    <w:p w14:paraId="7EA4624E"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Le società in house sono oggi disciplinate dal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175/16 e vengono ivi descritte come, «le società sulle quali un'amministrazione esercita il controllo analogo o più amministrazioni esercitano il controllo analogo congiunto» (art. 2, lett. </w:t>
      </w:r>
      <w:r w:rsidRPr="002120EF">
        <w:rPr>
          <w:rFonts w:ascii="Lato" w:eastAsia="Times New Roman" w:hAnsi="Lato" w:cs="Times New Roman"/>
          <w:i/>
          <w:iCs/>
          <w:color w:val="000000"/>
          <w:spacing w:val="5"/>
          <w:sz w:val="24"/>
          <w:szCs w:val="24"/>
          <w:lang w:eastAsia="it-IT"/>
        </w:rPr>
        <w:t>o</w:t>
      </w:r>
      <w:r w:rsidRPr="002120EF">
        <w:rPr>
          <w:rFonts w:ascii="Lato" w:eastAsia="Times New Roman" w:hAnsi="Lato" w:cs="Times New Roman"/>
          <w:color w:val="000000"/>
          <w:spacing w:val="5"/>
          <w:sz w:val="24"/>
          <w:szCs w:val="24"/>
          <w:lang w:eastAsia="it-IT"/>
        </w:rPr>
        <w:t xml:space="preserve">,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cit.) e gli statuti «devono prevedere che oltre l'ottanta per cento del loro fatturato sia effettuato nello svolgimento dei compiti a esse affidati dall'ente pubblico o dagli enti pubblici soci … La produzione ulteriore rispetto al limite di fatturato di cui al 3° comma, che può essere rivolta anche a finalità diverse, è consentita solo a condizione che la stessa permetta di conseguire economie di scala o altri recuperi di efficienza sul complesso dell'attività principale della società» (art. 16, commi 3 e 3 </w:t>
      </w:r>
      <w:r w:rsidRPr="002120EF">
        <w:rPr>
          <w:rFonts w:ascii="Lato" w:eastAsia="Times New Roman" w:hAnsi="Lato" w:cs="Times New Roman"/>
          <w:i/>
          <w:iCs/>
          <w:color w:val="000000"/>
          <w:spacing w:val="5"/>
          <w:sz w:val="24"/>
          <w:szCs w:val="24"/>
          <w:lang w:eastAsia="it-IT"/>
        </w:rPr>
        <w:t>bis</w:t>
      </w:r>
      <w:r w:rsidRPr="002120EF">
        <w:rPr>
          <w:rFonts w:ascii="Lato" w:eastAsia="Times New Roman" w:hAnsi="Lato" w:cs="Times New Roman"/>
          <w:color w:val="000000"/>
          <w:spacing w:val="5"/>
          <w:sz w:val="24"/>
          <w:szCs w:val="24"/>
          <w:lang w:eastAsia="it-IT"/>
        </w:rPr>
        <w:t xml:space="preserve">, </w:t>
      </w:r>
      <w:proofErr w:type="spellStart"/>
      <w:r w:rsidRPr="002120EF">
        <w:rPr>
          <w:rFonts w:ascii="Lato" w:eastAsia="Times New Roman" w:hAnsi="Lato" w:cs="Times New Roman"/>
          <w:color w:val="000000"/>
          <w:spacing w:val="5"/>
          <w:sz w:val="24"/>
          <w:szCs w:val="24"/>
          <w:lang w:eastAsia="it-IT"/>
        </w:rPr>
        <w:t>d.leg</w:t>
      </w:r>
      <w:proofErr w:type="spellEnd"/>
      <w:r w:rsidRPr="002120EF">
        <w:rPr>
          <w:rFonts w:ascii="Lato" w:eastAsia="Times New Roman" w:hAnsi="Lato" w:cs="Times New Roman"/>
          <w:color w:val="000000"/>
          <w:spacing w:val="5"/>
          <w:sz w:val="24"/>
          <w:szCs w:val="24"/>
          <w:lang w:eastAsia="it-IT"/>
        </w:rPr>
        <w:t>. 175/16).</w:t>
      </w:r>
    </w:p>
    <w:p w14:paraId="035C574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La ricorrenza di tutti e tre i requisiti sopra individuati comporta, secondo la giurisprudenza di legittimità, l'impossibilità di configurare un rapporto di alterità tra l'ente pubblico partecipante e la società in house che ad esso fa capo, con la conseguenza che, in tale caso, «anche la distinzione tra il patrimonio dell'ente e quello della società si può porre in termini di separazione patrimoniale, ma non di distinta titolarità», dal che discende, come ulteriore conseguenza più volte affermata della Suprema corte, la possibilità di configurare un danno erariale che giustifica l'attribuzione alla Corte dei conti della giurisdizione sulla relativa azione di responsabilità (cfr. Cass., sez. un., 26283/13,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Rep. 2014, voce </w:t>
      </w:r>
      <w:r w:rsidRPr="002120EF">
        <w:rPr>
          <w:rFonts w:ascii="Lato" w:eastAsia="Times New Roman" w:hAnsi="Lato" w:cs="Times New Roman"/>
          <w:i/>
          <w:iCs/>
          <w:color w:val="000000"/>
          <w:spacing w:val="5"/>
          <w:sz w:val="24"/>
          <w:szCs w:val="24"/>
          <w:lang w:eastAsia="it-IT"/>
        </w:rPr>
        <w:t>responsabilità contabile</w:t>
      </w:r>
      <w:r w:rsidRPr="002120EF">
        <w:rPr>
          <w:rFonts w:ascii="Lato" w:eastAsia="Times New Roman" w:hAnsi="Lato" w:cs="Times New Roman"/>
          <w:color w:val="000000"/>
          <w:spacing w:val="5"/>
          <w:sz w:val="24"/>
          <w:szCs w:val="24"/>
          <w:lang w:eastAsia="it-IT"/>
        </w:rPr>
        <w:t>, n. 45; sez. un. 5491/14, </w:t>
      </w:r>
      <w:r w:rsidRPr="002120EF">
        <w:rPr>
          <w:rFonts w:ascii="Lato" w:eastAsia="Times New Roman" w:hAnsi="Lato" w:cs="Times New Roman"/>
          <w:i/>
          <w:iCs/>
          <w:color w:val="000000"/>
          <w:spacing w:val="5"/>
          <w:sz w:val="24"/>
          <w:szCs w:val="24"/>
          <w:lang w:eastAsia="it-IT"/>
        </w:rPr>
        <w:t>ibid</w:t>
      </w:r>
      <w:r w:rsidRPr="002120EF">
        <w:rPr>
          <w:rFonts w:ascii="Lato" w:eastAsia="Times New Roman" w:hAnsi="Lato" w:cs="Times New Roman"/>
          <w:color w:val="000000"/>
          <w:spacing w:val="5"/>
          <w:sz w:val="24"/>
          <w:szCs w:val="24"/>
          <w:lang w:eastAsia="it-IT"/>
        </w:rPr>
        <w:t>., n. 43).</w:t>
      </w:r>
    </w:p>
    <w:p w14:paraId="088D0BE6"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Ciò, tuttavia, non genera una confusione tra il patrimonio dell'ente partecipante e quello della società partecipata (si parla infatti di separazione che esprime il concetto di «distinzione», «iato» tra patrimoni). Come chiarito dalla Cassazione in numerosi arresti successivi, «le società nascono infatti per limitare la responsabilità rispetto ai soci secondo un proprio ordinamento, mentre l'organizzazione prescelta per l'attività è appunto il mero riflesso della nascita di un soggetto giuridicamente diverso dai soci e dunque senza che a loro volta le regole di organizzazione di questi valgano in modo diretto a disciplinare il funzionamento e le obbligazioni di quello. Una volta adottato, anche da parte dell'ente pubblico, il blocco sintagma societario, nella fattispecie della </w:t>
      </w:r>
      <w:r w:rsidRPr="002120EF">
        <w:rPr>
          <w:rFonts w:ascii="Lato" w:eastAsia="Times New Roman" w:hAnsi="Lato" w:cs="Times New Roman"/>
          <w:color w:val="000000"/>
          <w:spacing w:val="5"/>
          <w:sz w:val="24"/>
          <w:szCs w:val="24"/>
          <w:lang w:eastAsia="it-IT"/>
        </w:rPr>
        <w:lastRenderedPageBreak/>
        <w:t>società a responsabilità limitata, la scelta di consentire l'esercizio di determinate attività a società di capitali (e dunque di perseguire l'interesse pubblico attraverso lo strumento privatistico) comporta per un verso che queste assumano i rischi connessi alla loro insolvenza … L'annullamento ad ogni effetto della soggettività dell'esaminata società, a ben vedere, procurerebbe altresì l'altro paradosso di un'azione dei creditori sociali della società in house che diverrebbero tutti creditori diretti dell'ente pubblico, con possibilità di azione esattamente ed invece scongiurata laddove l'ente pubblico abbia scelto, come visto, di delimitare la responsabilità per le obbligazioni assunte dalla società partecipata. Ciò convince che anche l'intento di Cass., sez. un., 26283/13, cit. (</w:t>
      </w:r>
      <w:proofErr w:type="spellStart"/>
      <w:r w:rsidRPr="002120EF">
        <w:rPr>
          <w:rFonts w:ascii="Lato" w:eastAsia="Times New Roman" w:hAnsi="Lato" w:cs="Times New Roman"/>
          <w:color w:val="000000"/>
          <w:spacing w:val="5"/>
          <w:sz w:val="24"/>
          <w:szCs w:val="24"/>
          <w:lang w:eastAsia="it-IT"/>
        </w:rPr>
        <w:t>conf.</w:t>
      </w:r>
      <w:proofErr w:type="spellEnd"/>
      <w:r w:rsidRPr="002120EF">
        <w:rPr>
          <w:rFonts w:ascii="Lato" w:eastAsia="Times New Roman" w:hAnsi="Lato" w:cs="Times New Roman"/>
          <w:color w:val="000000"/>
          <w:spacing w:val="5"/>
          <w:sz w:val="24"/>
          <w:szCs w:val="24"/>
          <w:lang w:eastAsia="it-IT"/>
        </w:rPr>
        <w:t xml:space="preserve"> 5491/14, cit.) è solo quello di preservare l'erario dalla </w:t>
      </w:r>
      <w:r w:rsidRPr="002120EF">
        <w:rPr>
          <w:rFonts w:ascii="Lato" w:eastAsia="Times New Roman" w:hAnsi="Lato" w:cs="Times New Roman"/>
          <w:i/>
          <w:iCs/>
          <w:color w:val="000000"/>
          <w:spacing w:val="5"/>
          <w:sz w:val="24"/>
          <w:szCs w:val="24"/>
          <w:lang w:eastAsia="it-IT"/>
        </w:rPr>
        <w:t xml:space="preserve">mala </w:t>
      </w:r>
      <w:proofErr w:type="spellStart"/>
      <w:r w:rsidRPr="002120EF">
        <w:rPr>
          <w:rFonts w:ascii="Lato" w:eastAsia="Times New Roman" w:hAnsi="Lato" w:cs="Times New Roman"/>
          <w:i/>
          <w:iCs/>
          <w:color w:val="000000"/>
          <w:spacing w:val="5"/>
          <w:sz w:val="24"/>
          <w:szCs w:val="24"/>
          <w:lang w:eastAsia="it-IT"/>
        </w:rPr>
        <w:t>gestio</w:t>
      </w:r>
      <w:proofErr w:type="spellEnd"/>
      <w:r w:rsidRPr="002120EF">
        <w:rPr>
          <w:rFonts w:ascii="Lato" w:eastAsia="Times New Roman" w:hAnsi="Lato" w:cs="Times New Roman"/>
          <w:color w:val="000000"/>
          <w:spacing w:val="5"/>
          <w:sz w:val="24"/>
          <w:szCs w:val="24"/>
          <w:lang w:eastAsia="it-IT"/>
        </w:rPr>
        <w:t> degli organi sociali di società strumentali, in un'ottica selettiva e per quanto di rafforzamento della responsabilità che ne investe gli organi, come poi recepito dal citato legislatore del 2016» (cfr. Cass. 3196/17 e sez. un. 27 marzo 2017, n. 7759, citate).</w:t>
      </w:r>
    </w:p>
    <w:p w14:paraId="260E2683"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in altri termini e più chiaramente, se è vero che con la sentenza 26283/13 (cit.) le sezioni unite hanno affermato che le società in house costituiscono in realtà articolazioni della pubblica amministrazione da cui promanano e non soggetti giuridici ad essa esterni e da essa autonomi, tuttavia, hanno altresì avuto cura di precisare che siffatta affermazione va intesa ai soli fini del riparto di giurisdizione riguardante l'azione di responsabilità per danni arrecati dall'illegittimo comportamento degli organi sociali al patrimonio della società, costituente oggetto di quel giudizio (cfr. Cass. 24591/16,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2017, I, 154; e 3196/17, cit.) e non per affermare che l'impiego di tale figura comporti responsabilità patrimoniale illimitata e solidale anche dell'ente pubblico socio per le obbligazioni da essa assunte, in deroga agli art. 2325, 1° comma, e 2740 c.c., sopra richiamati.</w:t>
      </w:r>
    </w:p>
    <w:p w14:paraId="07E82CA9"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Peraltro, il ragionamento appena concluso non può trovare concreta applicazione nel caso di specie.</w:t>
      </w:r>
    </w:p>
    <w:p w14:paraId="7106044B"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Difatti, al di là delle previsioni statutarie evocate dalla società opposta (cfr. visura e statuto della Bracciano ambiente - doc. 1, 2 e 3, fasc. opposta) dalle quali si vorrebbe far desumere l'appartenenza della Bracciano ambiente alla categoria delle società in house, è emerso nelle pronunce della Corte dei conti citate nei rispettivi scritti difensivi, l'assenza in concreto nella società in analisi del requisito della prevalente destinazione dell'attività in favore dell'ente. Tanto si desume in particolare: dalla decisione di primo grado della Corte dei conti, sezione giurisdizionale regionale per il Lazio, 367/15 </w:t>
      </w:r>
      <w:proofErr w:type="gramStart"/>
      <w:r w:rsidRPr="002120EF">
        <w:rPr>
          <w:rFonts w:ascii="Lato" w:eastAsia="Times New Roman" w:hAnsi="Lato" w:cs="Times New Roman"/>
          <w:color w:val="000000"/>
          <w:spacing w:val="5"/>
          <w:sz w:val="24"/>
          <w:szCs w:val="24"/>
          <w:lang w:eastAsia="it-IT"/>
        </w:rPr>
        <w:t>(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w:t>
      </w:r>
      <w:proofErr w:type="gramEnd"/>
      <w:r w:rsidRPr="002120EF">
        <w:rPr>
          <w:rFonts w:ascii="Lato" w:eastAsia="Times New Roman" w:hAnsi="Lato" w:cs="Times New Roman"/>
          <w:color w:val="000000"/>
          <w:spacing w:val="5"/>
          <w:sz w:val="24"/>
          <w:szCs w:val="24"/>
          <w:lang w:eastAsia="it-IT"/>
        </w:rPr>
        <w:t xml:space="preserve">, Rep. 2016, voce cit., </w:t>
      </w:r>
      <w:proofErr w:type="spellStart"/>
      <w:r w:rsidRPr="002120EF">
        <w:rPr>
          <w:rFonts w:ascii="Lato" w:eastAsia="Times New Roman" w:hAnsi="Lato" w:cs="Times New Roman"/>
          <w:color w:val="000000"/>
          <w:spacing w:val="5"/>
          <w:sz w:val="24"/>
          <w:szCs w:val="24"/>
          <w:lang w:eastAsia="it-IT"/>
        </w:rPr>
        <w:t>nn</w:t>
      </w:r>
      <w:proofErr w:type="spellEnd"/>
      <w:r w:rsidRPr="002120EF">
        <w:rPr>
          <w:rFonts w:ascii="Lato" w:eastAsia="Times New Roman" w:hAnsi="Lato" w:cs="Times New Roman"/>
          <w:color w:val="000000"/>
          <w:spacing w:val="5"/>
          <w:sz w:val="24"/>
          <w:szCs w:val="24"/>
          <w:lang w:eastAsia="it-IT"/>
        </w:rPr>
        <w:t xml:space="preserve">. 44, 165) — richiamata dalla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a sostegno della propria tesi — ove viene evidenziato che solo il venticinque per cento dell'attività della Bracciano ambiente era reso in favore del socio unico comune di Bracciano, poiché il residuo settantacinque per cento era reso in favore di soggetti estranei alla compagine sociale ovverosia altri venticinque comuni (pag. 24), nonché dalla decisione di secondo grado della Corte dei conti, sezione seconda giurisdizionale centrale d'appello 43/19 (cit.), che ha escluso la riconducibilità della Bracciano ambiente s.p.a. al tipo di società in house, avendo la stessa svolto la maggior parte della propria attività in favore di altri venticinque enti locali. D'altro canto, secondo la giurisprudenza Ue, qualsiasi attività della società che sia rivolta a soggetti diversi da quelli che la controllano, ossia a soggetti che non hanno alcuna relazione di partecipazione con la società medesima, «quand'anche si trattasse di amministrazioni pubbliche, deve essere considerata come svolta a favore di terzi» (cfr. Corte </w:t>
      </w:r>
      <w:proofErr w:type="spellStart"/>
      <w:r w:rsidRPr="002120EF">
        <w:rPr>
          <w:rFonts w:ascii="Lato" w:eastAsia="Times New Roman" w:hAnsi="Lato" w:cs="Times New Roman"/>
          <w:color w:val="000000"/>
          <w:spacing w:val="5"/>
          <w:sz w:val="24"/>
          <w:szCs w:val="24"/>
          <w:lang w:eastAsia="it-IT"/>
        </w:rPr>
        <w:t>giust</w:t>
      </w:r>
      <w:proofErr w:type="spellEnd"/>
      <w:r w:rsidRPr="002120EF">
        <w:rPr>
          <w:rFonts w:ascii="Lato" w:eastAsia="Times New Roman" w:hAnsi="Lato" w:cs="Times New Roman"/>
          <w:color w:val="000000"/>
          <w:spacing w:val="5"/>
          <w:sz w:val="24"/>
          <w:szCs w:val="24"/>
          <w:lang w:eastAsia="it-IT"/>
        </w:rPr>
        <w:t>. 8 dicembre 2016 nella causa C-553/15, </w:t>
      </w:r>
      <w:r w:rsidRPr="002120EF">
        <w:rPr>
          <w:rFonts w:ascii="Lato" w:eastAsia="Times New Roman" w:hAnsi="Lato" w:cs="Times New Roman"/>
          <w:i/>
          <w:iCs/>
          <w:color w:val="000000"/>
          <w:spacing w:val="5"/>
          <w:sz w:val="24"/>
          <w:szCs w:val="24"/>
          <w:lang w:eastAsia="it-IT"/>
        </w:rPr>
        <w:t>ibid</w:t>
      </w:r>
      <w:r w:rsidRPr="002120EF">
        <w:rPr>
          <w:rFonts w:ascii="Lato" w:eastAsia="Times New Roman" w:hAnsi="Lato" w:cs="Times New Roman"/>
          <w:color w:val="000000"/>
          <w:spacing w:val="5"/>
          <w:sz w:val="24"/>
          <w:szCs w:val="24"/>
          <w:lang w:eastAsia="it-IT"/>
        </w:rPr>
        <w:t>., voce </w:t>
      </w:r>
      <w:r w:rsidRPr="002120EF">
        <w:rPr>
          <w:rFonts w:ascii="Lato" w:eastAsia="Times New Roman" w:hAnsi="Lato" w:cs="Times New Roman"/>
          <w:i/>
          <w:iCs/>
          <w:color w:val="000000"/>
          <w:spacing w:val="5"/>
          <w:sz w:val="24"/>
          <w:szCs w:val="24"/>
          <w:lang w:eastAsia="it-IT"/>
        </w:rPr>
        <w:t>Unione europea</w:t>
      </w:r>
      <w:r w:rsidRPr="002120EF">
        <w:rPr>
          <w:rFonts w:ascii="Lato" w:eastAsia="Times New Roman" w:hAnsi="Lato" w:cs="Times New Roman"/>
          <w:color w:val="000000"/>
          <w:spacing w:val="5"/>
          <w:sz w:val="24"/>
          <w:szCs w:val="24"/>
          <w:lang w:eastAsia="it-IT"/>
        </w:rPr>
        <w:t>, n. 1788).</w:t>
      </w:r>
    </w:p>
    <w:p w14:paraId="0EDF943B"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Per quanto detto, in difetto di tutti i sopra menzionati requisiti, la Bracciano ambiente s.p.a. non può configurarsi come in house, ma anche volendo astrattamente qualificarla come tale, il comune di Bracciano non doveva comunque essere chiamato a rispondere dei debiti contratti da tale società nei confronti della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non potendo derivare — </w:t>
      </w:r>
      <w:r w:rsidRPr="002120EF">
        <w:rPr>
          <w:rFonts w:ascii="Lato" w:eastAsia="Times New Roman" w:hAnsi="Lato" w:cs="Times New Roman"/>
          <w:color w:val="000000"/>
          <w:spacing w:val="5"/>
          <w:sz w:val="24"/>
          <w:szCs w:val="24"/>
          <w:lang w:eastAsia="it-IT"/>
        </w:rPr>
        <w:lastRenderedPageBreak/>
        <w:t>come ampiamente chiarito — da tale modello organizzativo una deroga alle regole del diritto societario con estensione illimitata e solidale della responsabilità dell'ente socio per le obbligazione assunte dalla partecipata.</w:t>
      </w:r>
    </w:p>
    <w:p w14:paraId="32464CF6"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5. - Passando, poi, all'analisi degli ulteriori titoli di responsabilità evocati dalla società opposta, si osserva quanto segue.</w:t>
      </w:r>
    </w:p>
    <w:p w14:paraId="4E0355AE"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5.1. - Quanto alla richiamata responsabilità da c.d. eterodirezione, l'art. 2497 c.c. dispone che «le società o gli enti che, esercitando attività di direzione e coordinamento di società, agiscono nell'interesse imprenditoriale proprio o altrui in violazione dei principî di corretta gestione societaria e imprenditoriale delle società medesime, sono direttamente responsabili nei confronti dei soci di queste per il pregiudizio arrecato alla redditività ed al valore della partecipazione sociale, nonché nei confronti dei creditori sociali per la lesione cagionata all'integrità del patrimonio della società. Non vi è responsabilità quando il danno risulta mancante alla luce del risultato complessivo dell'attività di direzione e coordinamento ovvero integralmente eliminato anche a seguito di operazioni a ciò dirette. Risponde in solido chi abbia comunque preso parte al fatto lesivo e, nei limiti del vantaggio conseguito, chi ne abbia consapevolmente tratto beneficio ...».</w:t>
      </w:r>
    </w:p>
    <w:p w14:paraId="70FAC5A8"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L'orientamento giurisprudenziale di merito, cui il tribunale ritiene di dare seguito (tra le tante, </w:t>
      </w:r>
      <w:proofErr w:type="spellStart"/>
      <w:r w:rsidRPr="002120EF">
        <w:rPr>
          <w:rFonts w:ascii="Lato" w:eastAsia="Times New Roman" w:hAnsi="Lato" w:cs="Times New Roman"/>
          <w:color w:val="000000"/>
          <w:spacing w:val="5"/>
          <w:sz w:val="24"/>
          <w:szCs w:val="24"/>
          <w:lang w:eastAsia="it-IT"/>
        </w:rPr>
        <w:t>Trib</w:t>
      </w:r>
      <w:proofErr w:type="spellEnd"/>
      <w:r w:rsidRPr="002120EF">
        <w:rPr>
          <w:rFonts w:ascii="Lato" w:eastAsia="Times New Roman" w:hAnsi="Lato" w:cs="Times New Roman"/>
          <w:color w:val="000000"/>
          <w:spacing w:val="5"/>
          <w:sz w:val="24"/>
          <w:szCs w:val="24"/>
          <w:lang w:eastAsia="it-IT"/>
        </w:rPr>
        <w:t>. Palermo 15 giugno 2011, </w:t>
      </w:r>
      <w:r w:rsidRPr="002120EF">
        <w:rPr>
          <w:rFonts w:ascii="Lato" w:eastAsia="Times New Roman" w:hAnsi="Lato" w:cs="Times New Roman"/>
          <w:i/>
          <w:iCs/>
          <w:color w:val="000000"/>
          <w:spacing w:val="5"/>
          <w:sz w:val="24"/>
          <w:szCs w:val="24"/>
          <w:lang w:eastAsia="it-IT"/>
        </w:rPr>
        <w:t>id</w:t>
      </w:r>
      <w:r w:rsidRPr="002120EF">
        <w:rPr>
          <w:rFonts w:ascii="Lato" w:eastAsia="Times New Roman" w:hAnsi="Lato" w:cs="Times New Roman"/>
          <w:color w:val="000000"/>
          <w:spacing w:val="5"/>
          <w:sz w:val="24"/>
          <w:szCs w:val="24"/>
          <w:lang w:eastAsia="it-IT"/>
        </w:rPr>
        <w:t>., 2011, I, 3184), riconosce natura extracontrattuale alla responsabilità di cui all'art. 2497, 2° comma, c.c. traendo argomento dall'indicazione contenuta nella relazione di accompagnamento, che afferma: «la responsabilità dettata da questa impostazione normativa è apparsa fondamentalmente di stampo aquiliano», nonché dalla struttura stessa della norma che ricalca lo schema dell'art. 2043 c.c. individuando, in primo luogo, il «fatto colposo» imputabile alla capogruppo o all'ente, che consiste nella violazione dei principî di corretta gestione societaria e imprenditoriale ed identifica, quindi, il «danno ingiusto» cagionato ai soci o ai creditori della controllata.</w:t>
      </w:r>
    </w:p>
    <w:p w14:paraId="5F7DA8E1"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Dalla natura aquiliana di tale responsabilità discende il relativo regime probatorio che impone al danneggiato di dimostrare tutti gli elementi della fattispecie, ovverosia la sussistenza del fatto colposo, del danno ingiusto e del nesso di causalità che li lega, oltre al danno-conseguenza subìto.</w:t>
      </w:r>
    </w:p>
    <w:p w14:paraId="72C49A79"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Orbene nel caso di specie la società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sulla quale gravava il relativo onere, ha omesso di allegare specificamente, ancora prima che dimostrare, la sussistenza di tutti gli elementi necessari all'applicazione della invocata norma di responsabilità.</w:t>
      </w:r>
    </w:p>
    <w:p w14:paraId="7B6712E2"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in tale difetto di allegazione ancora prima che di prova, la domanda formulata non può trovare accoglimento.</w:t>
      </w:r>
    </w:p>
    <w:p w14:paraId="3C4C5CEA"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5.2. - Parimenti da rigettare è l'invocata responsabilità dell'ente in qualità di socio unico, ai sensi dell'art. 2325, 2° comma, c.c.</w:t>
      </w:r>
    </w:p>
    <w:p w14:paraId="58955DBD"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La richiamata norma dispone che: «in caso di insolvenza della società, per le obbligazioni sociali sorte nel periodo in cui le azioni sono appartenute ad una sola persona, questa risponde illimitatamente quando i conferimenti non siano stati effettuati secondo quanto previsto dall'art. 2342 o fin quando non sia stata attuata la pubblicità prescritta dall'art. 2362». Ciò significa che la responsabilità del socio unico sussiste esclusivamente nei casi in cui: </w:t>
      </w:r>
      <w:r w:rsidRPr="002120EF">
        <w:rPr>
          <w:rFonts w:ascii="Lato" w:eastAsia="Times New Roman" w:hAnsi="Lato" w:cs="Times New Roman"/>
          <w:i/>
          <w:iCs/>
          <w:color w:val="000000"/>
          <w:spacing w:val="5"/>
          <w:sz w:val="24"/>
          <w:szCs w:val="24"/>
          <w:lang w:eastAsia="it-IT"/>
        </w:rPr>
        <w:t>a</w:t>
      </w:r>
      <w:r w:rsidRPr="002120EF">
        <w:rPr>
          <w:rFonts w:ascii="Lato" w:eastAsia="Times New Roman" w:hAnsi="Lato" w:cs="Times New Roman"/>
          <w:color w:val="000000"/>
          <w:spacing w:val="5"/>
          <w:sz w:val="24"/>
          <w:szCs w:val="24"/>
          <w:lang w:eastAsia="it-IT"/>
        </w:rPr>
        <w:t>) i conferimenti non siano stati effettuati secondo le modalità previste dall'art. 2342 c.c.; </w:t>
      </w:r>
      <w:r w:rsidRPr="002120EF">
        <w:rPr>
          <w:rFonts w:ascii="Lato" w:eastAsia="Times New Roman" w:hAnsi="Lato" w:cs="Times New Roman"/>
          <w:i/>
          <w:iCs/>
          <w:color w:val="000000"/>
          <w:spacing w:val="5"/>
          <w:sz w:val="24"/>
          <w:szCs w:val="24"/>
          <w:lang w:eastAsia="it-IT"/>
        </w:rPr>
        <w:t>b</w:t>
      </w:r>
      <w:r w:rsidRPr="002120EF">
        <w:rPr>
          <w:rFonts w:ascii="Lato" w:eastAsia="Times New Roman" w:hAnsi="Lato" w:cs="Times New Roman"/>
          <w:color w:val="000000"/>
          <w:spacing w:val="5"/>
          <w:sz w:val="24"/>
          <w:szCs w:val="24"/>
          <w:lang w:eastAsia="it-IT"/>
        </w:rPr>
        <w:t>) gli amministratori (o lo stesso socio unico) non abbiano depositato la dichiarazione di cui all'art. 2362 c.c.</w:t>
      </w:r>
    </w:p>
    <w:p w14:paraId="753A089A"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Si tratta di una responsabilità definita «sussidiaria», che sorge solo quando la società si trova in stato di insolvenza. L'unico azionista risponde illimitatamente solo delle obbligazioni sorte nel periodo in cui egli ha posseduto l'intero pacchetto azionario e solo </w:t>
      </w:r>
      <w:r w:rsidRPr="002120EF">
        <w:rPr>
          <w:rFonts w:ascii="Lato" w:eastAsia="Times New Roman" w:hAnsi="Lato" w:cs="Times New Roman"/>
          <w:color w:val="000000"/>
          <w:spacing w:val="5"/>
          <w:sz w:val="24"/>
          <w:szCs w:val="24"/>
          <w:lang w:eastAsia="it-IT"/>
        </w:rPr>
        <w:lastRenderedPageBreak/>
        <w:t>(ed è qui la novità introdotta dalla riforma rispetto a quanto previsto dal previgente art. 2362 c.c.) qualora ricorrano le circostanze indicate dalla norma.</w:t>
      </w:r>
    </w:p>
    <w:p w14:paraId="4E690031"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Dato per acclarato lo stato di insolvenza della società Bracciano ambiente (dichiarata fallita nelle more del presente procedimento), la </w:t>
      </w:r>
      <w:proofErr w:type="spellStart"/>
      <w:r w:rsidRPr="002120EF">
        <w:rPr>
          <w:rFonts w:ascii="Lato" w:eastAsia="Times New Roman" w:hAnsi="Lato" w:cs="Times New Roman"/>
          <w:color w:val="000000"/>
          <w:spacing w:val="5"/>
          <w:sz w:val="24"/>
          <w:szCs w:val="24"/>
          <w:lang w:eastAsia="it-IT"/>
        </w:rPr>
        <w:t>Elvi</w:t>
      </w:r>
      <w:proofErr w:type="spellEnd"/>
      <w:r w:rsidRPr="002120EF">
        <w:rPr>
          <w:rFonts w:ascii="Lato" w:eastAsia="Times New Roman" w:hAnsi="Lato" w:cs="Times New Roman"/>
          <w:color w:val="000000"/>
          <w:spacing w:val="5"/>
          <w:sz w:val="24"/>
          <w:szCs w:val="24"/>
          <w:lang w:eastAsia="it-IT"/>
        </w:rPr>
        <w:t xml:space="preserve"> s.r.l. non ha provato la sussistenza degli ulteriori requisiti indicati dalla richiamata disposizione, ovverosia che la Bracciano ambiente non avesse effettuato debitamente i conferimenti patrimoniali come richiesti dall'art. 2342 c.c. nel periodo di insorgenza dei crediti della opposta o che non fosse stata effettuata la pubblicità prevista dall'art. 2362 c.c. per il caso di unico azionista.</w:t>
      </w:r>
    </w:p>
    <w:p w14:paraId="2D394892"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Da tanto il rigetto della domanda. </w:t>
      </w:r>
      <w:proofErr w:type="gramStart"/>
      <w:r w:rsidRPr="002120EF">
        <w:rPr>
          <w:rFonts w:ascii="Lato" w:eastAsia="Times New Roman" w:hAnsi="Lato" w:cs="Times New Roman"/>
          <w:color w:val="000000"/>
          <w:spacing w:val="5"/>
          <w:sz w:val="24"/>
          <w:szCs w:val="24"/>
          <w:lang w:eastAsia="it-IT"/>
        </w:rPr>
        <w:t>( </w:t>
      </w:r>
      <w:r w:rsidRPr="002120EF">
        <w:rPr>
          <w:rFonts w:ascii="Lato" w:eastAsia="Times New Roman" w:hAnsi="Lato" w:cs="Times New Roman"/>
          <w:i/>
          <w:iCs/>
          <w:color w:val="000000"/>
          <w:spacing w:val="5"/>
          <w:sz w:val="24"/>
          <w:szCs w:val="24"/>
          <w:lang w:eastAsia="it-IT"/>
        </w:rPr>
        <w:t>Omissis</w:t>
      </w:r>
      <w:proofErr w:type="gramEnd"/>
      <w:r w:rsidRPr="002120EF">
        <w:rPr>
          <w:rFonts w:ascii="Lato" w:eastAsia="Times New Roman" w:hAnsi="Lato" w:cs="Times New Roman"/>
          <w:color w:val="000000"/>
          <w:spacing w:val="5"/>
          <w:sz w:val="24"/>
          <w:szCs w:val="24"/>
          <w:lang w:eastAsia="it-IT"/>
        </w:rPr>
        <w:t>)</w:t>
      </w:r>
    </w:p>
    <w:p w14:paraId="12E233B5" w14:textId="77777777" w:rsidR="002120EF" w:rsidRDefault="002120EF" w:rsidP="003331C9">
      <w:pPr>
        <w:shd w:val="clear" w:color="auto" w:fill="FFFFFF"/>
        <w:spacing w:after="0" w:line="240" w:lineRule="auto"/>
        <w:rPr>
          <w:rFonts w:ascii="Lato" w:eastAsia="Times New Roman" w:hAnsi="Lato" w:cs="Times New Roman"/>
          <w:b/>
          <w:bCs/>
          <w:color w:val="000000"/>
          <w:spacing w:val="5"/>
          <w:sz w:val="24"/>
          <w:szCs w:val="24"/>
          <w:lang w:eastAsia="it-IT"/>
        </w:rPr>
      </w:pPr>
    </w:p>
    <w:p w14:paraId="41CFDEBA" w14:textId="77777777" w:rsidR="002120EF" w:rsidRDefault="002120EF" w:rsidP="003331C9">
      <w:pPr>
        <w:shd w:val="clear" w:color="auto" w:fill="FFFFFF"/>
        <w:spacing w:after="0" w:line="240" w:lineRule="auto"/>
        <w:rPr>
          <w:rFonts w:ascii="Lato" w:eastAsia="Times New Roman" w:hAnsi="Lato" w:cs="Times New Roman"/>
          <w:b/>
          <w:bCs/>
          <w:color w:val="000000"/>
          <w:spacing w:val="5"/>
          <w:sz w:val="24"/>
          <w:szCs w:val="24"/>
          <w:lang w:eastAsia="it-IT"/>
        </w:rPr>
      </w:pPr>
    </w:p>
    <w:p w14:paraId="49735113" w14:textId="77777777" w:rsidR="002120EF" w:rsidRDefault="002120EF" w:rsidP="003331C9">
      <w:pPr>
        <w:shd w:val="clear" w:color="auto" w:fill="FFFFFF"/>
        <w:spacing w:after="0" w:line="240" w:lineRule="auto"/>
        <w:rPr>
          <w:rFonts w:ascii="Lato" w:eastAsia="Times New Roman" w:hAnsi="Lato" w:cs="Times New Roman"/>
          <w:b/>
          <w:bCs/>
          <w:color w:val="000000"/>
          <w:spacing w:val="5"/>
          <w:sz w:val="24"/>
          <w:szCs w:val="24"/>
          <w:lang w:eastAsia="it-IT"/>
        </w:rPr>
      </w:pPr>
    </w:p>
    <w:p w14:paraId="26640B94" w14:textId="5EA05F42" w:rsidR="003331C9" w:rsidRPr="003331C9" w:rsidRDefault="003331C9" w:rsidP="003331C9">
      <w:pPr>
        <w:shd w:val="clear" w:color="auto" w:fill="FFFFFF"/>
        <w:spacing w:after="0" w:line="240" w:lineRule="auto"/>
        <w:rPr>
          <w:rFonts w:ascii="Lato" w:eastAsia="Times New Roman" w:hAnsi="Lato" w:cs="Times New Roman"/>
          <w:b/>
          <w:bCs/>
          <w:color w:val="000000"/>
          <w:spacing w:val="5"/>
          <w:sz w:val="24"/>
          <w:szCs w:val="24"/>
          <w:lang w:eastAsia="it-IT"/>
        </w:rPr>
      </w:pPr>
      <w:r w:rsidRPr="003331C9">
        <w:rPr>
          <w:rFonts w:ascii="Lato" w:eastAsia="Times New Roman" w:hAnsi="Lato" w:cs="Times New Roman"/>
          <w:b/>
          <w:bCs/>
          <w:color w:val="000000"/>
          <w:spacing w:val="5"/>
          <w:sz w:val="24"/>
          <w:szCs w:val="24"/>
          <w:lang w:eastAsia="it-IT"/>
        </w:rPr>
        <w:t>Riferimenti normativi:</w:t>
      </w:r>
    </w:p>
    <w:p w14:paraId="671D02A2" w14:textId="77777777" w:rsidR="003331C9" w:rsidRPr="003331C9" w:rsidRDefault="003331C9" w:rsidP="003331C9">
      <w:pPr>
        <w:shd w:val="clear" w:color="auto" w:fill="FFFFFF"/>
        <w:spacing w:after="0" w:line="240" w:lineRule="auto"/>
        <w:rPr>
          <w:rFonts w:ascii="Lato" w:eastAsia="Times New Roman" w:hAnsi="Lato" w:cs="Times New Roman"/>
          <w:color w:val="000000"/>
          <w:spacing w:val="5"/>
          <w:sz w:val="24"/>
          <w:szCs w:val="24"/>
          <w:lang w:val="en-GB" w:eastAsia="it-IT"/>
        </w:rPr>
      </w:pPr>
      <w:hyperlink r:id="rId157" w:tgtFrame="_blank" w:history="1">
        <w:r w:rsidRPr="003331C9">
          <w:rPr>
            <w:rFonts w:ascii="Lato" w:eastAsia="Times New Roman" w:hAnsi="Lato" w:cs="Times New Roman"/>
            <w:b/>
            <w:bCs/>
            <w:color w:val="FFA403"/>
            <w:spacing w:val="5"/>
            <w:sz w:val="24"/>
            <w:szCs w:val="24"/>
            <w:u w:val="single"/>
            <w:lang w:eastAsia="it-IT"/>
          </w:rPr>
          <w:t>Art. 2325 C.C.</w:t>
        </w:r>
      </w:hyperlink>
      <w:r w:rsidRPr="003331C9">
        <w:rPr>
          <w:rFonts w:ascii="Lato" w:eastAsia="Times New Roman" w:hAnsi="Lato" w:cs="Times New Roman"/>
          <w:color w:val="000000"/>
          <w:spacing w:val="5"/>
          <w:sz w:val="24"/>
          <w:szCs w:val="24"/>
          <w:lang w:eastAsia="it-IT"/>
        </w:rPr>
        <w:br/>
      </w:r>
      <w:hyperlink r:id="rId158" w:tgtFrame="_blank" w:history="1">
        <w:r w:rsidRPr="003331C9">
          <w:rPr>
            <w:rFonts w:ascii="Lato" w:eastAsia="Times New Roman" w:hAnsi="Lato" w:cs="Times New Roman"/>
            <w:b/>
            <w:bCs/>
            <w:color w:val="FFA403"/>
            <w:spacing w:val="5"/>
            <w:sz w:val="24"/>
            <w:szCs w:val="24"/>
            <w:u w:val="single"/>
            <w:lang w:val="en-GB" w:eastAsia="it-IT"/>
          </w:rPr>
          <w:t>Art. 2740 C.C.</w:t>
        </w:r>
      </w:hyperlink>
      <w:r w:rsidRPr="003331C9">
        <w:rPr>
          <w:rFonts w:ascii="Lato" w:eastAsia="Times New Roman" w:hAnsi="Lato" w:cs="Times New Roman"/>
          <w:color w:val="000000"/>
          <w:spacing w:val="5"/>
          <w:sz w:val="24"/>
          <w:szCs w:val="24"/>
          <w:lang w:val="en-GB" w:eastAsia="it-IT"/>
        </w:rPr>
        <w:br/>
      </w:r>
      <w:hyperlink r:id="rId159" w:tgtFrame="_blank" w:history="1">
        <w:r w:rsidRPr="003331C9">
          <w:rPr>
            <w:rFonts w:ascii="Lato" w:eastAsia="Times New Roman" w:hAnsi="Lato" w:cs="Times New Roman"/>
            <w:b/>
            <w:bCs/>
            <w:color w:val="FFA403"/>
            <w:spacing w:val="5"/>
            <w:sz w:val="24"/>
            <w:szCs w:val="24"/>
            <w:u w:val="single"/>
            <w:lang w:val="en-GB" w:eastAsia="it-IT"/>
          </w:rPr>
          <w:t xml:space="preserve">Art. 1 D.L.VO del 19 </w:t>
        </w:r>
        <w:proofErr w:type="spellStart"/>
        <w:r w:rsidRPr="003331C9">
          <w:rPr>
            <w:rFonts w:ascii="Lato" w:eastAsia="Times New Roman" w:hAnsi="Lato" w:cs="Times New Roman"/>
            <w:b/>
            <w:bCs/>
            <w:color w:val="FFA403"/>
            <w:spacing w:val="5"/>
            <w:sz w:val="24"/>
            <w:szCs w:val="24"/>
            <w:u w:val="single"/>
            <w:lang w:val="en-GB" w:eastAsia="it-IT"/>
          </w:rPr>
          <w:t>agosto</w:t>
        </w:r>
        <w:proofErr w:type="spellEnd"/>
        <w:r w:rsidRPr="003331C9">
          <w:rPr>
            <w:rFonts w:ascii="Lato" w:eastAsia="Times New Roman" w:hAnsi="Lato" w:cs="Times New Roman"/>
            <w:b/>
            <w:bCs/>
            <w:color w:val="FFA403"/>
            <w:spacing w:val="5"/>
            <w:sz w:val="24"/>
            <w:szCs w:val="24"/>
            <w:u w:val="single"/>
            <w:lang w:val="en-GB" w:eastAsia="it-IT"/>
          </w:rPr>
          <w:t xml:space="preserve"> 2016 n. 175</w:t>
        </w:r>
      </w:hyperlink>
    </w:p>
    <w:p w14:paraId="5EFAE0D5" w14:textId="77777777" w:rsidR="003331C9" w:rsidRPr="003331C9" w:rsidRDefault="003331C9" w:rsidP="003331C9">
      <w:pPr>
        <w:shd w:val="clear" w:color="auto" w:fill="FFFFFF"/>
        <w:spacing w:after="0" w:line="240" w:lineRule="auto"/>
        <w:rPr>
          <w:rFonts w:ascii="Lato" w:eastAsia="Times New Roman" w:hAnsi="Lato" w:cs="Times New Roman"/>
          <w:color w:val="000000"/>
          <w:spacing w:val="5"/>
          <w:sz w:val="24"/>
          <w:szCs w:val="24"/>
          <w:lang w:val="en-GB" w:eastAsia="it-IT"/>
        </w:rPr>
      </w:pPr>
    </w:p>
    <w:p w14:paraId="59903F5E" w14:textId="77777777" w:rsidR="003331C9" w:rsidRPr="003331C9" w:rsidRDefault="003331C9" w:rsidP="003331C9">
      <w:pPr>
        <w:shd w:val="clear" w:color="auto" w:fill="FFFFFF"/>
        <w:spacing w:after="0" w:line="240" w:lineRule="auto"/>
        <w:rPr>
          <w:rFonts w:ascii="Lato" w:eastAsia="Times New Roman" w:hAnsi="Lato" w:cs="Times New Roman"/>
          <w:b/>
          <w:bCs/>
          <w:color w:val="000000"/>
          <w:spacing w:val="5"/>
          <w:sz w:val="24"/>
          <w:szCs w:val="24"/>
          <w:lang w:eastAsia="it-IT"/>
        </w:rPr>
      </w:pPr>
      <w:r w:rsidRPr="003331C9">
        <w:rPr>
          <w:rFonts w:ascii="Lato" w:eastAsia="Times New Roman" w:hAnsi="Lato" w:cs="Times New Roman"/>
          <w:b/>
          <w:bCs/>
          <w:color w:val="000000"/>
          <w:spacing w:val="5"/>
          <w:sz w:val="24"/>
          <w:szCs w:val="24"/>
          <w:lang w:eastAsia="it-IT"/>
        </w:rPr>
        <w:t>Note:</w:t>
      </w:r>
    </w:p>
    <w:p w14:paraId="0DDBD9E2" w14:textId="77777777" w:rsidR="003331C9" w:rsidRPr="003331C9" w:rsidRDefault="003331C9" w:rsidP="003331C9">
      <w:pPr>
        <w:shd w:val="clear" w:color="auto" w:fill="FFFFFF"/>
        <w:spacing w:after="0" w:line="360" w:lineRule="atLeast"/>
        <w:rPr>
          <w:rFonts w:ascii="NRGlexFont" w:eastAsia="Times New Roman" w:hAnsi="NRGlexFont" w:cs="Times New Roman"/>
          <w:color w:val="000000"/>
          <w:spacing w:val="5"/>
          <w:sz w:val="24"/>
          <w:szCs w:val="24"/>
          <w:lang w:eastAsia="it-IT"/>
        </w:rPr>
      </w:pPr>
      <w:r w:rsidRPr="003331C9">
        <w:rPr>
          <w:rFonts w:ascii="NRGlexFont" w:eastAsia="Times New Roman" w:hAnsi="NRGlexFont" w:cs="Times New Roman"/>
          <w:color w:val="000000"/>
          <w:spacing w:val="5"/>
          <w:sz w:val="24"/>
          <w:szCs w:val="24"/>
          <w:lang w:eastAsia="it-IT"/>
        </w:rPr>
        <w:t>(</w:t>
      </w:r>
      <w:hyperlink r:id="rId160" w:anchor="e275ac876f24851cb3c134789e66fff-ndr2_1" w:history="1">
        <w:r w:rsidRPr="003331C9">
          <w:rPr>
            <w:rFonts w:ascii="NRGlexFont" w:eastAsia="Times New Roman" w:hAnsi="NRGlexFont" w:cs="Times New Roman"/>
            <w:b/>
            <w:bCs/>
            <w:color w:val="FFA403"/>
            <w:spacing w:val="5"/>
            <w:sz w:val="16"/>
            <w:szCs w:val="16"/>
            <w:u w:val="single"/>
            <w:vertAlign w:val="superscript"/>
            <w:lang w:eastAsia="it-IT"/>
          </w:rPr>
          <w:t>2</w:t>
        </w:r>
      </w:hyperlink>
      <w:r w:rsidRPr="003331C9">
        <w:rPr>
          <w:rFonts w:ascii="NRGlexFont" w:eastAsia="Times New Roman" w:hAnsi="NRGlexFont" w:cs="Times New Roman"/>
          <w:color w:val="000000"/>
          <w:spacing w:val="5"/>
          <w:sz w:val="24"/>
          <w:szCs w:val="24"/>
          <w:lang w:eastAsia="it-IT"/>
        </w:rPr>
        <w:t>)</w:t>
      </w:r>
    </w:p>
    <w:p w14:paraId="464279AF" w14:textId="77777777" w:rsidR="003331C9" w:rsidRPr="003331C9" w:rsidRDefault="003331C9" w:rsidP="003331C9">
      <w:pPr>
        <w:shd w:val="clear" w:color="auto" w:fill="FFFFFF"/>
        <w:spacing w:after="0" w:line="240" w:lineRule="auto"/>
        <w:rPr>
          <w:rFonts w:ascii="Lato" w:eastAsia="Times New Roman" w:hAnsi="Lato" w:cs="Times New Roman"/>
          <w:color w:val="000000"/>
          <w:spacing w:val="5"/>
          <w:sz w:val="24"/>
          <w:szCs w:val="24"/>
          <w:lang w:eastAsia="it-IT"/>
        </w:rPr>
      </w:pPr>
      <w:r w:rsidRPr="003331C9">
        <w:rPr>
          <w:rFonts w:ascii="Lato" w:eastAsia="Times New Roman" w:hAnsi="Lato" w:cs="Times New Roman"/>
          <w:color w:val="000000"/>
          <w:spacing w:val="5"/>
          <w:sz w:val="24"/>
          <w:szCs w:val="24"/>
          <w:lang w:eastAsia="it-IT"/>
        </w:rPr>
        <w:t> </w:t>
      </w:r>
    </w:p>
    <w:p w14:paraId="7F430C75" w14:textId="77777777" w:rsidR="003331C9" w:rsidRPr="003331C9" w:rsidRDefault="003331C9" w:rsidP="003331C9">
      <w:pPr>
        <w:shd w:val="clear" w:color="auto" w:fill="FFFFFF"/>
        <w:spacing w:after="0" w:line="360" w:lineRule="atLeast"/>
        <w:jc w:val="both"/>
        <w:rPr>
          <w:rFonts w:ascii="NRGlexFont" w:eastAsia="Times New Roman" w:hAnsi="NRGlexFont" w:cs="Times New Roman"/>
          <w:color w:val="000000"/>
          <w:spacing w:val="5"/>
          <w:sz w:val="24"/>
          <w:szCs w:val="24"/>
          <w:lang w:eastAsia="it-IT"/>
        </w:rPr>
      </w:pPr>
      <w:r w:rsidRPr="003331C9">
        <w:rPr>
          <w:rFonts w:ascii="NRGlexFont" w:eastAsia="Times New Roman" w:hAnsi="NRGlexFont" w:cs="Times New Roman"/>
          <w:i/>
          <w:iCs/>
          <w:color w:val="000000"/>
          <w:spacing w:val="5"/>
          <w:sz w:val="24"/>
          <w:szCs w:val="24"/>
          <w:lang w:eastAsia="it-IT"/>
        </w:rPr>
        <w:t>La questione affrontata è se la peculiare ingerenza che l'ente pubblico esercita sulla società in house alla quale partecipa, in funzione dell'esercizio di un «controllo analogo» a quello che l'ente svolge sui propri organi interni, sia idonea a fondare, sul piano degli effetti civilistici, una responsabilità diretta e solidale dell'ente pubblico socio.</w:t>
      </w:r>
    </w:p>
    <w:p w14:paraId="4A41D532" w14:textId="77777777" w:rsidR="003331C9" w:rsidRPr="003331C9" w:rsidRDefault="003331C9" w:rsidP="003331C9">
      <w:pPr>
        <w:shd w:val="clear" w:color="auto" w:fill="FFFFFF"/>
        <w:spacing w:after="0" w:line="360" w:lineRule="atLeast"/>
        <w:jc w:val="both"/>
        <w:rPr>
          <w:rFonts w:ascii="NRGlexFont" w:eastAsia="Times New Roman" w:hAnsi="NRGlexFont" w:cs="Times New Roman"/>
          <w:color w:val="000000"/>
          <w:spacing w:val="5"/>
          <w:sz w:val="24"/>
          <w:szCs w:val="24"/>
          <w:lang w:eastAsia="it-IT"/>
        </w:rPr>
      </w:pPr>
      <w:r w:rsidRPr="003331C9">
        <w:rPr>
          <w:rFonts w:ascii="NRGlexFont" w:eastAsia="Times New Roman" w:hAnsi="NRGlexFont" w:cs="Times New Roman"/>
          <w:i/>
          <w:iCs/>
          <w:color w:val="000000"/>
          <w:spacing w:val="5"/>
          <w:sz w:val="24"/>
          <w:szCs w:val="24"/>
          <w:lang w:eastAsia="it-IT"/>
        </w:rPr>
        <w:t>La sentenza richiama i due distinti orientamenti giurisprudenziali formatisi </w:t>
      </w:r>
      <w:r w:rsidRPr="003331C9">
        <w:rPr>
          <w:rFonts w:ascii="NRGlexFont" w:eastAsia="Times New Roman" w:hAnsi="NRGlexFont" w:cs="Times New Roman"/>
          <w:color w:val="000000"/>
          <w:spacing w:val="5"/>
          <w:sz w:val="24"/>
          <w:szCs w:val="24"/>
          <w:lang w:eastAsia="it-IT"/>
        </w:rPr>
        <w:t xml:space="preserve">in </w:t>
      </w:r>
      <w:proofErr w:type="spellStart"/>
      <w:r w:rsidRPr="003331C9">
        <w:rPr>
          <w:rFonts w:ascii="NRGlexFont" w:eastAsia="Times New Roman" w:hAnsi="NRGlexFont" w:cs="Times New Roman"/>
          <w:color w:val="000000"/>
          <w:spacing w:val="5"/>
          <w:sz w:val="24"/>
          <w:szCs w:val="24"/>
          <w:lang w:eastAsia="it-IT"/>
        </w:rPr>
        <w:t>subiecta</w:t>
      </w:r>
      <w:proofErr w:type="spellEnd"/>
      <w:r w:rsidRPr="003331C9">
        <w:rPr>
          <w:rFonts w:ascii="NRGlexFont" w:eastAsia="Times New Roman" w:hAnsi="NRGlexFont" w:cs="Times New Roman"/>
          <w:color w:val="000000"/>
          <w:spacing w:val="5"/>
          <w:sz w:val="24"/>
          <w:szCs w:val="24"/>
          <w:lang w:eastAsia="it-IT"/>
        </w:rPr>
        <w:t xml:space="preserve"> materia.</w:t>
      </w:r>
    </w:p>
    <w:p w14:paraId="5A9CC032" w14:textId="77777777" w:rsidR="003331C9" w:rsidRPr="003331C9" w:rsidRDefault="003331C9" w:rsidP="003331C9">
      <w:pPr>
        <w:shd w:val="clear" w:color="auto" w:fill="FFFFFF"/>
        <w:spacing w:after="0" w:line="360" w:lineRule="atLeast"/>
        <w:jc w:val="both"/>
        <w:rPr>
          <w:rFonts w:ascii="NRGlexFont" w:eastAsia="Times New Roman" w:hAnsi="NRGlexFont" w:cs="Times New Roman"/>
          <w:color w:val="000000"/>
          <w:spacing w:val="5"/>
          <w:sz w:val="24"/>
          <w:szCs w:val="24"/>
          <w:lang w:eastAsia="it-IT"/>
        </w:rPr>
      </w:pPr>
      <w:r w:rsidRPr="003331C9">
        <w:rPr>
          <w:rFonts w:ascii="NRGlexFont" w:eastAsia="Times New Roman" w:hAnsi="NRGlexFont" w:cs="Times New Roman"/>
          <w:color w:val="000000"/>
          <w:spacing w:val="5"/>
          <w:sz w:val="24"/>
          <w:szCs w:val="24"/>
          <w:lang w:eastAsia="it-IT"/>
        </w:rPr>
        <w:t>a</w:t>
      </w:r>
      <w:r w:rsidRPr="003331C9">
        <w:rPr>
          <w:rFonts w:ascii="NRGlexFont" w:eastAsia="Times New Roman" w:hAnsi="NRGlexFont" w:cs="Times New Roman"/>
          <w:i/>
          <w:iCs/>
          <w:color w:val="000000"/>
          <w:spacing w:val="5"/>
          <w:sz w:val="24"/>
          <w:szCs w:val="24"/>
          <w:lang w:eastAsia="it-IT"/>
        </w:rPr>
        <w:t xml:space="preserve">) Il primo orientamento, seguìto dalla prevalente giurisprudenza della Corte di cassazione, sostiene che la società in house non sia un vero e proprio soggetto giuridico indipendente, dal momento che il c.d. controllo analogo che l'ente pubblico esercita su di essa fa venire meno il requisito dell'alterità soggettiva rispetto all'amministrazione pubblica e rende il legame partecipativo del tutto assimilabile ad una «relazione </w:t>
      </w:r>
      <w:proofErr w:type="spellStart"/>
      <w:r w:rsidRPr="003331C9">
        <w:rPr>
          <w:rFonts w:ascii="NRGlexFont" w:eastAsia="Times New Roman" w:hAnsi="NRGlexFont" w:cs="Times New Roman"/>
          <w:i/>
          <w:iCs/>
          <w:color w:val="000000"/>
          <w:spacing w:val="5"/>
          <w:sz w:val="24"/>
          <w:szCs w:val="24"/>
          <w:lang w:eastAsia="it-IT"/>
        </w:rPr>
        <w:t>interorganica</w:t>
      </w:r>
      <w:proofErr w:type="spellEnd"/>
      <w:r w:rsidRPr="003331C9">
        <w:rPr>
          <w:rFonts w:ascii="NRGlexFont" w:eastAsia="Times New Roman" w:hAnsi="NRGlexFont" w:cs="Times New Roman"/>
          <w:i/>
          <w:iCs/>
          <w:color w:val="000000"/>
          <w:spacing w:val="5"/>
          <w:sz w:val="24"/>
          <w:szCs w:val="24"/>
          <w:lang w:eastAsia="it-IT"/>
        </w:rPr>
        <w:t>». in altre parole: la società in house, per quanto rivesta la forma giuridica di una società di capitali, a livello sostanziale non è altro che la </w:t>
      </w:r>
      <w:r w:rsidRPr="003331C9">
        <w:rPr>
          <w:rFonts w:ascii="NRGlexFont" w:eastAsia="Times New Roman" w:hAnsi="NRGlexFont" w:cs="Times New Roman"/>
          <w:color w:val="000000"/>
          <w:spacing w:val="5"/>
          <w:sz w:val="24"/>
          <w:szCs w:val="24"/>
          <w:lang w:eastAsia="it-IT"/>
        </w:rPr>
        <w:t>longa manus</w:t>
      </w:r>
      <w:r w:rsidRPr="003331C9">
        <w:rPr>
          <w:rFonts w:ascii="NRGlexFont" w:eastAsia="Times New Roman" w:hAnsi="NRGlexFont" w:cs="Times New Roman"/>
          <w:i/>
          <w:iCs/>
          <w:color w:val="000000"/>
          <w:spacing w:val="5"/>
          <w:sz w:val="24"/>
          <w:szCs w:val="24"/>
          <w:lang w:eastAsia="it-IT"/>
        </w:rPr>
        <w:t> dell'amministrazione, rispetto alla quale si pone alla stregua di un'articolazione organizzativa interna, sicché l'attività societaria non è rapportabile a quella di un soggetto privato dotato di un'autonoma soggettività giuridica, ma resta imputabile all'amministrazione di riferimento (Cass. 27 dicembre 2019, n. 34471, </w:t>
      </w:r>
      <w:r w:rsidRPr="003331C9">
        <w:rPr>
          <w:rFonts w:ascii="NRGlexFont" w:eastAsia="Times New Roman" w:hAnsi="NRGlexFont" w:cs="Times New Roman"/>
          <w:color w:val="000000"/>
          <w:spacing w:val="5"/>
          <w:sz w:val="24"/>
          <w:szCs w:val="24"/>
          <w:lang w:eastAsia="it-IT"/>
        </w:rPr>
        <w:t xml:space="preserve">Foro </w:t>
      </w:r>
      <w:proofErr w:type="spellStart"/>
      <w:r w:rsidRPr="003331C9">
        <w:rPr>
          <w:rFonts w:ascii="NRGlexFont" w:eastAsia="Times New Roman" w:hAnsi="NRGlexFont" w:cs="Times New Roman"/>
          <w:color w:val="000000"/>
          <w:spacing w:val="5"/>
          <w:sz w:val="24"/>
          <w:szCs w:val="24"/>
          <w:lang w:eastAsia="it-IT"/>
        </w:rPr>
        <w:t>it</w:t>
      </w:r>
      <w:proofErr w:type="spellEnd"/>
      <w:r w:rsidRPr="003331C9">
        <w:rPr>
          <w:rFonts w:ascii="NRGlexFont" w:eastAsia="Times New Roman" w:hAnsi="NRGlexFont" w:cs="Times New Roman"/>
          <w:i/>
          <w:iCs/>
          <w:color w:val="000000"/>
          <w:spacing w:val="5"/>
          <w:sz w:val="24"/>
          <w:szCs w:val="24"/>
          <w:lang w:eastAsia="it-IT"/>
        </w:rPr>
        <w:t>., 2020, I, 1282; Cons. Stato, sez. III, 25 febbraio 2020, n. 1385, </w:t>
      </w:r>
      <w:proofErr w:type="spellStart"/>
      <w:r w:rsidRPr="003331C9">
        <w:rPr>
          <w:rFonts w:ascii="NRGlexFont" w:eastAsia="Times New Roman" w:hAnsi="NRGlexFont" w:cs="Times New Roman"/>
          <w:color w:val="000000"/>
          <w:spacing w:val="5"/>
          <w:sz w:val="24"/>
          <w:szCs w:val="24"/>
          <w:lang w:eastAsia="it-IT"/>
        </w:rPr>
        <w:t>ForoPlus</w:t>
      </w:r>
      <w:proofErr w:type="spellEnd"/>
      <w:r w:rsidRPr="003331C9">
        <w:rPr>
          <w:rFonts w:ascii="NRGlexFont" w:eastAsia="Times New Roman" w:hAnsi="NRGlexFont" w:cs="Times New Roman"/>
          <w:i/>
          <w:iCs/>
          <w:color w:val="000000"/>
          <w:spacing w:val="5"/>
          <w:sz w:val="24"/>
          <w:szCs w:val="24"/>
          <w:lang w:eastAsia="it-IT"/>
        </w:rPr>
        <w:t>, nonché </w:t>
      </w:r>
      <w:r w:rsidRPr="003331C9">
        <w:rPr>
          <w:rFonts w:ascii="NRGlexFont" w:eastAsia="Times New Roman" w:hAnsi="NRGlexFont" w:cs="Times New Roman"/>
          <w:color w:val="000000"/>
          <w:spacing w:val="5"/>
          <w:sz w:val="24"/>
          <w:szCs w:val="24"/>
          <w:lang w:eastAsia="it-IT"/>
        </w:rPr>
        <w:t xml:space="preserve">Quaderni </w:t>
      </w:r>
      <w:proofErr w:type="spellStart"/>
      <w:r w:rsidRPr="003331C9">
        <w:rPr>
          <w:rFonts w:ascii="NRGlexFont" w:eastAsia="Times New Roman" w:hAnsi="NRGlexFont" w:cs="Times New Roman"/>
          <w:color w:val="000000"/>
          <w:spacing w:val="5"/>
          <w:sz w:val="24"/>
          <w:szCs w:val="24"/>
          <w:lang w:eastAsia="it-IT"/>
        </w:rPr>
        <w:t>amm</w:t>
      </w:r>
      <w:proofErr w:type="spellEnd"/>
      <w:r w:rsidRPr="003331C9">
        <w:rPr>
          <w:rFonts w:ascii="NRGlexFont" w:eastAsia="Times New Roman" w:hAnsi="NRGlexFont" w:cs="Times New Roman"/>
          <w:i/>
          <w:iCs/>
          <w:color w:val="000000"/>
          <w:spacing w:val="5"/>
          <w:sz w:val="24"/>
          <w:szCs w:val="24"/>
          <w:lang w:eastAsia="it-IT"/>
        </w:rPr>
        <w:t>., 2020, 163, con nota di C. Natalicchio, </w:t>
      </w:r>
      <w:r w:rsidRPr="003331C9">
        <w:rPr>
          <w:rFonts w:ascii="NRGlexFont" w:eastAsia="Times New Roman" w:hAnsi="NRGlexFont" w:cs="Times New Roman"/>
          <w:color w:val="000000"/>
          <w:spacing w:val="5"/>
          <w:sz w:val="24"/>
          <w:szCs w:val="24"/>
          <w:lang w:eastAsia="it-IT"/>
        </w:rPr>
        <w:t>L'enigmatico inquadramento della natura giuridica delle società in house: aspetti pubblicistici e privatistici del nuovo modello di società «in house </w:t>
      </w:r>
      <w:proofErr w:type="spellStart"/>
      <w:r w:rsidRPr="003331C9">
        <w:rPr>
          <w:rFonts w:ascii="NRGlexFont" w:eastAsia="Times New Roman" w:hAnsi="NRGlexFont" w:cs="Times New Roman"/>
          <w:color w:val="000000"/>
          <w:spacing w:val="5"/>
          <w:sz w:val="24"/>
          <w:szCs w:val="24"/>
          <w:lang w:eastAsia="it-IT"/>
        </w:rPr>
        <w:t>providing</w:t>
      </w:r>
      <w:proofErr w:type="spellEnd"/>
      <w:r w:rsidRPr="003331C9">
        <w:rPr>
          <w:rFonts w:ascii="NRGlexFont" w:eastAsia="Times New Roman" w:hAnsi="NRGlexFont" w:cs="Times New Roman"/>
          <w:color w:val="000000"/>
          <w:spacing w:val="5"/>
          <w:sz w:val="24"/>
          <w:szCs w:val="24"/>
          <w:lang w:eastAsia="it-IT"/>
        </w:rPr>
        <w:t>»</w:t>
      </w:r>
      <w:proofErr w:type="gramStart"/>
      <w:r w:rsidRPr="003331C9">
        <w:rPr>
          <w:rFonts w:ascii="NRGlexFont" w:eastAsia="Times New Roman" w:hAnsi="NRGlexFont" w:cs="Times New Roman"/>
          <w:i/>
          <w:iCs/>
          <w:color w:val="000000"/>
          <w:spacing w:val="5"/>
          <w:sz w:val="24"/>
          <w:szCs w:val="24"/>
          <w:lang w:eastAsia="it-IT"/>
        </w:rPr>
        <w:t>) </w:t>
      </w:r>
      <w:r w:rsidRPr="003331C9">
        <w:rPr>
          <w:rFonts w:ascii="NRGlexFont" w:eastAsia="Times New Roman" w:hAnsi="NRGlexFont" w:cs="Times New Roman"/>
          <w:color w:val="000000"/>
          <w:spacing w:val="5"/>
          <w:sz w:val="24"/>
          <w:szCs w:val="24"/>
          <w:lang w:eastAsia="it-IT"/>
        </w:rPr>
        <w:t>.</w:t>
      </w:r>
      <w:proofErr w:type="gramEnd"/>
      <w:r w:rsidRPr="003331C9">
        <w:rPr>
          <w:rFonts w:ascii="NRGlexFont" w:eastAsia="Times New Roman" w:hAnsi="NRGlexFont" w:cs="Times New Roman"/>
          <w:i/>
          <w:iCs/>
          <w:color w:val="000000"/>
          <w:spacing w:val="5"/>
          <w:sz w:val="24"/>
          <w:szCs w:val="24"/>
          <w:lang w:eastAsia="it-IT"/>
        </w:rPr>
        <w:t> </w:t>
      </w:r>
      <w:r w:rsidRPr="003331C9">
        <w:rPr>
          <w:rFonts w:ascii="NRGlexFont" w:eastAsia="Times New Roman" w:hAnsi="NRGlexFont" w:cs="Times New Roman"/>
          <w:b/>
          <w:bCs/>
          <w:i/>
          <w:iCs/>
          <w:color w:val="000000"/>
          <w:spacing w:val="5"/>
          <w:sz w:val="24"/>
          <w:szCs w:val="24"/>
          <w:lang w:eastAsia="it-IT"/>
        </w:rPr>
        <w:t>Di qui la conclusione per cui «il velo che normalmente nasconde il socio dietro la società è dunque squarciato: la distinzione fra socio (pubblico) e società (in house) non si realizza più in termini di alterità soggettiva» (così Cass. 25 novembre 2013, n. 26283, citata in motivazione, </w:t>
      </w:r>
      <w:r w:rsidRPr="003331C9">
        <w:rPr>
          <w:rFonts w:ascii="NRGlexFont" w:eastAsia="Times New Roman" w:hAnsi="NRGlexFont" w:cs="Times New Roman"/>
          <w:b/>
          <w:bCs/>
          <w:color w:val="000000"/>
          <w:spacing w:val="5"/>
          <w:sz w:val="24"/>
          <w:szCs w:val="24"/>
          <w:lang w:eastAsia="it-IT"/>
        </w:rPr>
        <w:t xml:space="preserve">Foro </w:t>
      </w:r>
      <w:proofErr w:type="spellStart"/>
      <w:r w:rsidRPr="003331C9">
        <w:rPr>
          <w:rFonts w:ascii="NRGlexFont" w:eastAsia="Times New Roman" w:hAnsi="NRGlexFont" w:cs="Times New Roman"/>
          <w:b/>
          <w:bCs/>
          <w:color w:val="000000"/>
          <w:spacing w:val="5"/>
          <w:sz w:val="24"/>
          <w:szCs w:val="24"/>
          <w:lang w:eastAsia="it-IT"/>
        </w:rPr>
        <w:t>it</w:t>
      </w:r>
      <w:proofErr w:type="spellEnd"/>
      <w:r w:rsidRPr="003331C9">
        <w:rPr>
          <w:rFonts w:ascii="NRGlexFont" w:eastAsia="Times New Roman" w:hAnsi="NRGlexFont" w:cs="Times New Roman"/>
          <w:b/>
          <w:bCs/>
          <w:i/>
          <w:iCs/>
          <w:color w:val="000000"/>
          <w:spacing w:val="5"/>
          <w:sz w:val="24"/>
          <w:szCs w:val="24"/>
          <w:lang w:eastAsia="it-IT"/>
        </w:rPr>
        <w:t xml:space="preserve">., Rep. </w:t>
      </w:r>
      <w:r w:rsidRPr="003331C9">
        <w:rPr>
          <w:rFonts w:ascii="NRGlexFont" w:eastAsia="Times New Roman" w:hAnsi="NRGlexFont" w:cs="Times New Roman"/>
          <w:b/>
          <w:bCs/>
          <w:i/>
          <w:iCs/>
          <w:color w:val="000000"/>
          <w:spacing w:val="5"/>
          <w:sz w:val="24"/>
          <w:szCs w:val="24"/>
          <w:lang w:eastAsia="it-IT"/>
        </w:rPr>
        <w:lastRenderedPageBreak/>
        <w:t>2014, voce </w:t>
      </w:r>
      <w:r w:rsidRPr="003331C9">
        <w:rPr>
          <w:rFonts w:ascii="NRGlexFont" w:eastAsia="Times New Roman" w:hAnsi="NRGlexFont" w:cs="Times New Roman"/>
          <w:b/>
          <w:bCs/>
          <w:color w:val="000000"/>
          <w:spacing w:val="5"/>
          <w:sz w:val="24"/>
          <w:szCs w:val="24"/>
          <w:lang w:eastAsia="it-IT"/>
        </w:rPr>
        <w:t>responsabilità contabile</w:t>
      </w:r>
      <w:r w:rsidRPr="003331C9">
        <w:rPr>
          <w:rFonts w:ascii="NRGlexFont" w:eastAsia="Times New Roman" w:hAnsi="NRGlexFont" w:cs="Times New Roman"/>
          <w:b/>
          <w:bCs/>
          <w:i/>
          <w:iCs/>
          <w:color w:val="000000"/>
          <w:spacing w:val="5"/>
          <w:sz w:val="24"/>
          <w:szCs w:val="24"/>
          <w:lang w:eastAsia="it-IT"/>
        </w:rPr>
        <w:t>, n. 45), con possibilità di configurare, piuttosto, un patrimonio separato nell'ambito di un'unica figura giuridica</w:t>
      </w:r>
      <w:r w:rsidRPr="003331C9">
        <w:rPr>
          <w:rFonts w:ascii="NRGlexFont" w:eastAsia="Times New Roman" w:hAnsi="NRGlexFont" w:cs="Times New Roman"/>
          <w:i/>
          <w:iCs/>
          <w:color w:val="000000"/>
          <w:spacing w:val="5"/>
          <w:sz w:val="24"/>
          <w:szCs w:val="24"/>
          <w:lang w:eastAsia="it-IT"/>
        </w:rPr>
        <w:t>.</w:t>
      </w:r>
    </w:p>
    <w:p w14:paraId="4A86209F" w14:textId="77777777" w:rsidR="003331C9" w:rsidRPr="003331C9" w:rsidRDefault="003331C9" w:rsidP="003331C9">
      <w:pPr>
        <w:shd w:val="clear" w:color="auto" w:fill="FFFFFF"/>
        <w:spacing w:after="0" w:line="360" w:lineRule="atLeast"/>
        <w:jc w:val="both"/>
        <w:rPr>
          <w:rFonts w:ascii="NRGlexFont" w:eastAsia="Times New Roman" w:hAnsi="NRGlexFont" w:cs="Times New Roman"/>
          <w:b/>
          <w:bCs/>
          <w:color w:val="000000"/>
          <w:spacing w:val="5"/>
          <w:sz w:val="24"/>
          <w:szCs w:val="24"/>
          <w:lang w:eastAsia="it-IT"/>
        </w:rPr>
      </w:pPr>
      <w:r w:rsidRPr="003331C9">
        <w:rPr>
          <w:rFonts w:ascii="NRGlexFont" w:eastAsia="Times New Roman" w:hAnsi="NRGlexFont" w:cs="Times New Roman"/>
          <w:color w:val="000000"/>
          <w:spacing w:val="5"/>
          <w:sz w:val="24"/>
          <w:szCs w:val="24"/>
          <w:lang w:eastAsia="it-IT"/>
        </w:rPr>
        <w:t>b</w:t>
      </w:r>
      <w:r w:rsidRPr="003331C9">
        <w:rPr>
          <w:rFonts w:ascii="NRGlexFont" w:eastAsia="Times New Roman" w:hAnsi="NRGlexFont" w:cs="Times New Roman"/>
          <w:i/>
          <w:iCs/>
          <w:color w:val="000000"/>
          <w:spacing w:val="5"/>
          <w:sz w:val="24"/>
          <w:szCs w:val="24"/>
          <w:lang w:eastAsia="it-IT"/>
        </w:rPr>
        <w:t xml:space="preserve">) Il secondo orientamento sostiene che la società in house è un soggetto giuridico distinto dall'ente partecipante, tanto sotto il profilo giuridico formale quanto da un punto di vista sostanziale, e che, dunque, il c.d. controllo analogo esercitato dall'amministrazione sulla società, per quanto possa rendere il legame partecipativo del tutto assimilabile ad una «relazione </w:t>
      </w:r>
      <w:proofErr w:type="spellStart"/>
      <w:r w:rsidRPr="003331C9">
        <w:rPr>
          <w:rFonts w:ascii="NRGlexFont" w:eastAsia="Times New Roman" w:hAnsi="NRGlexFont" w:cs="Times New Roman"/>
          <w:i/>
          <w:iCs/>
          <w:color w:val="000000"/>
          <w:spacing w:val="5"/>
          <w:sz w:val="24"/>
          <w:szCs w:val="24"/>
          <w:lang w:eastAsia="it-IT"/>
        </w:rPr>
        <w:t>interorganica</w:t>
      </w:r>
      <w:proofErr w:type="spellEnd"/>
      <w:r w:rsidRPr="003331C9">
        <w:rPr>
          <w:rFonts w:ascii="NRGlexFont" w:eastAsia="Times New Roman" w:hAnsi="NRGlexFont" w:cs="Times New Roman"/>
          <w:i/>
          <w:iCs/>
          <w:color w:val="000000"/>
          <w:spacing w:val="5"/>
          <w:sz w:val="24"/>
          <w:szCs w:val="24"/>
          <w:lang w:eastAsia="it-IT"/>
        </w:rPr>
        <w:t xml:space="preserve">», non va comunque ad incidere sull'alterità soggettiva dell'ente societario rispetto all'amministrazione. </w:t>
      </w:r>
      <w:r w:rsidRPr="003331C9">
        <w:rPr>
          <w:rFonts w:ascii="NRGlexFont" w:eastAsia="Times New Roman" w:hAnsi="NRGlexFont" w:cs="Times New Roman"/>
          <w:b/>
          <w:bCs/>
          <w:i/>
          <w:iCs/>
          <w:color w:val="000000"/>
          <w:spacing w:val="5"/>
          <w:sz w:val="24"/>
          <w:szCs w:val="24"/>
          <w:lang w:eastAsia="it-IT"/>
        </w:rPr>
        <w:t>Di conseguenza, secondo questa lettura i due enti devono rimanere distinti e, quanto alla società in house, non può rinvenirsi deroga rispetto alla comune disciplina privatistica per le società di capitali (cfr. Cass. 22 febbraio 2019, n. 5346, cit., in motivazione, </w:t>
      </w:r>
      <w:r w:rsidRPr="003331C9">
        <w:rPr>
          <w:rFonts w:ascii="NRGlexFont" w:eastAsia="Times New Roman" w:hAnsi="NRGlexFont" w:cs="Times New Roman"/>
          <w:b/>
          <w:bCs/>
          <w:color w:val="000000"/>
          <w:spacing w:val="5"/>
          <w:sz w:val="24"/>
          <w:szCs w:val="24"/>
          <w:lang w:eastAsia="it-IT"/>
        </w:rPr>
        <w:t>id</w:t>
      </w:r>
      <w:r w:rsidRPr="003331C9">
        <w:rPr>
          <w:rFonts w:ascii="NRGlexFont" w:eastAsia="Times New Roman" w:hAnsi="NRGlexFont" w:cs="Times New Roman"/>
          <w:b/>
          <w:bCs/>
          <w:i/>
          <w:iCs/>
          <w:color w:val="000000"/>
          <w:spacing w:val="5"/>
          <w:sz w:val="24"/>
          <w:szCs w:val="24"/>
          <w:lang w:eastAsia="it-IT"/>
        </w:rPr>
        <w:t>., Rep. 2020, voce </w:t>
      </w:r>
      <w:r w:rsidRPr="003331C9">
        <w:rPr>
          <w:rFonts w:ascii="NRGlexFont" w:eastAsia="Times New Roman" w:hAnsi="NRGlexFont" w:cs="Times New Roman"/>
          <w:b/>
          <w:bCs/>
          <w:color w:val="000000"/>
          <w:spacing w:val="5"/>
          <w:sz w:val="24"/>
          <w:szCs w:val="24"/>
          <w:lang w:eastAsia="it-IT"/>
        </w:rPr>
        <w:t>Fallimento</w:t>
      </w:r>
      <w:r w:rsidRPr="003331C9">
        <w:rPr>
          <w:rFonts w:ascii="NRGlexFont" w:eastAsia="Times New Roman" w:hAnsi="NRGlexFont" w:cs="Times New Roman"/>
          <w:b/>
          <w:bCs/>
          <w:i/>
          <w:iCs/>
          <w:color w:val="000000"/>
          <w:spacing w:val="5"/>
          <w:sz w:val="24"/>
          <w:szCs w:val="24"/>
          <w:lang w:eastAsia="it-IT"/>
        </w:rPr>
        <w:t>, n. 144; Cons. Stato, sez. V, 29 maggio 2017, n. 2533, </w:t>
      </w:r>
      <w:r w:rsidRPr="003331C9">
        <w:rPr>
          <w:rFonts w:ascii="NRGlexFont" w:eastAsia="Times New Roman" w:hAnsi="NRGlexFont" w:cs="Times New Roman"/>
          <w:b/>
          <w:bCs/>
          <w:color w:val="000000"/>
          <w:spacing w:val="5"/>
          <w:sz w:val="24"/>
          <w:szCs w:val="24"/>
          <w:lang w:eastAsia="it-IT"/>
        </w:rPr>
        <w:t>id</w:t>
      </w:r>
      <w:r w:rsidRPr="003331C9">
        <w:rPr>
          <w:rFonts w:ascii="NRGlexFont" w:eastAsia="Times New Roman" w:hAnsi="NRGlexFont" w:cs="Times New Roman"/>
          <w:b/>
          <w:bCs/>
          <w:i/>
          <w:iCs/>
          <w:color w:val="000000"/>
          <w:spacing w:val="5"/>
          <w:sz w:val="24"/>
          <w:szCs w:val="24"/>
          <w:lang w:eastAsia="it-IT"/>
        </w:rPr>
        <w:t>., Rep. 2017, voce </w:t>
      </w:r>
      <w:r w:rsidRPr="003331C9">
        <w:rPr>
          <w:rFonts w:ascii="NRGlexFont" w:eastAsia="Times New Roman" w:hAnsi="NRGlexFont" w:cs="Times New Roman"/>
          <w:b/>
          <w:bCs/>
          <w:color w:val="000000"/>
          <w:spacing w:val="5"/>
          <w:sz w:val="24"/>
          <w:szCs w:val="24"/>
          <w:lang w:eastAsia="it-IT"/>
        </w:rPr>
        <w:t>Giustizia amministrativa</w:t>
      </w:r>
      <w:r w:rsidRPr="003331C9">
        <w:rPr>
          <w:rFonts w:ascii="NRGlexFont" w:eastAsia="Times New Roman" w:hAnsi="NRGlexFont" w:cs="Times New Roman"/>
          <w:b/>
          <w:bCs/>
          <w:i/>
          <w:iCs/>
          <w:color w:val="000000"/>
          <w:spacing w:val="5"/>
          <w:sz w:val="24"/>
          <w:szCs w:val="24"/>
          <w:lang w:eastAsia="it-IT"/>
        </w:rPr>
        <w:t>, n.</w:t>
      </w:r>
      <w:r w:rsidRPr="003331C9">
        <w:rPr>
          <w:rFonts w:ascii="NRGlexFont" w:eastAsia="Times New Roman" w:hAnsi="NRGlexFont" w:cs="Times New Roman"/>
          <w:i/>
          <w:iCs/>
          <w:color w:val="000000"/>
          <w:spacing w:val="5"/>
          <w:sz w:val="24"/>
          <w:szCs w:val="24"/>
          <w:lang w:eastAsia="it-IT"/>
        </w:rPr>
        <w:t xml:space="preserve"> 259). </w:t>
      </w:r>
      <w:r w:rsidRPr="003331C9">
        <w:rPr>
          <w:rFonts w:ascii="NRGlexFont" w:eastAsia="Times New Roman" w:hAnsi="NRGlexFont" w:cs="Times New Roman"/>
          <w:b/>
          <w:bCs/>
          <w:i/>
          <w:iCs/>
          <w:color w:val="000000"/>
          <w:spacing w:val="5"/>
          <w:sz w:val="24"/>
          <w:szCs w:val="24"/>
          <w:lang w:eastAsia="it-IT"/>
        </w:rPr>
        <w:t>Da queste premesse, la conclusione per cui la ricostruzione effettuata dal primo orientamento dev’essere piuttosto circoscritta alla tematica del riparto di giurisdizione. A tale riguardo v., </w:t>
      </w:r>
      <w:r w:rsidRPr="003331C9">
        <w:rPr>
          <w:rFonts w:ascii="NRGlexFont" w:eastAsia="Times New Roman" w:hAnsi="NRGlexFont" w:cs="Times New Roman"/>
          <w:b/>
          <w:bCs/>
          <w:color w:val="000000"/>
          <w:spacing w:val="5"/>
          <w:sz w:val="24"/>
          <w:szCs w:val="24"/>
          <w:lang w:eastAsia="it-IT"/>
        </w:rPr>
        <w:t xml:space="preserve">ex </w:t>
      </w:r>
      <w:proofErr w:type="spellStart"/>
      <w:r w:rsidRPr="003331C9">
        <w:rPr>
          <w:rFonts w:ascii="NRGlexFont" w:eastAsia="Times New Roman" w:hAnsi="NRGlexFont" w:cs="Times New Roman"/>
          <w:b/>
          <w:bCs/>
          <w:color w:val="000000"/>
          <w:spacing w:val="5"/>
          <w:sz w:val="24"/>
          <w:szCs w:val="24"/>
          <w:lang w:eastAsia="it-IT"/>
        </w:rPr>
        <w:t>multis</w:t>
      </w:r>
      <w:proofErr w:type="spellEnd"/>
      <w:r w:rsidRPr="003331C9">
        <w:rPr>
          <w:rFonts w:ascii="NRGlexFont" w:eastAsia="Times New Roman" w:hAnsi="NRGlexFont" w:cs="Times New Roman"/>
          <w:b/>
          <w:bCs/>
          <w:i/>
          <w:iCs/>
          <w:color w:val="000000"/>
          <w:spacing w:val="5"/>
          <w:sz w:val="24"/>
          <w:szCs w:val="24"/>
          <w:lang w:eastAsia="it-IT"/>
        </w:rPr>
        <w:t>, Cass. 13 settembre 2018, n. 22409, </w:t>
      </w:r>
      <w:r w:rsidRPr="003331C9">
        <w:rPr>
          <w:rFonts w:ascii="NRGlexFont" w:eastAsia="Times New Roman" w:hAnsi="NRGlexFont" w:cs="Times New Roman"/>
          <w:b/>
          <w:bCs/>
          <w:color w:val="000000"/>
          <w:spacing w:val="5"/>
          <w:sz w:val="24"/>
          <w:szCs w:val="24"/>
          <w:lang w:eastAsia="it-IT"/>
        </w:rPr>
        <w:t>id</w:t>
      </w:r>
      <w:r w:rsidRPr="003331C9">
        <w:rPr>
          <w:rFonts w:ascii="NRGlexFont" w:eastAsia="Times New Roman" w:hAnsi="NRGlexFont" w:cs="Times New Roman"/>
          <w:b/>
          <w:bCs/>
          <w:i/>
          <w:iCs/>
          <w:color w:val="000000"/>
          <w:spacing w:val="5"/>
          <w:sz w:val="24"/>
          <w:szCs w:val="24"/>
          <w:lang w:eastAsia="it-IT"/>
        </w:rPr>
        <w:t>., Rep. 2018, voce </w:t>
      </w:r>
      <w:r w:rsidRPr="003331C9">
        <w:rPr>
          <w:rFonts w:ascii="NRGlexFont" w:eastAsia="Times New Roman" w:hAnsi="NRGlexFont" w:cs="Times New Roman"/>
          <w:b/>
          <w:bCs/>
          <w:color w:val="000000"/>
          <w:spacing w:val="5"/>
          <w:sz w:val="24"/>
          <w:szCs w:val="24"/>
          <w:lang w:eastAsia="it-IT"/>
        </w:rPr>
        <w:t>responsabilità contabile</w:t>
      </w:r>
      <w:r w:rsidRPr="003331C9">
        <w:rPr>
          <w:rFonts w:ascii="NRGlexFont" w:eastAsia="Times New Roman" w:hAnsi="NRGlexFont" w:cs="Times New Roman"/>
          <w:b/>
          <w:bCs/>
          <w:i/>
          <w:iCs/>
          <w:color w:val="000000"/>
          <w:spacing w:val="5"/>
          <w:sz w:val="24"/>
          <w:szCs w:val="24"/>
          <w:lang w:eastAsia="it-IT"/>
        </w:rPr>
        <w:t>, n. 149; 13 aprile 2016, n. 7293, </w:t>
      </w:r>
      <w:r w:rsidRPr="003331C9">
        <w:rPr>
          <w:rFonts w:ascii="NRGlexFont" w:eastAsia="Times New Roman" w:hAnsi="NRGlexFont" w:cs="Times New Roman"/>
          <w:b/>
          <w:bCs/>
          <w:color w:val="000000"/>
          <w:spacing w:val="5"/>
          <w:sz w:val="24"/>
          <w:szCs w:val="24"/>
          <w:lang w:eastAsia="it-IT"/>
        </w:rPr>
        <w:t>id</w:t>
      </w:r>
      <w:r w:rsidRPr="003331C9">
        <w:rPr>
          <w:rFonts w:ascii="NRGlexFont" w:eastAsia="Times New Roman" w:hAnsi="NRGlexFont" w:cs="Times New Roman"/>
          <w:b/>
          <w:bCs/>
          <w:i/>
          <w:iCs/>
          <w:color w:val="000000"/>
          <w:spacing w:val="5"/>
          <w:sz w:val="24"/>
          <w:szCs w:val="24"/>
          <w:lang w:eastAsia="it-IT"/>
        </w:rPr>
        <w:t>., Rep. 2016, voce cit., n. 31.</w:t>
      </w:r>
    </w:p>
    <w:p w14:paraId="169E412A" w14:textId="77777777" w:rsidR="003331C9" w:rsidRPr="003331C9" w:rsidRDefault="003331C9" w:rsidP="003331C9">
      <w:pPr>
        <w:shd w:val="clear" w:color="auto" w:fill="FFFFFF"/>
        <w:spacing w:after="0" w:line="360" w:lineRule="atLeast"/>
        <w:jc w:val="both"/>
        <w:rPr>
          <w:rFonts w:ascii="NRGlexFont" w:eastAsia="Times New Roman" w:hAnsi="NRGlexFont" w:cs="Times New Roman"/>
          <w:b/>
          <w:bCs/>
          <w:color w:val="000000"/>
          <w:spacing w:val="5"/>
          <w:sz w:val="24"/>
          <w:szCs w:val="24"/>
          <w:lang w:eastAsia="it-IT"/>
        </w:rPr>
      </w:pPr>
      <w:r w:rsidRPr="003331C9">
        <w:rPr>
          <w:rFonts w:ascii="NRGlexFont" w:eastAsia="Times New Roman" w:hAnsi="NRGlexFont" w:cs="Times New Roman"/>
          <w:i/>
          <w:iCs/>
          <w:color w:val="000000"/>
          <w:spacing w:val="5"/>
          <w:sz w:val="24"/>
          <w:szCs w:val="24"/>
          <w:lang w:eastAsia="it-IT"/>
        </w:rPr>
        <w:t xml:space="preserve">Entrambi i riferiti orientamenti, pur partendo da presupposti logico-giuridici differenti, giungono alla medesima conclusione: </w:t>
      </w:r>
      <w:r w:rsidRPr="003331C9">
        <w:rPr>
          <w:rFonts w:ascii="NRGlexFont" w:eastAsia="Times New Roman" w:hAnsi="NRGlexFont" w:cs="Times New Roman"/>
          <w:b/>
          <w:bCs/>
          <w:i/>
          <w:iCs/>
          <w:color w:val="000000"/>
          <w:spacing w:val="5"/>
          <w:sz w:val="24"/>
          <w:szCs w:val="24"/>
          <w:lang w:eastAsia="it-IT"/>
        </w:rPr>
        <w:t>l'ente pubblico socio non risponde delle obbligazioni assunte dalla società in house. Conclusione che è condivisa dalla sentenza che si riporta, nel segno dell'indifferenza del modello organizzativo rispetto al tema della responsabilità: nel momento in cui l'ente pubblico decide di utilizzare lo «schermo» societario, ovverosia di perseguire l'interesse pubblico mediante lo strumento privatistico</w:t>
      </w:r>
      <w:r w:rsidRPr="003331C9">
        <w:rPr>
          <w:rFonts w:ascii="NRGlexFont" w:eastAsia="Times New Roman" w:hAnsi="NRGlexFont" w:cs="Times New Roman"/>
          <w:i/>
          <w:iCs/>
          <w:color w:val="000000"/>
          <w:spacing w:val="5"/>
          <w:sz w:val="24"/>
          <w:szCs w:val="24"/>
          <w:lang w:eastAsia="it-IT"/>
        </w:rPr>
        <w:t xml:space="preserve"> (nella fattispecie: una società per azioni</w:t>
      </w:r>
      <w:r w:rsidRPr="003331C9">
        <w:rPr>
          <w:rFonts w:ascii="NRGlexFont" w:eastAsia="Times New Roman" w:hAnsi="NRGlexFont" w:cs="Times New Roman"/>
          <w:b/>
          <w:bCs/>
          <w:i/>
          <w:iCs/>
          <w:color w:val="000000"/>
          <w:spacing w:val="5"/>
          <w:sz w:val="24"/>
          <w:szCs w:val="24"/>
          <w:lang w:eastAsia="it-IT"/>
        </w:rPr>
        <w:t xml:space="preserve">), a prescindere che questa possa rientrare nel modello organizzativo </w:t>
      </w:r>
      <w:proofErr w:type="spellStart"/>
      <w:r w:rsidRPr="003331C9">
        <w:rPr>
          <w:rFonts w:ascii="NRGlexFont" w:eastAsia="Times New Roman" w:hAnsi="NRGlexFont" w:cs="Times New Roman"/>
          <w:b/>
          <w:bCs/>
          <w:i/>
          <w:iCs/>
          <w:color w:val="000000"/>
          <w:spacing w:val="5"/>
          <w:sz w:val="24"/>
          <w:szCs w:val="24"/>
          <w:lang w:eastAsia="it-IT"/>
        </w:rPr>
        <w:t>dell'in</w:t>
      </w:r>
      <w:proofErr w:type="spellEnd"/>
      <w:r w:rsidRPr="003331C9">
        <w:rPr>
          <w:rFonts w:ascii="NRGlexFont" w:eastAsia="Times New Roman" w:hAnsi="NRGlexFont" w:cs="Times New Roman"/>
          <w:b/>
          <w:bCs/>
          <w:i/>
          <w:iCs/>
          <w:color w:val="000000"/>
          <w:spacing w:val="5"/>
          <w:sz w:val="24"/>
          <w:szCs w:val="24"/>
          <w:lang w:eastAsia="it-IT"/>
        </w:rPr>
        <w:t> house </w:t>
      </w:r>
      <w:proofErr w:type="spellStart"/>
      <w:r w:rsidRPr="003331C9">
        <w:rPr>
          <w:rFonts w:ascii="NRGlexFont" w:eastAsia="Times New Roman" w:hAnsi="NRGlexFont" w:cs="Times New Roman"/>
          <w:b/>
          <w:bCs/>
          <w:i/>
          <w:iCs/>
          <w:color w:val="000000"/>
          <w:spacing w:val="5"/>
          <w:sz w:val="24"/>
          <w:szCs w:val="24"/>
          <w:lang w:eastAsia="it-IT"/>
        </w:rPr>
        <w:t>providing</w:t>
      </w:r>
      <w:proofErr w:type="spellEnd"/>
      <w:r w:rsidRPr="003331C9">
        <w:rPr>
          <w:rFonts w:ascii="NRGlexFont" w:eastAsia="Times New Roman" w:hAnsi="NRGlexFont" w:cs="Times New Roman"/>
          <w:b/>
          <w:bCs/>
          <w:i/>
          <w:iCs/>
          <w:color w:val="000000"/>
          <w:spacing w:val="5"/>
          <w:sz w:val="24"/>
          <w:szCs w:val="24"/>
          <w:lang w:eastAsia="it-IT"/>
        </w:rPr>
        <w:t>, la veste stessa di società di capitali impone l'applicazione della comune disciplina privatistica che dispone che «per le obbligazioni sociali risponde soltanto la società con il suo patrimonio» (art. 2325 c.c.).</w:t>
      </w:r>
    </w:p>
    <w:p w14:paraId="5036B416" w14:textId="77777777" w:rsidR="003331C9" w:rsidRPr="003331C9" w:rsidRDefault="003331C9" w:rsidP="003331C9">
      <w:pPr>
        <w:shd w:val="clear" w:color="auto" w:fill="FFFFFF"/>
        <w:spacing w:after="0" w:line="360" w:lineRule="atLeast"/>
        <w:jc w:val="both"/>
        <w:rPr>
          <w:rFonts w:ascii="NRGlexFont" w:eastAsia="Times New Roman" w:hAnsi="NRGlexFont" w:cs="Times New Roman"/>
          <w:b/>
          <w:bCs/>
          <w:color w:val="000000"/>
          <w:spacing w:val="5"/>
          <w:sz w:val="24"/>
          <w:szCs w:val="24"/>
          <w:lang w:eastAsia="it-IT"/>
        </w:rPr>
      </w:pPr>
      <w:r w:rsidRPr="003331C9">
        <w:rPr>
          <w:rFonts w:ascii="NRGlexFont" w:eastAsia="Times New Roman" w:hAnsi="NRGlexFont" w:cs="Times New Roman"/>
          <w:b/>
          <w:bCs/>
          <w:i/>
          <w:iCs/>
          <w:color w:val="000000"/>
          <w:spacing w:val="5"/>
          <w:sz w:val="24"/>
          <w:szCs w:val="24"/>
          <w:lang w:eastAsia="it-IT"/>
        </w:rPr>
        <w:t xml:space="preserve">in esatti termini (con motivazione più succinta) </w:t>
      </w:r>
      <w:proofErr w:type="spellStart"/>
      <w:r w:rsidRPr="003331C9">
        <w:rPr>
          <w:rFonts w:ascii="NRGlexFont" w:eastAsia="Times New Roman" w:hAnsi="NRGlexFont" w:cs="Times New Roman"/>
          <w:b/>
          <w:bCs/>
          <w:i/>
          <w:iCs/>
          <w:color w:val="000000"/>
          <w:spacing w:val="5"/>
          <w:sz w:val="24"/>
          <w:szCs w:val="24"/>
          <w:lang w:eastAsia="it-IT"/>
        </w:rPr>
        <w:t>Trib</w:t>
      </w:r>
      <w:proofErr w:type="spellEnd"/>
      <w:r w:rsidRPr="003331C9">
        <w:rPr>
          <w:rFonts w:ascii="NRGlexFont" w:eastAsia="Times New Roman" w:hAnsi="NRGlexFont" w:cs="Times New Roman"/>
          <w:b/>
          <w:bCs/>
          <w:i/>
          <w:iCs/>
          <w:color w:val="000000"/>
          <w:spacing w:val="5"/>
          <w:sz w:val="24"/>
          <w:szCs w:val="24"/>
          <w:lang w:eastAsia="it-IT"/>
        </w:rPr>
        <w:t>. Civitavecchia 13 luglio 2022, n. 797, inedita.</w:t>
      </w:r>
    </w:p>
    <w:p w14:paraId="32551A3E" w14:textId="77777777" w:rsidR="003331C9" w:rsidRDefault="003331C9"/>
    <w:p w14:paraId="27C2B066" w14:textId="77777777" w:rsidR="002120EF" w:rsidRDefault="002120EF"/>
    <w:p w14:paraId="61405AE7" w14:textId="77777777" w:rsidR="002120EF" w:rsidRDefault="002120EF"/>
    <w:p w14:paraId="0C63B9A2" w14:textId="77777777" w:rsidR="002120EF" w:rsidRDefault="002120EF"/>
    <w:p w14:paraId="706DC454" w14:textId="77777777" w:rsidR="002120EF" w:rsidRPr="002120EF" w:rsidRDefault="002120EF" w:rsidP="002120EF">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proofErr w:type="spellStart"/>
      <w:r w:rsidRPr="002120EF">
        <w:rPr>
          <w:rFonts w:ascii="Lato" w:eastAsia="Times New Roman" w:hAnsi="Lato" w:cs="Times New Roman"/>
          <w:color w:val="3E4249"/>
          <w:spacing w:val="5"/>
          <w:kern w:val="36"/>
          <w:sz w:val="45"/>
          <w:szCs w:val="45"/>
          <w:lang w:eastAsia="it-IT"/>
        </w:rPr>
        <w:t>Trib</w:t>
      </w:r>
      <w:proofErr w:type="spellEnd"/>
      <w:r w:rsidRPr="002120EF">
        <w:rPr>
          <w:rFonts w:ascii="Lato" w:eastAsia="Times New Roman" w:hAnsi="Lato" w:cs="Times New Roman"/>
          <w:color w:val="3E4249"/>
          <w:spacing w:val="5"/>
          <w:kern w:val="36"/>
          <w:sz w:val="45"/>
          <w:szCs w:val="45"/>
          <w:lang w:eastAsia="it-IT"/>
        </w:rPr>
        <w:t xml:space="preserve">. civ. Milano, </w:t>
      </w:r>
      <w:proofErr w:type="spellStart"/>
      <w:r w:rsidRPr="002120EF">
        <w:rPr>
          <w:rFonts w:ascii="Lato" w:eastAsia="Times New Roman" w:hAnsi="Lato" w:cs="Times New Roman"/>
          <w:color w:val="3E4249"/>
          <w:spacing w:val="5"/>
          <w:kern w:val="36"/>
          <w:sz w:val="45"/>
          <w:szCs w:val="45"/>
          <w:lang w:eastAsia="it-IT"/>
        </w:rPr>
        <w:t>sent</w:t>
      </w:r>
      <w:proofErr w:type="spellEnd"/>
      <w:r w:rsidRPr="002120EF">
        <w:rPr>
          <w:rFonts w:ascii="Lato" w:eastAsia="Times New Roman" w:hAnsi="Lato" w:cs="Times New Roman"/>
          <w:color w:val="3E4249"/>
          <w:spacing w:val="5"/>
          <w:kern w:val="36"/>
          <w:sz w:val="45"/>
          <w:szCs w:val="45"/>
          <w:lang w:eastAsia="it-IT"/>
        </w:rPr>
        <w:t>., 24 marzo 2022</w:t>
      </w:r>
    </w:p>
    <w:p w14:paraId="246E7524" w14:textId="745213B5"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noProof/>
          <w:color w:val="005797"/>
          <w:spacing w:val="5"/>
          <w:sz w:val="24"/>
          <w:szCs w:val="24"/>
          <w:lang w:eastAsia="it-IT"/>
        </w:rPr>
        <w:drawing>
          <wp:inline distT="0" distB="0" distL="0" distR="0" wp14:anchorId="0392A8BE" wp14:editId="7312ECA8">
            <wp:extent cx="160655" cy="160655"/>
            <wp:effectExtent l="0" t="0" r="0" b="0"/>
            <wp:docPr id="26" name="Immagine 10">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2120EF">
        <w:rPr>
          <w:rFonts w:ascii="Lato" w:eastAsia="Times New Roman" w:hAnsi="Lato" w:cs="Times New Roman"/>
          <w:color w:val="000000"/>
          <w:spacing w:val="5"/>
          <w:sz w:val="24"/>
          <w:szCs w:val="24"/>
          <w:lang w:eastAsia="it-IT"/>
        </w:rPr>
        <w:t>    </w:t>
      </w:r>
    </w:p>
    <w:p w14:paraId="3C90BB92"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responsabilità contabile e amministrativa, Corte dei conti, Amministrazione dello Stato e degli enti pubblici in genere</w:t>
      </w:r>
    </w:p>
    <w:p w14:paraId="1778B38C" w14:textId="77777777" w:rsidR="002120EF" w:rsidRPr="002120EF" w:rsidRDefault="002120EF" w:rsidP="002120EF">
      <w:pPr>
        <w:shd w:val="clear" w:color="auto" w:fill="FFFFFF"/>
        <w:spacing w:after="0" w:line="240" w:lineRule="auto"/>
        <w:jc w:val="both"/>
        <w:rPr>
          <w:rFonts w:ascii="Lato" w:eastAsia="Times New Roman" w:hAnsi="Lato" w:cs="Times New Roman"/>
          <w:i/>
          <w:iCs/>
          <w:color w:val="000000"/>
          <w:spacing w:val="5"/>
          <w:sz w:val="20"/>
          <w:szCs w:val="20"/>
          <w:lang w:eastAsia="it-IT"/>
        </w:rPr>
      </w:pPr>
      <w:proofErr w:type="spellStart"/>
      <w:r w:rsidRPr="002120EF">
        <w:rPr>
          <w:rFonts w:ascii="Lato" w:eastAsia="Times New Roman" w:hAnsi="Lato" w:cs="Times New Roman"/>
          <w:i/>
          <w:iCs/>
          <w:color w:val="000000"/>
          <w:spacing w:val="5"/>
          <w:sz w:val="20"/>
          <w:szCs w:val="20"/>
          <w:lang w:eastAsia="it-IT"/>
        </w:rPr>
        <w:lastRenderedPageBreak/>
        <w:t>Trib</w:t>
      </w:r>
      <w:proofErr w:type="spellEnd"/>
      <w:r w:rsidRPr="002120EF">
        <w:rPr>
          <w:rFonts w:ascii="Lato" w:eastAsia="Times New Roman" w:hAnsi="Lato" w:cs="Times New Roman"/>
          <w:i/>
          <w:iCs/>
          <w:color w:val="000000"/>
          <w:spacing w:val="5"/>
          <w:sz w:val="20"/>
          <w:szCs w:val="20"/>
          <w:lang w:eastAsia="it-IT"/>
        </w:rPr>
        <w:t xml:space="preserve">. civ., </w:t>
      </w:r>
      <w:proofErr w:type="spellStart"/>
      <w:r w:rsidRPr="002120EF">
        <w:rPr>
          <w:rFonts w:ascii="Lato" w:eastAsia="Times New Roman" w:hAnsi="Lato" w:cs="Times New Roman"/>
          <w:i/>
          <w:iCs/>
          <w:color w:val="000000"/>
          <w:spacing w:val="5"/>
          <w:sz w:val="20"/>
          <w:szCs w:val="20"/>
          <w:lang w:eastAsia="it-IT"/>
        </w:rPr>
        <w:t>sent</w:t>
      </w:r>
      <w:proofErr w:type="spellEnd"/>
      <w:r w:rsidRPr="002120EF">
        <w:rPr>
          <w:rFonts w:ascii="Lato" w:eastAsia="Times New Roman" w:hAnsi="Lato" w:cs="Times New Roman"/>
          <w:i/>
          <w:iCs/>
          <w:color w:val="000000"/>
          <w:spacing w:val="5"/>
          <w:sz w:val="20"/>
          <w:szCs w:val="20"/>
          <w:lang w:eastAsia="it-IT"/>
        </w:rPr>
        <w:t xml:space="preserve">. Milano, 24 marzo </w:t>
      </w:r>
      <w:proofErr w:type="gramStart"/>
      <w:r w:rsidRPr="002120EF">
        <w:rPr>
          <w:rFonts w:ascii="Lato" w:eastAsia="Times New Roman" w:hAnsi="Lato" w:cs="Times New Roman"/>
          <w:i/>
          <w:iCs/>
          <w:color w:val="000000"/>
          <w:spacing w:val="5"/>
          <w:sz w:val="20"/>
          <w:szCs w:val="20"/>
          <w:lang w:eastAsia="it-IT"/>
        </w:rPr>
        <w:t>2022 ,</w:t>
      </w:r>
      <w:proofErr w:type="gramEnd"/>
      <w:r w:rsidRPr="002120EF">
        <w:rPr>
          <w:rFonts w:ascii="Lato" w:eastAsia="Times New Roman" w:hAnsi="Lato" w:cs="Times New Roman"/>
          <w:i/>
          <w:iCs/>
          <w:color w:val="000000"/>
          <w:spacing w:val="5"/>
          <w:sz w:val="20"/>
          <w:szCs w:val="20"/>
          <w:lang w:eastAsia="it-IT"/>
        </w:rPr>
        <w:t> </w:t>
      </w:r>
    </w:p>
    <w:p w14:paraId="0C8CBDBB" w14:textId="77777777" w:rsidR="002120EF" w:rsidRPr="002120EF" w:rsidRDefault="002120EF" w:rsidP="002120EF">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2120EF">
        <w:rPr>
          <w:rFonts w:ascii="Lato" w:eastAsia="Times New Roman" w:hAnsi="Lato" w:cs="Times New Roman"/>
          <w:b/>
          <w:bCs/>
          <w:i/>
          <w:iCs/>
          <w:color w:val="000000"/>
          <w:spacing w:val="5"/>
          <w:sz w:val="20"/>
          <w:szCs w:val="20"/>
          <w:lang w:eastAsia="it-IT"/>
        </w:rPr>
        <w:t>, </w:t>
      </w:r>
      <w:r w:rsidRPr="002120EF">
        <w:rPr>
          <w:rFonts w:ascii="Lato" w:eastAsia="Times New Roman" w:hAnsi="Lato" w:cs="Times New Roman"/>
          <w:i/>
          <w:iCs/>
          <w:color w:val="000000"/>
          <w:spacing w:val="5"/>
          <w:sz w:val="20"/>
          <w:szCs w:val="20"/>
          <w:lang w:eastAsia="it-IT"/>
        </w:rPr>
        <w:t>in Repertorio Foro Italiano 2023, </w:t>
      </w:r>
    </w:p>
    <w:p w14:paraId="0E57676F" w14:textId="77777777" w:rsidR="002120EF" w:rsidRPr="002120EF" w:rsidRDefault="002120EF" w:rsidP="002120EF">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2120EF">
        <w:rPr>
          <w:rFonts w:ascii="Lato" w:eastAsia="Times New Roman" w:hAnsi="Lato" w:cs="Times New Roman"/>
          <w:i/>
          <w:iCs/>
          <w:color w:val="000000"/>
          <w:spacing w:val="5"/>
          <w:sz w:val="20"/>
          <w:szCs w:val="20"/>
          <w:lang w:eastAsia="it-IT"/>
        </w:rPr>
        <w:t>responsabilità contabile e amministrativa</w:t>
      </w:r>
    </w:p>
    <w:p w14:paraId="4A27BF27" w14:textId="77777777" w:rsidR="002120EF" w:rsidRPr="002120EF" w:rsidRDefault="002120EF" w:rsidP="002120EF">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2120EF">
        <w:rPr>
          <w:rFonts w:ascii="Lato" w:eastAsia="Times New Roman" w:hAnsi="Lato" w:cs="Times New Roman"/>
          <w:i/>
          <w:iCs/>
          <w:color w:val="000000"/>
          <w:spacing w:val="5"/>
          <w:sz w:val="20"/>
          <w:szCs w:val="20"/>
          <w:lang w:eastAsia="it-IT"/>
        </w:rPr>
        <w:t>, n.° </w:t>
      </w:r>
    </w:p>
    <w:p w14:paraId="71DD0CFD" w14:textId="77777777" w:rsidR="002120EF" w:rsidRPr="002120EF" w:rsidRDefault="002120EF" w:rsidP="002120EF">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2120EF">
        <w:rPr>
          <w:rFonts w:ascii="Lato" w:eastAsia="Times New Roman" w:hAnsi="Lato" w:cs="Times New Roman"/>
          <w:b/>
          <w:bCs/>
          <w:i/>
          <w:iCs/>
          <w:color w:val="000000"/>
          <w:spacing w:val="5"/>
          <w:sz w:val="20"/>
          <w:szCs w:val="20"/>
          <w:lang w:eastAsia="it-IT"/>
        </w:rPr>
        <w:t>, </w:t>
      </w:r>
      <w:r w:rsidRPr="002120EF">
        <w:rPr>
          <w:rFonts w:ascii="Lato" w:eastAsia="Times New Roman" w:hAnsi="Lato" w:cs="Times New Roman"/>
          <w:i/>
          <w:iCs/>
          <w:color w:val="000000"/>
          <w:spacing w:val="5"/>
          <w:sz w:val="20"/>
          <w:szCs w:val="20"/>
          <w:lang w:eastAsia="it-IT"/>
        </w:rPr>
        <w:t>in </w:t>
      </w:r>
      <w:r w:rsidRPr="002120EF">
        <w:rPr>
          <w:rFonts w:ascii="Lato" w:eastAsia="Times New Roman" w:hAnsi="Lato" w:cs="Times New Roman"/>
          <w:b/>
          <w:bCs/>
          <w:i/>
          <w:iCs/>
          <w:color w:val="000000"/>
          <w:spacing w:val="5"/>
          <w:sz w:val="20"/>
          <w:szCs w:val="20"/>
          <w:lang w:eastAsia="it-IT"/>
        </w:rPr>
        <w:t>Società</w:t>
      </w:r>
      <w:r w:rsidRPr="002120EF">
        <w:rPr>
          <w:rFonts w:ascii="Lato" w:eastAsia="Times New Roman" w:hAnsi="Lato" w:cs="Times New Roman"/>
          <w:i/>
          <w:iCs/>
          <w:color w:val="000000"/>
          <w:spacing w:val="5"/>
          <w:sz w:val="20"/>
          <w:szCs w:val="20"/>
          <w:lang w:eastAsia="it-IT"/>
        </w:rPr>
        <w:t xml:space="preserve"> 2022, 1366, n. </w:t>
      </w:r>
      <w:proofErr w:type="spellStart"/>
      <w:r w:rsidRPr="002120EF">
        <w:rPr>
          <w:rFonts w:ascii="Lato" w:eastAsia="Times New Roman" w:hAnsi="Lato" w:cs="Times New Roman"/>
          <w:i/>
          <w:iCs/>
          <w:color w:val="000000"/>
          <w:spacing w:val="5"/>
          <w:sz w:val="20"/>
          <w:szCs w:val="20"/>
          <w:lang w:eastAsia="it-IT"/>
        </w:rPr>
        <w:t>Fimmanò</w:t>
      </w:r>
      <w:proofErr w:type="spellEnd"/>
    </w:p>
    <w:p w14:paraId="48482D3C" w14:textId="77777777" w:rsidR="002120EF" w:rsidRPr="002120EF" w:rsidRDefault="002120EF" w:rsidP="002120EF">
      <w:pPr>
        <w:shd w:val="clear" w:color="auto" w:fill="FFFFFF"/>
        <w:spacing w:after="0" w:line="240" w:lineRule="auto"/>
        <w:jc w:val="both"/>
        <w:rPr>
          <w:rFonts w:ascii="Lato" w:eastAsia="Times New Roman" w:hAnsi="Lato" w:cs="Times New Roman"/>
          <w:color w:val="000000"/>
          <w:spacing w:val="5"/>
          <w:sz w:val="24"/>
          <w:szCs w:val="24"/>
          <w:lang w:eastAsia="it-IT"/>
        </w:rPr>
      </w:pPr>
      <w:r w:rsidRPr="002120EF">
        <w:rPr>
          <w:rFonts w:ascii="Lato" w:eastAsia="Times New Roman" w:hAnsi="Lato" w:cs="Times New Roman"/>
          <w:color w:val="000000"/>
          <w:spacing w:val="5"/>
          <w:sz w:val="24"/>
          <w:szCs w:val="24"/>
          <w:lang w:eastAsia="it-IT"/>
        </w:rPr>
        <w:t xml:space="preserve">L’insussistenza di una vera e propria alterità soggettiva tra </w:t>
      </w:r>
      <w:proofErr w:type="spellStart"/>
      <w:r w:rsidRPr="002120EF">
        <w:rPr>
          <w:rFonts w:ascii="Lato" w:eastAsia="Times New Roman" w:hAnsi="Lato" w:cs="Times New Roman"/>
          <w:color w:val="000000"/>
          <w:spacing w:val="5"/>
          <w:sz w:val="24"/>
          <w:szCs w:val="24"/>
          <w:lang w:eastAsia="it-IT"/>
        </w:rPr>
        <w:t>societa</w:t>
      </w:r>
      <w:proofErr w:type="spellEnd"/>
      <w:r w:rsidRPr="002120EF">
        <w:rPr>
          <w:rFonts w:ascii="Lato" w:eastAsia="Times New Roman" w:hAnsi="Lato" w:cs="Times New Roman"/>
          <w:color w:val="000000"/>
          <w:spacing w:val="5"/>
          <w:sz w:val="24"/>
          <w:szCs w:val="24"/>
          <w:lang w:eastAsia="it-IT"/>
        </w:rPr>
        <w:t>̀̀̀ partecipata in house </w:t>
      </w:r>
      <w:proofErr w:type="spellStart"/>
      <w:r w:rsidRPr="002120EF">
        <w:rPr>
          <w:rFonts w:ascii="Lato" w:eastAsia="Times New Roman" w:hAnsi="Lato" w:cs="Times New Roman"/>
          <w:color w:val="000000"/>
          <w:spacing w:val="5"/>
          <w:sz w:val="24"/>
          <w:szCs w:val="24"/>
          <w:lang w:eastAsia="it-IT"/>
        </w:rPr>
        <w:t>providing</w:t>
      </w:r>
      <w:proofErr w:type="spellEnd"/>
      <w:r w:rsidRPr="002120EF">
        <w:rPr>
          <w:rFonts w:ascii="Lato" w:eastAsia="Times New Roman" w:hAnsi="Lato" w:cs="Times New Roman"/>
          <w:color w:val="000000"/>
          <w:spacing w:val="5"/>
          <w:sz w:val="24"/>
          <w:szCs w:val="24"/>
          <w:lang w:eastAsia="it-IT"/>
        </w:rPr>
        <w:t xml:space="preserve"> ed ente pubblico controllante non esclude la possibilità di un concorso tra la giurisdizione ordinaria e quella contabile; così come non la esclude la lettera dell’art. 12 </w:t>
      </w:r>
      <w:proofErr w:type="spellStart"/>
      <w:r w:rsidRPr="002120EF">
        <w:rPr>
          <w:rFonts w:ascii="Lato" w:eastAsia="Times New Roman" w:hAnsi="Lato" w:cs="Times New Roman"/>
          <w:color w:val="000000"/>
          <w:spacing w:val="5"/>
          <w:sz w:val="24"/>
          <w:szCs w:val="24"/>
          <w:lang w:eastAsia="it-IT"/>
        </w:rPr>
        <w:t>Tusp</w:t>
      </w:r>
      <w:proofErr w:type="spellEnd"/>
      <w:r w:rsidRPr="002120EF">
        <w:rPr>
          <w:rFonts w:ascii="Lato" w:eastAsia="Times New Roman" w:hAnsi="Lato" w:cs="Times New Roman"/>
          <w:color w:val="000000"/>
          <w:spacing w:val="5"/>
          <w:sz w:val="24"/>
          <w:szCs w:val="24"/>
          <w:lang w:eastAsia="it-IT"/>
        </w:rPr>
        <w:t xml:space="preserve">, che nel far salva per le società in house la giurisdizione contabile, non nega con ciò che l’azione sociale possa esser esperita dalla danneggiata avanti al giudice ordinario e secondo le regole codicistiche; questo </w:t>
      </w:r>
      <w:proofErr w:type="spellStart"/>
      <w:r w:rsidRPr="002120EF">
        <w:rPr>
          <w:rFonts w:ascii="Lato" w:eastAsia="Times New Roman" w:hAnsi="Lato" w:cs="Times New Roman"/>
          <w:color w:val="000000"/>
          <w:spacing w:val="5"/>
          <w:sz w:val="24"/>
          <w:szCs w:val="24"/>
          <w:lang w:eastAsia="it-IT"/>
        </w:rPr>
        <w:t>perchè</w:t>
      </w:r>
      <w:proofErr w:type="spellEnd"/>
      <w:r w:rsidRPr="002120EF">
        <w:rPr>
          <w:rFonts w:ascii="Lato" w:eastAsia="Times New Roman" w:hAnsi="Lato" w:cs="Times New Roman"/>
          <w:color w:val="000000"/>
          <w:spacing w:val="5"/>
          <w:sz w:val="24"/>
          <w:szCs w:val="24"/>
          <w:lang w:eastAsia="it-IT"/>
        </w:rPr>
        <w:t xml:space="preserve"> l’illecito gestorio azionato, ove anche coincidente in termini di condotta ed evento lesivo, può essere prospettato come arrecante sia all’ente pubblico (e quindi al patrimonio dell’ente pubblico) che alla </w:t>
      </w:r>
      <w:proofErr w:type="spellStart"/>
      <w:r w:rsidRPr="002120EF">
        <w:rPr>
          <w:rFonts w:ascii="Lato" w:eastAsia="Times New Roman" w:hAnsi="Lato" w:cs="Times New Roman"/>
          <w:color w:val="000000"/>
          <w:spacing w:val="5"/>
          <w:sz w:val="24"/>
          <w:szCs w:val="24"/>
          <w:lang w:eastAsia="it-IT"/>
        </w:rPr>
        <w:t>societa</w:t>
      </w:r>
      <w:proofErr w:type="spellEnd"/>
      <w:r w:rsidRPr="002120EF">
        <w:rPr>
          <w:rFonts w:ascii="Lato" w:eastAsia="Times New Roman" w:hAnsi="Lato" w:cs="Times New Roman"/>
          <w:color w:val="000000"/>
          <w:spacing w:val="5"/>
          <w:sz w:val="24"/>
          <w:szCs w:val="24"/>
          <w:lang w:eastAsia="it-IT"/>
        </w:rPr>
        <w:t xml:space="preserve">̀ da questo partecipata (id est, al patrimonio sociale) un pregiudizio patrimoniale ed eventualmente reputazionale; consentendo sia al procuratore regionale (avanti alla sezione giurisdizionale competente) che alla </w:t>
      </w:r>
      <w:proofErr w:type="spellStart"/>
      <w:r w:rsidRPr="002120EF">
        <w:rPr>
          <w:rFonts w:ascii="Lato" w:eastAsia="Times New Roman" w:hAnsi="Lato" w:cs="Times New Roman"/>
          <w:color w:val="000000"/>
          <w:spacing w:val="5"/>
          <w:sz w:val="24"/>
          <w:szCs w:val="24"/>
          <w:lang w:eastAsia="it-IT"/>
        </w:rPr>
        <w:t>societa</w:t>
      </w:r>
      <w:proofErr w:type="spellEnd"/>
      <w:r w:rsidRPr="002120EF">
        <w:rPr>
          <w:rFonts w:ascii="Lato" w:eastAsia="Times New Roman" w:hAnsi="Lato" w:cs="Times New Roman"/>
          <w:color w:val="000000"/>
          <w:spacing w:val="5"/>
          <w:sz w:val="24"/>
          <w:szCs w:val="24"/>
          <w:lang w:eastAsia="it-IT"/>
        </w:rPr>
        <w:t>̀ danneggiata (avanti al giudice ordinario) la proposizione, anche per gli stessi fatti, di un giudizio civile e di un giudizio contabile risarcitorio.</w:t>
      </w:r>
    </w:p>
    <w:p w14:paraId="13FC4339" w14:textId="77777777" w:rsidR="002120EF" w:rsidRPr="002120EF" w:rsidRDefault="002120EF" w:rsidP="002120EF">
      <w:pPr>
        <w:shd w:val="clear" w:color="auto" w:fill="FFFFFF"/>
        <w:spacing w:after="0" w:line="240" w:lineRule="auto"/>
        <w:rPr>
          <w:rFonts w:ascii="Lato" w:eastAsia="Times New Roman" w:hAnsi="Lato" w:cs="Times New Roman"/>
          <w:color w:val="000000"/>
          <w:spacing w:val="5"/>
          <w:sz w:val="24"/>
          <w:szCs w:val="24"/>
          <w:lang w:eastAsia="it-IT"/>
        </w:rPr>
      </w:pPr>
    </w:p>
    <w:p w14:paraId="561AF476" w14:textId="77777777" w:rsidR="002120EF" w:rsidRDefault="002120EF"/>
    <w:p w14:paraId="74704624" w14:textId="77777777" w:rsidR="005065E3" w:rsidRPr="005065E3" w:rsidRDefault="005065E3" w:rsidP="005065E3">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proofErr w:type="spellStart"/>
      <w:r w:rsidRPr="005065E3">
        <w:rPr>
          <w:rFonts w:ascii="Lato" w:eastAsia="Times New Roman" w:hAnsi="Lato" w:cs="Times New Roman"/>
          <w:color w:val="3E4249"/>
          <w:spacing w:val="5"/>
          <w:kern w:val="36"/>
          <w:sz w:val="45"/>
          <w:szCs w:val="45"/>
          <w:lang w:eastAsia="it-IT"/>
        </w:rPr>
        <w:t>Trib</w:t>
      </w:r>
      <w:proofErr w:type="spellEnd"/>
      <w:r w:rsidRPr="005065E3">
        <w:rPr>
          <w:rFonts w:ascii="Lato" w:eastAsia="Times New Roman" w:hAnsi="Lato" w:cs="Times New Roman"/>
          <w:color w:val="3E4249"/>
          <w:spacing w:val="5"/>
          <w:kern w:val="36"/>
          <w:sz w:val="45"/>
          <w:szCs w:val="45"/>
          <w:lang w:eastAsia="it-IT"/>
        </w:rPr>
        <w:t xml:space="preserve">. civ. Torino, sez. spec. </w:t>
      </w:r>
      <w:proofErr w:type="spellStart"/>
      <w:r w:rsidRPr="005065E3">
        <w:rPr>
          <w:rFonts w:ascii="Lato" w:eastAsia="Times New Roman" w:hAnsi="Lato" w:cs="Times New Roman"/>
          <w:color w:val="3E4249"/>
          <w:spacing w:val="5"/>
          <w:kern w:val="36"/>
          <w:sz w:val="45"/>
          <w:szCs w:val="45"/>
          <w:lang w:eastAsia="it-IT"/>
        </w:rPr>
        <w:t>impr</w:t>
      </w:r>
      <w:proofErr w:type="spellEnd"/>
      <w:r w:rsidRPr="005065E3">
        <w:rPr>
          <w:rFonts w:ascii="Lato" w:eastAsia="Times New Roman" w:hAnsi="Lato" w:cs="Times New Roman"/>
          <w:color w:val="3E4249"/>
          <w:spacing w:val="5"/>
          <w:kern w:val="36"/>
          <w:sz w:val="45"/>
          <w:szCs w:val="45"/>
          <w:lang w:eastAsia="it-IT"/>
        </w:rPr>
        <w:t xml:space="preserve">., </w:t>
      </w:r>
      <w:proofErr w:type="spellStart"/>
      <w:r w:rsidRPr="005065E3">
        <w:rPr>
          <w:rFonts w:ascii="Lato" w:eastAsia="Times New Roman" w:hAnsi="Lato" w:cs="Times New Roman"/>
          <w:color w:val="3E4249"/>
          <w:spacing w:val="5"/>
          <w:kern w:val="36"/>
          <w:sz w:val="45"/>
          <w:szCs w:val="45"/>
          <w:lang w:eastAsia="it-IT"/>
        </w:rPr>
        <w:t>sent</w:t>
      </w:r>
      <w:proofErr w:type="spellEnd"/>
      <w:r w:rsidRPr="005065E3">
        <w:rPr>
          <w:rFonts w:ascii="Lato" w:eastAsia="Times New Roman" w:hAnsi="Lato" w:cs="Times New Roman"/>
          <w:color w:val="3E4249"/>
          <w:spacing w:val="5"/>
          <w:kern w:val="36"/>
          <w:sz w:val="45"/>
          <w:szCs w:val="45"/>
          <w:lang w:eastAsia="it-IT"/>
        </w:rPr>
        <w:t>., 3 febbraio 2022</w:t>
      </w:r>
    </w:p>
    <w:p w14:paraId="123FC5F2"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r w:rsidRPr="005065E3">
        <w:rPr>
          <w:rFonts w:ascii="Lato" w:eastAsia="Times New Roman" w:hAnsi="Lato" w:cs="Times New Roman"/>
          <w:noProof/>
          <w:color w:val="005797"/>
          <w:spacing w:val="5"/>
          <w:sz w:val="24"/>
          <w:szCs w:val="24"/>
          <w:lang w:eastAsia="it-IT"/>
        </w:rPr>
        <w:drawing>
          <wp:inline distT="0" distB="0" distL="0" distR="0" wp14:anchorId="5F8B62F7" wp14:editId="57BDDA43">
            <wp:extent cx="160655" cy="160655"/>
            <wp:effectExtent l="0" t="0" r="0" b="0"/>
            <wp:docPr id="28" name="Immagine 12">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5065E3">
        <w:rPr>
          <w:rFonts w:ascii="Lato" w:eastAsia="Times New Roman" w:hAnsi="Lato" w:cs="Times New Roman"/>
          <w:color w:val="000000"/>
          <w:spacing w:val="5"/>
          <w:sz w:val="24"/>
          <w:szCs w:val="24"/>
          <w:lang w:eastAsia="it-IT"/>
        </w:rPr>
        <w:t>    </w:t>
      </w:r>
      <w:r w:rsidRPr="005065E3">
        <w:rPr>
          <w:rFonts w:ascii="Lato" w:eastAsia="Times New Roman" w:hAnsi="Lato" w:cs="Times New Roman"/>
          <w:b/>
          <w:bCs/>
          <w:color w:val="000000"/>
          <w:spacing w:val="5"/>
          <w:sz w:val="24"/>
          <w:szCs w:val="24"/>
          <w:shd w:val="clear" w:color="auto" w:fill="FFC602"/>
          <w:lang w:eastAsia="it-IT"/>
        </w:rPr>
        <w:t>IL FORO ITALIANO</w:t>
      </w:r>
      <w:r w:rsidRPr="005065E3">
        <w:rPr>
          <w:rFonts w:ascii="Lato" w:eastAsia="Times New Roman" w:hAnsi="Lato" w:cs="Times New Roman"/>
          <w:color w:val="000000"/>
          <w:spacing w:val="5"/>
          <w:sz w:val="24"/>
          <w:szCs w:val="24"/>
          <w:lang w:eastAsia="it-IT"/>
        </w:rPr>
        <w:t> </w:t>
      </w:r>
    </w:p>
    <w:p w14:paraId="339999ED" w14:textId="77777777" w:rsidR="005065E3" w:rsidRPr="005065E3" w:rsidRDefault="005065E3" w:rsidP="005065E3">
      <w:pPr>
        <w:pBdr>
          <w:top w:val="single" w:sz="6" w:space="0" w:color="auto"/>
          <w:left w:val="single" w:sz="6" w:space="8" w:color="auto"/>
          <w:bottom w:val="single" w:sz="6" w:space="0" w:color="auto"/>
          <w:right w:val="single" w:sz="6" w:space="8" w:color="auto"/>
        </w:pBdr>
        <w:shd w:val="clear" w:color="auto" w:fill="FFFFFF"/>
        <w:spacing w:before="45" w:after="0" w:line="570" w:lineRule="atLeast"/>
        <w:outlineLvl w:val="4"/>
        <w:rPr>
          <w:rFonts w:ascii="Lato" w:eastAsia="Times New Roman" w:hAnsi="Lato" w:cs="Times New Roman"/>
          <w:b/>
          <w:bCs/>
          <w:color w:val="905CB8"/>
          <w:spacing w:val="5"/>
          <w:sz w:val="21"/>
          <w:szCs w:val="21"/>
          <w:lang w:eastAsia="it-IT"/>
        </w:rPr>
      </w:pPr>
      <w:r w:rsidRPr="005065E3">
        <w:rPr>
          <w:rFonts w:ascii="Lato" w:eastAsia="Times New Roman" w:hAnsi="Lato" w:cs="Times New Roman"/>
          <w:b/>
          <w:bCs/>
          <w:color w:val="905CB8"/>
          <w:spacing w:val="5"/>
          <w:sz w:val="21"/>
          <w:szCs w:val="21"/>
          <w:lang w:eastAsia="it-IT"/>
        </w:rPr>
        <w:t>GIURISPRUDENZA • MASSIMA</w:t>
      </w:r>
    </w:p>
    <w:p w14:paraId="26B2D7BD"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p>
    <w:p w14:paraId="360B41CE" w14:textId="77777777" w:rsidR="005065E3" w:rsidRPr="005065E3" w:rsidRDefault="005065E3" w:rsidP="005065E3">
      <w:pPr>
        <w:shd w:val="clear" w:color="auto" w:fill="FFFFFF"/>
        <w:spacing w:after="0" w:line="240" w:lineRule="auto"/>
        <w:rPr>
          <w:rFonts w:ascii="Lato" w:eastAsia="Times New Roman" w:hAnsi="Lato" w:cs="Times New Roman"/>
          <w:i/>
          <w:iCs/>
          <w:color w:val="000000"/>
          <w:spacing w:val="5"/>
          <w:sz w:val="24"/>
          <w:szCs w:val="24"/>
          <w:lang w:eastAsia="it-IT"/>
        </w:rPr>
      </w:pPr>
      <w:hyperlink r:id="rId161" w:history="1">
        <w:r w:rsidRPr="005065E3">
          <w:rPr>
            <w:rFonts w:ascii="Lato" w:eastAsia="Times New Roman" w:hAnsi="Lato" w:cs="Times New Roman"/>
            <w:b/>
            <w:bCs/>
            <w:i/>
            <w:iCs/>
            <w:color w:val="FFFFFF"/>
            <w:spacing w:val="5"/>
            <w:sz w:val="24"/>
            <w:szCs w:val="24"/>
            <w:shd w:val="clear" w:color="auto" w:fill="FFA403"/>
            <w:lang w:eastAsia="it-IT"/>
          </w:rPr>
          <w:t>"Società"</w:t>
        </w:r>
      </w:hyperlink>
    </w:p>
    <w:p w14:paraId="68E85500" w14:textId="77777777" w:rsidR="005065E3" w:rsidRPr="005065E3" w:rsidRDefault="005065E3" w:rsidP="005065E3">
      <w:pPr>
        <w:shd w:val="clear" w:color="auto" w:fill="FFFFFF"/>
        <w:spacing w:before="300" w:after="300" w:line="240" w:lineRule="auto"/>
        <w:rPr>
          <w:rFonts w:ascii="Lato" w:eastAsia="Times New Roman" w:hAnsi="Lato" w:cs="Times New Roman"/>
          <w:color w:val="000000"/>
          <w:spacing w:val="5"/>
          <w:sz w:val="24"/>
          <w:szCs w:val="24"/>
          <w:lang w:eastAsia="it-IT"/>
        </w:rPr>
      </w:pPr>
      <w:r w:rsidRPr="005065E3">
        <w:rPr>
          <w:rFonts w:ascii="Lato" w:eastAsia="Times New Roman" w:hAnsi="Lato" w:cs="Times New Roman"/>
          <w:color w:val="000000"/>
          <w:spacing w:val="5"/>
          <w:sz w:val="24"/>
          <w:szCs w:val="24"/>
          <w:lang w:eastAsia="it-IT"/>
        </w:rPr>
        <w:pict w14:anchorId="427EFA6E">
          <v:rect id="_x0000_i1066" style="width:0;height:0" o:hralign="center" o:hrstd="t" o:hr="t" fillcolor="#a0a0a0" stroked="f"/>
        </w:pict>
      </w:r>
    </w:p>
    <w:p w14:paraId="3411C0AF"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r w:rsidRPr="005065E3">
        <w:rPr>
          <w:rFonts w:ascii="Lato" w:eastAsia="Times New Roman" w:hAnsi="Lato" w:cs="Times New Roman"/>
          <w:color w:val="000000"/>
          <w:spacing w:val="5"/>
          <w:sz w:val="24"/>
          <w:szCs w:val="24"/>
          <w:lang w:eastAsia="it-IT"/>
        </w:rPr>
        <w:br/>
      </w:r>
    </w:p>
    <w:p w14:paraId="2819D1B1"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r w:rsidRPr="005065E3">
        <w:rPr>
          <w:rFonts w:ascii="Lato" w:eastAsia="Times New Roman" w:hAnsi="Lato" w:cs="Times New Roman"/>
          <w:color w:val="000000"/>
          <w:spacing w:val="5"/>
          <w:sz w:val="24"/>
          <w:szCs w:val="24"/>
          <w:lang w:eastAsia="it-IT"/>
        </w:rPr>
        <w:t>Società</w:t>
      </w:r>
    </w:p>
    <w:p w14:paraId="018E3E29" w14:textId="77777777" w:rsidR="005065E3" w:rsidRPr="005065E3" w:rsidRDefault="005065E3" w:rsidP="005065E3">
      <w:pPr>
        <w:shd w:val="clear" w:color="auto" w:fill="FFFFFF"/>
        <w:spacing w:after="0" w:line="240" w:lineRule="auto"/>
        <w:jc w:val="both"/>
        <w:rPr>
          <w:rFonts w:ascii="Lato" w:eastAsia="Times New Roman" w:hAnsi="Lato" w:cs="Times New Roman"/>
          <w:i/>
          <w:iCs/>
          <w:color w:val="000000"/>
          <w:spacing w:val="5"/>
          <w:sz w:val="20"/>
          <w:szCs w:val="20"/>
          <w:lang w:eastAsia="it-IT"/>
        </w:rPr>
      </w:pPr>
      <w:proofErr w:type="spellStart"/>
      <w:r w:rsidRPr="005065E3">
        <w:rPr>
          <w:rFonts w:ascii="Lato" w:eastAsia="Times New Roman" w:hAnsi="Lato" w:cs="Times New Roman"/>
          <w:i/>
          <w:iCs/>
          <w:color w:val="000000"/>
          <w:spacing w:val="5"/>
          <w:sz w:val="20"/>
          <w:szCs w:val="20"/>
          <w:lang w:eastAsia="it-IT"/>
        </w:rPr>
        <w:t>Trib</w:t>
      </w:r>
      <w:proofErr w:type="spellEnd"/>
      <w:r w:rsidRPr="005065E3">
        <w:rPr>
          <w:rFonts w:ascii="Lato" w:eastAsia="Times New Roman" w:hAnsi="Lato" w:cs="Times New Roman"/>
          <w:i/>
          <w:iCs/>
          <w:color w:val="000000"/>
          <w:spacing w:val="5"/>
          <w:sz w:val="20"/>
          <w:szCs w:val="20"/>
          <w:lang w:eastAsia="it-IT"/>
        </w:rPr>
        <w:t xml:space="preserve">. civ., </w:t>
      </w:r>
      <w:proofErr w:type="spellStart"/>
      <w:r w:rsidRPr="005065E3">
        <w:rPr>
          <w:rFonts w:ascii="Lato" w:eastAsia="Times New Roman" w:hAnsi="Lato" w:cs="Times New Roman"/>
          <w:i/>
          <w:iCs/>
          <w:color w:val="000000"/>
          <w:spacing w:val="5"/>
          <w:sz w:val="20"/>
          <w:szCs w:val="20"/>
          <w:lang w:eastAsia="it-IT"/>
        </w:rPr>
        <w:t>sent</w:t>
      </w:r>
      <w:proofErr w:type="spellEnd"/>
      <w:r w:rsidRPr="005065E3">
        <w:rPr>
          <w:rFonts w:ascii="Lato" w:eastAsia="Times New Roman" w:hAnsi="Lato" w:cs="Times New Roman"/>
          <w:i/>
          <w:iCs/>
          <w:color w:val="000000"/>
          <w:spacing w:val="5"/>
          <w:sz w:val="20"/>
          <w:szCs w:val="20"/>
          <w:lang w:eastAsia="it-IT"/>
        </w:rPr>
        <w:t xml:space="preserve">. Torino, spec. </w:t>
      </w:r>
      <w:proofErr w:type="spellStart"/>
      <w:r w:rsidRPr="005065E3">
        <w:rPr>
          <w:rFonts w:ascii="Lato" w:eastAsia="Times New Roman" w:hAnsi="Lato" w:cs="Times New Roman"/>
          <w:i/>
          <w:iCs/>
          <w:color w:val="000000"/>
          <w:spacing w:val="5"/>
          <w:sz w:val="20"/>
          <w:szCs w:val="20"/>
          <w:lang w:eastAsia="it-IT"/>
        </w:rPr>
        <w:t>impr</w:t>
      </w:r>
      <w:proofErr w:type="spellEnd"/>
      <w:r w:rsidRPr="005065E3">
        <w:rPr>
          <w:rFonts w:ascii="Lato" w:eastAsia="Times New Roman" w:hAnsi="Lato" w:cs="Times New Roman"/>
          <w:i/>
          <w:iCs/>
          <w:color w:val="000000"/>
          <w:spacing w:val="5"/>
          <w:sz w:val="20"/>
          <w:szCs w:val="20"/>
          <w:lang w:eastAsia="it-IT"/>
        </w:rPr>
        <w:t>., 3 febbraio 2022</w:t>
      </w:r>
      <w:proofErr w:type="gramStart"/>
      <w:r w:rsidRPr="005065E3">
        <w:rPr>
          <w:rFonts w:ascii="Lato" w:eastAsia="Times New Roman" w:hAnsi="Lato" w:cs="Times New Roman"/>
          <w:i/>
          <w:iCs/>
          <w:color w:val="000000"/>
          <w:spacing w:val="5"/>
          <w:sz w:val="20"/>
          <w:szCs w:val="20"/>
          <w:lang w:eastAsia="it-IT"/>
        </w:rPr>
        <w:t>, ,</w:t>
      </w:r>
      <w:proofErr w:type="gramEnd"/>
      <w:r w:rsidRPr="005065E3">
        <w:rPr>
          <w:rFonts w:ascii="Lato" w:eastAsia="Times New Roman" w:hAnsi="Lato" w:cs="Times New Roman"/>
          <w:i/>
          <w:iCs/>
          <w:color w:val="000000"/>
          <w:spacing w:val="5"/>
          <w:sz w:val="20"/>
          <w:szCs w:val="20"/>
          <w:lang w:eastAsia="it-IT"/>
        </w:rPr>
        <w:t xml:space="preserve"> ed est. Ratti Fall. </w:t>
      </w:r>
      <w:proofErr w:type="spellStart"/>
      <w:r w:rsidRPr="005065E3">
        <w:rPr>
          <w:rFonts w:ascii="Lato" w:eastAsia="Times New Roman" w:hAnsi="Lato" w:cs="Times New Roman"/>
          <w:i/>
          <w:iCs/>
          <w:color w:val="000000"/>
          <w:spacing w:val="5"/>
          <w:sz w:val="20"/>
          <w:szCs w:val="20"/>
          <w:lang w:eastAsia="it-IT"/>
        </w:rPr>
        <w:t>soc</w:t>
      </w:r>
      <w:proofErr w:type="spellEnd"/>
      <w:r w:rsidRPr="005065E3">
        <w:rPr>
          <w:rFonts w:ascii="Lato" w:eastAsia="Times New Roman" w:hAnsi="Lato" w:cs="Times New Roman"/>
          <w:i/>
          <w:iCs/>
          <w:color w:val="000000"/>
          <w:spacing w:val="5"/>
          <w:sz w:val="20"/>
          <w:szCs w:val="20"/>
          <w:lang w:eastAsia="it-IT"/>
        </w:rPr>
        <w:t xml:space="preserve">. Azienda trasporti e mobilità (Avv. Moro Visconti) c. Comune di Alessandria (Avv. </w:t>
      </w:r>
      <w:proofErr w:type="spellStart"/>
      <w:r w:rsidRPr="005065E3">
        <w:rPr>
          <w:rFonts w:ascii="Lato" w:eastAsia="Times New Roman" w:hAnsi="Lato" w:cs="Times New Roman"/>
          <w:i/>
          <w:iCs/>
          <w:color w:val="000000"/>
          <w:spacing w:val="5"/>
          <w:sz w:val="20"/>
          <w:szCs w:val="20"/>
          <w:lang w:eastAsia="it-IT"/>
        </w:rPr>
        <w:t>Zoppolato</w:t>
      </w:r>
      <w:proofErr w:type="spellEnd"/>
      <w:r w:rsidRPr="005065E3">
        <w:rPr>
          <w:rFonts w:ascii="Lato" w:eastAsia="Times New Roman" w:hAnsi="Lato" w:cs="Times New Roman"/>
          <w:i/>
          <w:iCs/>
          <w:color w:val="000000"/>
          <w:spacing w:val="5"/>
          <w:sz w:val="20"/>
          <w:szCs w:val="20"/>
          <w:lang w:eastAsia="it-IT"/>
        </w:rPr>
        <w:t>)</w:t>
      </w:r>
    </w:p>
    <w:p w14:paraId="48F3499D" w14:textId="77777777" w:rsidR="005065E3" w:rsidRPr="005065E3" w:rsidRDefault="005065E3" w:rsidP="005065E3">
      <w:pPr>
        <w:shd w:val="clear" w:color="auto" w:fill="FFFFFF"/>
        <w:spacing w:after="0" w:line="240" w:lineRule="auto"/>
        <w:rPr>
          <w:rFonts w:ascii="Lato" w:eastAsia="Times New Roman" w:hAnsi="Lato" w:cs="Times New Roman"/>
          <w:b/>
          <w:bCs/>
          <w:color w:val="000000"/>
          <w:spacing w:val="5"/>
          <w:sz w:val="24"/>
          <w:szCs w:val="24"/>
          <w:lang w:eastAsia="it-IT"/>
        </w:rPr>
      </w:pPr>
      <w:r w:rsidRPr="005065E3">
        <w:rPr>
          <w:rFonts w:ascii="Lato" w:eastAsia="Times New Roman" w:hAnsi="Lato" w:cs="Times New Roman"/>
          <w:b/>
          <w:bCs/>
          <w:color w:val="000000"/>
          <w:spacing w:val="5"/>
          <w:sz w:val="24"/>
          <w:szCs w:val="24"/>
          <w:lang w:eastAsia="it-IT"/>
        </w:rPr>
        <w:t>Società — Società di capitali — Direzione e coordinamento — responsabilità nei confronti dei creditori della società eterodiretta — Fattispecie</w:t>
      </w:r>
    </w:p>
    <w:p w14:paraId="385BF802" w14:textId="77777777" w:rsidR="005065E3" w:rsidRPr="005065E3" w:rsidRDefault="005065E3" w:rsidP="005065E3">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5065E3">
        <w:rPr>
          <w:rFonts w:ascii="Lato" w:eastAsia="Times New Roman" w:hAnsi="Lato" w:cs="Times New Roman"/>
          <w:color w:val="000000"/>
          <w:spacing w:val="5"/>
          <w:sz w:val="24"/>
          <w:szCs w:val="24"/>
          <w:lang w:eastAsia="it-IT"/>
        </w:rPr>
        <w:t xml:space="preserve">Il comune che, socio di maggioranza assoluta di una società per azioni affidataria del servizio di trasporto pubblico locale e di servizi collegati al territorio (sosta a pagamento, trasporto di studenti e disabili, bike sharing, manutenzione della segnaletica stradale), sistematicamente ne condiziona le scelte imprenditoriali inducendola ad operare al di fuori delle logiche di mercato (fra l'altro: </w:t>
      </w:r>
      <w:r w:rsidRPr="005065E3">
        <w:rPr>
          <w:rFonts w:ascii="Lato" w:eastAsia="Times New Roman" w:hAnsi="Lato" w:cs="Times New Roman"/>
          <w:b/>
          <w:bCs/>
          <w:color w:val="000000"/>
          <w:spacing w:val="5"/>
          <w:sz w:val="24"/>
          <w:szCs w:val="24"/>
          <w:lang w:eastAsia="it-IT"/>
        </w:rPr>
        <w:t xml:space="preserve">con la sottoscrizione di contratti di servizio con il comune a condizioni economicamente non sostenibili e senza meccanismi di salvaguardia nei riguardi del comune stesso; con l'accettazione di una riduzione dei corrispettivi dei contratti di servizio ad essa affidati senza corrispondente diminuzione dei servizi da prestare; con l'indicazione di come avrebbero dovuto essere utilizzate le somme rivenienti dall'incasso di crediti verso il comune; con l'assenza di iniziative </w:t>
      </w:r>
      <w:r w:rsidRPr="005065E3">
        <w:rPr>
          <w:rFonts w:ascii="Lato" w:eastAsia="Times New Roman" w:hAnsi="Lato" w:cs="Times New Roman"/>
          <w:b/>
          <w:bCs/>
          <w:color w:val="000000"/>
          <w:spacing w:val="5"/>
          <w:sz w:val="24"/>
          <w:szCs w:val="24"/>
          <w:lang w:eastAsia="it-IT"/>
        </w:rPr>
        <w:lastRenderedPageBreak/>
        <w:t>giudiziali per il recupero dei crediti verso il comune), risponde, per i danni causati all'integrità del suo patrimonio, nei confronti dei creditori della società per abuso di attività di direzione e coordinamento.</w:t>
      </w:r>
    </w:p>
    <w:p w14:paraId="3B464037"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p>
    <w:p w14:paraId="111A4F81" w14:textId="77777777" w:rsidR="005065E3" w:rsidRPr="005065E3" w:rsidRDefault="005065E3" w:rsidP="005065E3">
      <w:pPr>
        <w:shd w:val="clear" w:color="auto" w:fill="FFFFFF"/>
        <w:spacing w:after="0" w:line="240" w:lineRule="auto"/>
        <w:rPr>
          <w:rFonts w:ascii="Lato" w:eastAsia="Times New Roman" w:hAnsi="Lato" w:cs="Times New Roman"/>
          <w:b/>
          <w:bCs/>
          <w:color w:val="000000"/>
          <w:spacing w:val="5"/>
          <w:sz w:val="24"/>
          <w:szCs w:val="24"/>
          <w:lang w:eastAsia="it-IT"/>
        </w:rPr>
      </w:pPr>
      <w:r w:rsidRPr="005065E3">
        <w:rPr>
          <w:rFonts w:ascii="Lato" w:eastAsia="Times New Roman" w:hAnsi="Lato" w:cs="Times New Roman"/>
          <w:b/>
          <w:bCs/>
          <w:color w:val="000000"/>
          <w:spacing w:val="5"/>
          <w:sz w:val="24"/>
          <w:szCs w:val="24"/>
          <w:lang w:eastAsia="it-IT"/>
        </w:rPr>
        <w:t>Riferimenti normativi:</w:t>
      </w:r>
    </w:p>
    <w:p w14:paraId="3968D351"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hyperlink r:id="rId162" w:tgtFrame="_blank" w:history="1">
        <w:r w:rsidRPr="005065E3">
          <w:rPr>
            <w:rFonts w:ascii="Lato" w:eastAsia="Times New Roman" w:hAnsi="Lato" w:cs="Times New Roman"/>
            <w:b/>
            <w:bCs/>
            <w:color w:val="FFA403"/>
            <w:spacing w:val="5"/>
            <w:sz w:val="24"/>
            <w:szCs w:val="24"/>
            <w:lang w:eastAsia="it-IT"/>
          </w:rPr>
          <w:t>Art. 2497 C.C.</w:t>
        </w:r>
      </w:hyperlink>
    </w:p>
    <w:p w14:paraId="057FA0E6"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p>
    <w:p w14:paraId="0C4C3C33" w14:textId="77777777" w:rsidR="005065E3" w:rsidRPr="005065E3" w:rsidRDefault="005065E3" w:rsidP="005065E3">
      <w:pPr>
        <w:shd w:val="clear" w:color="auto" w:fill="FFFFFF"/>
        <w:spacing w:after="0" w:line="240" w:lineRule="auto"/>
        <w:rPr>
          <w:rFonts w:ascii="Lato" w:eastAsia="Times New Roman" w:hAnsi="Lato" w:cs="Times New Roman"/>
          <w:b/>
          <w:bCs/>
          <w:color w:val="000000"/>
          <w:spacing w:val="5"/>
          <w:sz w:val="24"/>
          <w:szCs w:val="24"/>
          <w:lang w:eastAsia="it-IT"/>
        </w:rPr>
      </w:pPr>
      <w:r w:rsidRPr="005065E3">
        <w:rPr>
          <w:rFonts w:ascii="Lato" w:eastAsia="Times New Roman" w:hAnsi="Lato" w:cs="Times New Roman"/>
          <w:b/>
          <w:bCs/>
          <w:color w:val="000000"/>
          <w:spacing w:val="5"/>
          <w:sz w:val="24"/>
          <w:szCs w:val="24"/>
          <w:lang w:eastAsia="it-IT"/>
        </w:rPr>
        <w:t>Note:</w:t>
      </w:r>
    </w:p>
    <w:p w14:paraId="63AE1D2F" w14:textId="77777777" w:rsidR="005065E3" w:rsidRPr="005065E3" w:rsidRDefault="005065E3" w:rsidP="005065E3">
      <w:pPr>
        <w:shd w:val="clear" w:color="auto" w:fill="FFFFFF"/>
        <w:spacing w:after="0" w:line="360" w:lineRule="atLeast"/>
        <w:rPr>
          <w:rFonts w:ascii="NRGlexFont" w:eastAsia="Times New Roman" w:hAnsi="NRGlexFont" w:cs="Times New Roman"/>
          <w:color w:val="000000"/>
          <w:spacing w:val="5"/>
          <w:sz w:val="24"/>
          <w:szCs w:val="24"/>
          <w:lang w:eastAsia="it-IT"/>
        </w:rPr>
      </w:pPr>
      <w:r w:rsidRPr="005065E3">
        <w:rPr>
          <w:rFonts w:ascii="NRGlexFont" w:eastAsia="Times New Roman" w:hAnsi="NRGlexFont" w:cs="Times New Roman"/>
          <w:color w:val="000000"/>
          <w:spacing w:val="5"/>
          <w:sz w:val="24"/>
          <w:szCs w:val="24"/>
          <w:lang w:eastAsia="it-IT"/>
        </w:rPr>
        <w:t>(</w:t>
      </w:r>
      <w:hyperlink r:id="rId163" w:anchor="8412ca62b1b4cceafe92ada2ab981f3a-ndr1_1" w:history="1">
        <w:r w:rsidRPr="005065E3">
          <w:rPr>
            <w:rFonts w:ascii="NRGlexFont" w:eastAsia="Times New Roman" w:hAnsi="NRGlexFont" w:cs="Times New Roman"/>
            <w:b/>
            <w:bCs/>
            <w:color w:val="FFA403"/>
            <w:spacing w:val="5"/>
            <w:sz w:val="16"/>
            <w:szCs w:val="16"/>
            <w:vertAlign w:val="superscript"/>
            <w:lang w:eastAsia="it-IT"/>
          </w:rPr>
          <w:t>1</w:t>
        </w:r>
      </w:hyperlink>
      <w:r w:rsidRPr="005065E3">
        <w:rPr>
          <w:rFonts w:ascii="NRGlexFont" w:eastAsia="Times New Roman" w:hAnsi="NRGlexFont" w:cs="Times New Roman"/>
          <w:color w:val="000000"/>
          <w:spacing w:val="5"/>
          <w:sz w:val="24"/>
          <w:szCs w:val="24"/>
          <w:lang w:eastAsia="it-IT"/>
        </w:rPr>
        <w:t>)</w:t>
      </w:r>
    </w:p>
    <w:p w14:paraId="29A277CE" w14:textId="77777777" w:rsidR="005065E3" w:rsidRPr="005065E3" w:rsidRDefault="005065E3" w:rsidP="005065E3">
      <w:pPr>
        <w:shd w:val="clear" w:color="auto" w:fill="FFFFFF"/>
        <w:spacing w:after="0" w:line="240" w:lineRule="auto"/>
        <w:rPr>
          <w:rFonts w:ascii="Lato" w:eastAsia="Times New Roman" w:hAnsi="Lato" w:cs="Times New Roman"/>
          <w:color w:val="000000"/>
          <w:spacing w:val="5"/>
          <w:sz w:val="24"/>
          <w:szCs w:val="24"/>
          <w:lang w:eastAsia="it-IT"/>
        </w:rPr>
      </w:pPr>
      <w:r w:rsidRPr="005065E3">
        <w:rPr>
          <w:rFonts w:ascii="Lato" w:eastAsia="Times New Roman" w:hAnsi="Lato" w:cs="Times New Roman"/>
          <w:color w:val="000000"/>
          <w:spacing w:val="5"/>
          <w:sz w:val="24"/>
          <w:szCs w:val="24"/>
          <w:lang w:eastAsia="it-IT"/>
        </w:rPr>
        <w:t> </w:t>
      </w:r>
    </w:p>
    <w:p w14:paraId="58DAEA9C" w14:textId="77777777" w:rsidR="005065E3" w:rsidRPr="005065E3" w:rsidRDefault="005065E3" w:rsidP="005065E3">
      <w:pPr>
        <w:shd w:val="clear" w:color="auto" w:fill="FFFFFF"/>
        <w:spacing w:after="0" w:line="360" w:lineRule="atLeast"/>
        <w:jc w:val="both"/>
        <w:rPr>
          <w:rFonts w:ascii="NRGlexFont" w:eastAsia="Times New Roman" w:hAnsi="NRGlexFont" w:cs="Times New Roman"/>
          <w:color w:val="000000"/>
          <w:spacing w:val="5"/>
          <w:sz w:val="24"/>
          <w:szCs w:val="24"/>
          <w:lang w:eastAsia="it-IT"/>
        </w:rPr>
      </w:pPr>
      <w:r w:rsidRPr="005065E3">
        <w:rPr>
          <w:rFonts w:ascii="NRGlexFont" w:eastAsia="Times New Roman" w:hAnsi="NRGlexFont" w:cs="Times New Roman"/>
          <w:i/>
          <w:iCs/>
          <w:color w:val="000000"/>
          <w:spacing w:val="5"/>
          <w:sz w:val="24"/>
          <w:szCs w:val="24"/>
          <w:lang w:eastAsia="it-IT"/>
        </w:rPr>
        <w:t>Il Tribunale di Torino è chiamato a leggere le regole c.d. patologiche sull'attività di direzione e coordinamento affidate (non pare inutile rammentare: dalla novella societaria del 2003) agli art. 2497 ss. c.c., sulle quali v., </w:t>
      </w:r>
      <w:r w:rsidRPr="005065E3">
        <w:rPr>
          <w:rFonts w:ascii="NRGlexFont" w:eastAsia="Times New Roman" w:hAnsi="NRGlexFont" w:cs="Times New Roman"/>
          <w:color w:val="000000"/>
          <w:spacing w:val="5"/>
          <w:sz w:val="24"/>
          <w:szCs w:val="24"/>
          <w:lang w:eastAsia="it-IT"/>
        </w:rPr>
        <w:t xml:space="preserve">ex </w:t>
      </w:r>
      <w:proofErr w:type="spellStart"/>
      <w:r w:rsidRPr="005065E3">
        <w:rPr>
          <w:rFonts w:ascii="NRGlexFont" w:eastAsia="Times New Roman" w:hAnsi="NRGlexFont" w:cs="Times New Roman"/>
          <w:color w:val="000000"/>
          <w:spacing w:val="5"/>
          <w:sz w:val="24"/>
          <w:szCs w:val="24"/>
          <w:lang w:eastAsia="it-IT"/>
        </w:rPr>
        <w:t>novis</w:t>
      </w:r>
      <w:proofErr w:type="spellEnd"/>
      <w:r w:rsidRPr="005065E3">
        <w:rPr>
          <w:rFonts w:ascii="NRGlexFont" w:eastAsia="Times New Roman" w:hAnsi="NRGlexFont" w:cs="Times New Roman"/>
          <w:i/>
          <w:iCs/>
          <w:color w:val="000000"/>
          <w:spacing w:val="5"/>
          <w:sz w:val="24"/>
          <w:szCs w:val="24"/>
          <w:lang w:eastAsia="it-IT"/>
        </w:rPr>
        <w:t>, A. Daccò, </w:t>
      </w:r>
      <w:r w:rsidRPr="005065E3">
        <w:rPr>
          <w:rFonts w:ascii="NRGlexFont" w:eastAsia="Times New Roman" w:hAnsi="NRGlexFont" w:cs="Times New Roman"/>
          <w:color w:val="000000"/>
          <w:spacing w:val="5"/>
          <w:sz w:val="24"/>
          <w:szCs w:val="24"/>
          <w:lang w:eastAsia="it-IT"/>
        </w:rPr>
        <w:t>I gruppi di società</w:t>
      </w:r>
      <w:r w:rsidRPr="005065E3">
        <w:rPr>
          <w:rFonts w:ascii="NRGlexFont" w:eastAsia="Times New Roman" w:hAnsi="NRGlexFont" w:cs="Times New Roman"/>
          <w:i/>
          <w:iCs/>
          <w:color w:val="000000"/>
          <w:spacing w:val="5"/>
          <w:sz w:val="24"/>
          <w:szCs w:val="24"/>
          <w:lang w:eastAsia="it-IT"/>
        </w:rPr>
        <w:t>, in </w:t>
      </w:r>
      <w:r w:rsidRPr="005065E3">
        <w:rPr>
          <w:rFonts w:ascii="NRGlexFont" w:eastAsia="Times New Roman" w:hAnsi="NRGlexFont" w:cs="Times New Roman"/>
          <w:color w:val="000000"/>
          <w:spacing w:val="5"/>
          <w:sz w:val="24"/>
          <w:szCs w:val="24"/>
          <w:lang w:eastAsia="it-IT"/>
        </w:rPr>
        <w:t>Diritto commerciale</w:t>
      </w:r>
      <w:r w:rsidRPr="005065E3">
        <w:rPr>
          <w:rFonts w:ascii="NRGlexFont" w:eastAsia="Times New Roman" w:hAnsi="NRGlexFont" w:cs="Times New Roman"/>
          <w:i/>
          <w:iCs/>
          <w:color w:val="000000"/>
          <w:spacing w:val="5"/>
          <w:sz w:val="24"/>
          <w:szCs w:val="24"/>
          <w:lang w:eastAsia="it-IT"/>
        </w:rPr>
        <w:t>, III. </w:t>
      </w:r>
      <w:r w:rsidRPr="005065E3">
        <w:rPr>
          <w:rFonts w:ascii="NRGlexFont" w:eastAsia="Times New Roman" w:hAnsi="NRGlexFont" w:cs="Times New Roman"/>
          <w:color w:val="000000"/>
          <w:spacing w:val="5"/>
          <w:sz w:val="24"/>
          <w:szCs w:val="24"/>
          <w:lang w:eastAsia="it-IT"/>
        </w:rPr>
        <w:t>Diritto delle società</w:t>
      </w:r>
      <w:r w:rsidRPr="005065E3">
        <w:rPr>
          <w:rFonts w:ascii="NRGlexFont" w:eastAsia="Times New Roman" w:hAnsi="NRGlexFont" w:cs="Times New Roman"/>
          <w:i/>
          <w:iCs/>
          <w:color w:val="000000"/>
          <w:spacing w:val="5"/>
          <w:sz w:val="24"/>
          <w:szCs w:val="24"/>
          <w:lang w:eastAsia="it-IT"/>
        </w:rPr>
        <w:t xml:space="preserve"> a cura di M. </w:t>
      </w:r>
      <w:proofErr w:type="spellStart"/>
      <w:r w:rsidRPr="005065E3">
        <w:rPr>
          <w:rFonts w:ascii="NRGlexFont" w:eastAsia="Times New Roman" w:hAnsi="NRGlexFont" w:cs="Times New Roman"/>
          <w:i/>
          <w:iCs/>
          <w:color w:val="000000"/>
          <w:spacing w:val="5"/>
          <w:sz w:val="24"/>
          <w:szCs w:val="24"/>
          <w:lang w:eastAsia="it-IT"/>
        </w:rPr>
        <w:t>Cian</w:t>
      </w:r>
      <w:proofErr w:type="spellEnd"/>
      <w:r w:rsidRPr="005065E3">
        <w:rPr>
          <w:rFonts w:ascii="NRGlexFont" w:eastAsia="Times New Roman" w:hAnsi="NRGlexFont" w:cs="Times New Roman"/>
          <w:i/>
          <w:iCs/>
          <w:color w:val="000000"/>
          <w:spacing w:val="5"/>
          <w:sz w:val="24"/>
          <w:szCs w:val="24"/>
          <w:lang w:eastAsia="it-IT"/>
        </w:rPr>
        <w:t>, Torino, 2020, 802 ss.</w:t>
      </w:r>
    </w:p>
    <w:p w14:paraId="6167352B" w14:textId="77777777" w:rsidR="005065E3" w:rsidRPr="005065E3" w:rsidRDefault="005065E3" w:rsidP="005065E3">
      <w:pPr>
        <w:shd w:val="clear" w:color="auto" w:fill="FFFFFF"/>
        <w:spacing w:after="0" w:line="360" w:lineRule="atLeast"/>
        <w:jc w:val="both"/>
        <w:rPr>
          <w:rFonts w:ascii="NRGlexFont" w:eastAsia="Times New Roman" w:hAnsi="NRGlexFont" w:cs="Times New Roman"/>
          <w:color w:val="000000"/>
          <w:spacing w:val="5"/>
          <w:sz w:val="24"/>
          <w:szCs w:val="24"/>
          <w:lang w:eastAsia="it-IT"/>
        </w:rPr>
      </w:pPr>
      <w:r w:rsidRPr="005065E3">
        <w:rPr>
          <w:rFonts w:ascii="NRGlexFont" w:eastAsia="Times New Roman" w:hAnsi="NRGlexFont" w:cs="Times New Roman"/>
          <w:i/>
          <w:iCs/>
          <w:color w:val="000000"/>
          <w:spacing w:val="5"/>
          <w:sz w:val="24"/>
          <w:szCs w:val="24"/>
          <w:lang w:eastAsia="it-IT"/>
        </w:rPr>
        <w:t xml:space="preserve">La fattispecie è affatto particolare: nulla, dunque, in termini, sebbene il caso riecheggi quello (anch’esso riguardava una società che, partecipata da un ente pubblico territoriale, una provincia, era affidataria del servizio di trasporto pubblico) recentemente analizzato da </w:t>
      </w:r>
      <w:proofErr w:type="spellStart"/>
      <w:r w:rsidRPr="005065E3">
        <w:rPr>
          <w:rFonts w:ascii="NRGlexFont" w:eastAsia="Times New Roman" w:hAnsi="NRGlexFont" w:cs="Times New Roman"/>
          <w:i/>
          <w:iCs/>
          <w:color w:val="000000"/>
          <w:spacing w:val="5"/>
          <w:sz w:val="24"/>
          <w:szCs w:val="24"/>
          <w:lang w:eastAsia="it-IT"/>
        </w:rPr>
        <w:t>Trib</w:t>
      </w:r>
      <w:proofErr w:type="spellEnd"/>
      <w:r w:rsidRPr="005065E3">
        <w:rPr>
          <w:rFonts w:ascii="NRGlexFont" w:eastAsia="Times New Roman" w:hAnsi="NRGlexFont" w:cs="Times New Roman"/>
          <w:i/>
          <w:iCs/>
          <w:color w:val="000000"/>
          <w:spacing w:val="5"/>
          <w:sz w:val="24"/>
          <w:szCs w:val="24"/>
          <w:lang w:eastAsia="it-IT"/>
        </w:rPr>
        <w:t>. Napoli 7 novembre 2019, </w:t>
      </w:r>
      <w:r w:rsidRPr="005065E3">
        <w:rPr>
          <w:rFonts w:ascii="NRGlexFont" w:eastAsia="Times New Roman" w:hAnsi="NRGlexFont" w:cs="Times New Roman"/>
          <w:color w:val="000000"/>
          <w:spacing w:val="5"/>
          <w:sz w:val="24"/>
          <w:szCs w:val="24"/>
          <w:lang w:eastAsia="it-IT"/>
        </w:rPr>
        <w:t xml:space="preserve">Foro </w:t>
      </w:r>
      <w:proofErr w:type="spellStart"/>
      <w:r w:rsidRPr="005065E3">
        <w:rPr>
          <w:rFonts w:ascii="NRGlexFont" w:eastAsia="Times New Roman" w:hAnsi="NRGlexFont" w:cs="Times New Roman"/>
          <w:color w:val="000000"/>
          <w:spacing w:val="5"/>
          <w:sz w:val="24"/>
          <w:szCs w:val="24"/>
          <w:lang w:eastAsia="it-IT"/>
        </w:rPr>
        <w:t>it</w:t>
      </w:r>
      <w:proofErr w:type="spellEnd"/>
      <w:r w:rsidRPr="005065E3">
        <w:rPr>
          <w:rFonts w:ascii="NRGlexFont" w:eastAsia="Times New Roman" w:hAnsi="NRGlexFont" w:cs="Times New Roman"/>
          <w:i/>
          <w:iCs/>
          <w:color w:val="000000"/>
          <w:spacing w:val="5"/>
          <w:sz w:val="24"/>
          <w:szCs w:val="24"/>
          <w:lang w:eastAsia="it-IT"/>
        </w:rPr>
        <w:t>., Rep. 2020, voce </w:t>
      </w:r>
      <w:r w:rsidRPr="005065E3">
        <w:rPr>
          <w:rFonts w:ascii="NRGlexFont" w:eastAsia="Times New Roman" w:hAnsi="NRGlexFont" w:cs="Times New Roman"/>
          <w:color w:val="000000"/>
          <w:spacing w:val="5"/>
          <w:sz w:val="24"/>
          <w:szCs w:val="24"/>
          <w:lang w:eastAsia="it-IT"/>
        </w:rPr>
        <w:t>Società</w:t>
      </w:r>
      <w:r w:rsidRPr="005065E3">
        <w:rPr>
          <w:rFonts w:ascii="NRGlexFont" w:eastAsia="Times New Roman" w:hAnsi="NRGlexFont" w:cs="Times New Roman"/>
          <w:i/>
          <w:iCs/>
          <w:color w:val="000000"/>
          <w:spacing w:val="5"/>
          <w:sz w:val="24"/>
          <w:szCs w:val="24"/>
          <w:lang w:eastAsia="it-IT"/>
        </w:rPr>
        <w:t>, n. 772, e </w:t>
      </w:r>
      <w:r w:rsidRPr="005065E3">
        <w:rPr>
          <w:rFonts w:ascii="NRGlexFont" w:eastAsia="Times New Roman" w:hAnsi="NRGlexFont" w:cs="Times New Roman"/>
          <w:color w:val="000000"/>
          <w:spacing w:val="5"/>
          <w:sz w:val="24"/>
          <w:szCs w:val="24"/>
          <w:lang w:eastAsia="it-IT"/>
        </w:rPr>
        <w:t>Società</w:t>
      </w:r>
      <w:r w:rsidRPr="005065E3">
        <w:rPr>
          <w:rFonts w:ascii="NRGlexFont" w:eastAsia="Times New Roman" w:hAnsi="NRGlexFont" w:cs="Times New Roman"/>
          <w:i/>
          <w:iCs/>
          <w:color w:val="000000"/>
          <w:spacing w:val="5"/>
          <w:sz w:val="24"/>
          <w:szCs w:val="24"/>
          <w:lang w:eastAsia="it-IT"/>
        </w:rPr>
        <w:t xml:space="preserve">, 2020, 344, con nota di F. </w:t>
      </w:r>
      <w:proofErr w:type="spellStart"/>
      <w:r w:rsidRPr="005065E3">
        <w:rPr>
          <w:rFonts w:ascii="NRGlexFont" w:eastAsia="Times New Roman" w:hAnsi="NRGlexFont" w:cs="Times New Roman"/>
          <w:i/>
          <w:iCs/>
          <w:color w:val="000000"/>
          <w:spacing w:val="5"/>
          <w:sz w:val="24"/>
          <w:szCs w:val="24"/>
          <w:lang w:eastAsia="it-IT"/>
        </w:rPr>
        <w:t>Fimmanò</w:t>
      </w:r>
      <w:proofErr w:type="spell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Ente pubblico-holder e responsabilità per abuso di eterodirezione</w:t>
      </w:r>
      <w:r w:rsidRPr="005065E3">
        <w:rPr>
          <w:rFonts w:ascii="NRGlexFont" w:eastAsia="Times New Roman" w:hAnsi="NRGlexFont" w:cs="Times New Roman"/>
          <w:i/>
          <w:iCs/>
          <w:color w:val="000000"/>
          <w:spacing w:val="5"/>
          <w:sz w:val="24"/>
          <w:szCs w:val="24"/>
          <w:lang w:eastAsia="it-IT"/>
        </w:rPr>
        <w:t>. Vedi anche, con riguardo a un caso di società avente come unico socio un comune la cui attività consisteva nella gestione del ciclo integrato dei rifiuti solidi urbani e nell'esecuzione di lavori stradali, Cass. 13 settembre 2018, n. 22406, </w:t>
      </w:r>
      <w:r w:rsidRPr="005065E3">
        <w:rPr>
          <w:rFonts w:ascii="NRGlexFont" w:eastAsia="Times New Roman" w:hAnsi="NRGlexFont" w:cs="Times New Roman"/>
          <w:color w:val="000000"/>
          <w:spacing w:val="5"/>
          <w:sz w:val="24"/>
          <w:szCs w:val="24"/>
          <w:lang w:eastAsia="it-IT"/>
        </w:rPr>
        <w:t xml:space="preserve">Foro </w:t>
      </w:r>
      <w:proofErr w:type="spellStart"/>
      <w:r w:rsidRPr="005065E3">
        <w:rPr>
          <w:rFonts w:ascii="NRGlexFont" w:eastAsia="Times New Roman" w:hAnsi="NRGlexFont" w:cs="Times New Roman"/>
          <w:color w:val="000000"/>
          <w:spacing w:val="5"/>
          <w:sz w:val="24"/>
          <w:szCs w:val="24"/>
          <w:lang w:eastAsia="it-IT"/>
        </w:rPr>
        <w:t>it</w:t>
      </w:r>
      <w:proofErr w:type="spellEnd"/>
      <w:r w:rsidRPr="005065E3">
        <w:rPr>
          <w:rFonts w:ascii="NRGlexFont" w:eastAsia="Times New Roman" w:hAnsi="NRGlexFont" w:cs="Times New Roman"/>
          <w:i/>
          <w:iCs/>
          <w:color w:val="000000"/>
          <w:spacing w:val="5"/>
          <w:sz w:val="24"/>
          <w:szCs w:val="24"/>
          <w:lang w:eastAsia="it-IT"/>
        </w:rPr>
        <w:t>., 2019, I, 946, con osservazioni di G. D'Auria (nonché </w:t>
      </w:r>
      <w:r w:rsidRPr="005065E3">
        <w:rPr>
          <w:rFonts w:ascii="NRGlexFont" w:eastAsia="Times New Roman" w:hAnsi="NRGlexFont" w:cs="Times New Roman"/>
          <w:color w:val="000000"/>
          <w:spacing w:val="5"/>
          <w:sz w:val="24"/>
          <w:szCs w:val="24"/>
          <w:lang w:eastAsia="it-IT"/>
        </w:rPr>
        <w:t>Società</w:t>
      </w:r>
      <w:r w:rsidRPr="005065E3">
        <w:rPr>
          <w:rFonts w:ascii="NRGlexFont" w:eastAsia="Times New Roman" w:hAnsi="NRGlexFont" w:cs="Times New Roman"/>
          <w:i/>
          <w:iCs/>
          <w:color w:val="000000"/>
          <w:spacing w:val="5"/>
          <w:sz w:val="24"/>
          <w:szCs w:val="24"/>
          <w:lang w:eastAsia="it-IT"/>
        </w:rPr>
        <w:t xml:space="preserve">, 2019, 67, con nota di F. </w:t>
      </w:r>
      <w:proofErr w:type="spellStart"/>
      <w:r w:rsidRPr="005065E3">
        <w:rPr>
          <w:rFonts w:ascii="NRGlexFont" w:eastAsia="Times New Roman" w:hAnsi="NRGlexFont" w:cs="Times New Roman"/>
          <w:i/>
          <w:iCs/>
          <w:color w:val="000000"/>
          <w:spacing w:val="5"/>
          <w:sz w:val="24"/>
          <w:szCs w:val="24"/>
          <w:lang w:eastAsia="it-IT"/>
        </w:rPr>
        <w:t>Fimmanò</w:t>
      </w:r>
      <w:proofErr w:type="spell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Le sezioni unite aprono ad una giurisdizione concorrente «a tutto campo» della Corte dei conti sulle azioni di responsabilità</w:t>
      </w:r>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 xml:space="preserve">Giornale dir. </w:t>
      </w:r>
      <w:proofErr w:type="spellStart"/>
      <w:r w:rsidRPr="005065E3">
        <w:rPr>
          <w:rFonts w:ascii="NRGlexFont" w:eastAsia="Times New Roman" w:hAnsi="NRGlexFont" w:cs="Times New Roman"/>
          <w:color w:val="000000"/>
          <w:spacing w:val="5"/>
          <w:sz w:val="24"/>
          <w:szCs w:val="24"/>
          <w:lang w:eastAsia="it-IT"/>
        </w:rPr>
        <w:t>amm</w:t>
      </w:r>
      <w:proofErr w:type="spellEnd"/>
      <w:r w:rsidRPr="005065E3">
        <w:rPr>
          <w:rFonts w:ascii="NRGlexFont" w:eastAsia="Times New Roman" w:hAnsi="NRGlexFont" w:cs="Times New Roman"/>
          <w:i/>
          <w:iCs/>
          <w:color w:val="000000"/>
          <w:spacing w:val="5"/>
          <w:sz w:val="24"/>
          <w:szCs w:val="24"/>
          <w:lang w:eastAsia="it-IT"/>
        </w:rPr>
        <w:t>., 2019, 217, con nota di V. Bontempi, </w:t>
      </w:r>
      <w:r w:rsidRPr="005065E3">
        <w:rPr>
          <w:rFonts w:ascii="NRGlexFont" w:eastAsia="Times New Roman" w:hAnsi="NRGlexFont" w:cs="Times New Roman"/>
          <w:color w:val="000000"/>
          <w:spacing w:val="5"/>
          <w:sz w:val="24"/>
          <w:szCs w:val="24"/>
          <w:lang w:eastAsia="it-IT"/>
        </w:rPr>
        <w:t>La giurisdizione in materia di responsabilità degli amministratori di società a partecipazione pubblica</w:t>
      </w:r>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Urbanistica e appalti</w:t>
      </w:r>
      <w:r w:rsidRPr="005065E3">
        <w:rPr>
          <w:rFonts w:ascii="NRGlexFont" w:eastAsia="Times New Roman" w:hAnsi="NRGlexFont" w:cs="Times New Roman"/>
          <w:i/>
          <w:iCs/>
          <w:color w:val="000000"/>
          <w:spacing w:val="5"/>
          <w:sz w:val="24"/>
          <w:szCs w:val="24"/>
          <w:lang w:eastAsia="it-IT"/>
        </w:rPr>
        <w:t xml:space="preserve">, 2019, 190, con nota di C. </w:t>
      </w:r>
      <w:proofErr w:type="spellStart"/>
      <w:r w:rsidRPr="005065E3">
        <w:rPr>
          <w:rFonts w:ascii="NRGlexFont" w:eastAsia="Times New Roman" w:hAnsi="NRGlexFont" w:cs="Times New Roman"/>
          <w:i/>
          <w:iCs/>
          <w:color w:val="000000"/>
          <w:spacing w:val="5"/>
          <w:sz w:val="24"/>
          <w:szCs w:val="24"/>
          <w:lang w:eastAsia="it-IT"/>
        </w:rPr>
        <w:t>Commandatore</w:t>
      </w:r>
      <w:proofErr w:type="spell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Le molteplici responsabilità degli organi sociali delle società a partecipazione pubblica</w:t>
      </w:r>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Riv. dir. impresa</w:t>
      </w:r>
      <w:r w:rsidRPr="005065E3">
        <w:rPr>
          <w:rFonts w:ascii="NRGlexFont" w:eastAsia="Times New Roman" w:hAnsi="NRGlexFont" w:cs="Times New Roman"/>
          <w:i/>
          <w:iCs/>
          <w:color w:val="000000"/>
          <w:spacing w:val="5"/>
          <w:sz w:val="24"/>
          <w:szCs w:val="24"/>
          <w:lang w:eastAsia="it-IT"/>
        </w:rPr>
        <w:t>, 2019, 129, con nota di A. Briguglio, </w:t>
      </w:r>
      <w:r w:rsidRPr="005065E3">
        <w:rPr>
          <w:rFonts w:ascii="NRGlexFont" w:eastAsia="Times New Roman" w:hAnsi="NRGlexFont" w:cs="Times New Roman"/>
          <w:color w:val="000000"/>
          <w:spacing w:val="5"/>
          <w:sz w:val="24"/>
          <w:szCs w:val="24"/>
          <w:lang w:eastAsia="it-IT"/>
        </w:rPr>
        <w:t>Quante azioni di responsabilità contro gli amministratori di società in </w:t>
      </w:r>
      <w:proofErr w:type="gramStart"/>
      <w:r w:rsidRPr="005065E3">
        <w:rPr>
          <w:rFonts w:ascii="NRGlexFont" w:eastAsia="Times New Roman" w:hAnsi="NRGlexFont" w:cs="Times New Roman"/>
          <w:color w:val="000000"/>
          <w:spacing w:val="5"/>
          <w:sz w:val="24"/>
          <w:szCs w:val="24"/>
          <w:lang w:eastAsia="it-IT"/>
        </w:rPr>
        <w:t>house?</w:t>
      </w:r>
      <w:r w:rsidRPr="005065E3">
        <w:rPr>
          <w:rFonts w:ascii="NRGlexFont" w:eastAsia="Times New Roman" w:hAnsi="NRGlexFont" w:cs="Times New Roman"/>
          <w:i/>
          <w:iCs/>
          <w:color w:val="000000"/>
          <w:spacing w:val="5"/>
          <w:sz w:val="24"/>
          <w:szCs w:val="24"/>
          <w:lang w:eastAsia="it-IT"/>
        </w:rPr>
        <w:t>;</w:t>
      </w:r>
      <w:proofErr w:type="gram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Giur. comm</w:t>
      </w:r>
      <w:r w:rsidRPr="005065E3">
        <w:rPr>
          <w:rFonts w:ascii="NRGlexFont" w:eastAsia="Times New Roman" w:hAnsi="NRGlexFont" w:cs="Times New Roman"/>
          <w:i/>
          <w:iCs/>
          <w:color w:val="000000"/>
          <w:spacing w:val="5"/>
          <w:sz w:val="24"/>
          <w:szCs w:val="24"/>
          <w:lang w:eastAsia="it-IT"/>
        </w:rPr>
        <w:t>., 2019, II, 1382, con nota di M. Cossu, </w:t>
      </w:r>
      <w:r w:rsidRPr="005065E3">
        <w:rPr>
          <w:rFonts w:ascii="NRGlexFont" w:eastAsia="Times New Roman" w:hAnsi="NRGlexFont" w:cs="Times New Roman"/>
          <w:color w:val="000000"/>
          <w:spacing w:val="5"/>
          <w:sz w:val="24"/>
          <w:szCs w:val="24"/>
          <w:lang w:eastAsia="it-IT"/>
        </w:rPr>
        <w:t>Le sezioni unite affermano la giurisdizione ordinaria su tutte le società a partecipazione pubblica</w:t>
      </w:r>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 xml:space="preserve">Resp. civ. e </w:t>
      </w:r>
      <w:proofErr w:type="spellStart"/>
      <w:r w:rsidRPr="005065E3">
        <w:rPr>
          <w:rFonts w:ascii="NRGlexFont" w:eastAsia="Times New Roman" w:hAnsi="NRGlexFont" w:cs="Times New Roman"/>
          <w:color w:val="000000"/>
          <w:spacing w:val="5"/>
          <w:sz w:val="24"/>
          <w:szCs w:val="24"/>
          <w:lang w:eastAsia="it-IT"/>
        </w:rPr>
        <w:t>prev</w:t>
      </w:r>
      <w:proofErr w:type="spellEnd"/>
      <w:r w:rsidRPr="005065E3">
        <w:rPr>
          <w:rFonts w:ascii="NRGlexFont" w:eastAsia="Times New Roman" w:hAnsi="NRGlexFont" w:cs="Times New Roman"/>
          <w:i/>
          <w:iCs/>
          <w:color w:val="000000"/>
          <w:spacing w:val="5"/>
          <w:sz w:val="24"/>
          <w:szCs w:val="24"/>
          <w:lang w:eastAsia="it-IT"/>
        </w:rPr>
        <w:t xml:space="preserve">., 2019, 1921, con nota di I. </w:t>
      </w:r>
      <w:proofErr w:type="spellStart"/>
      <w:r w:rsidRPr="005065E3">
        <w:rPr>
          <w:rFonts w:ascii="NRGlexFont" w:eastAsia="Times New Roman" w:hAnsi="NRGlexFont" w:cs="Times New Roman"/>
          <w:i/>
          <w:iCs/>
          <w:color w:val="000000"/>
          <w:spacing w:val="5"/>
          <w:sz w:val="24"/>
          <w:szCs w:val="24"/>
          <w:lang w:eastAsia="it-IT"/>
        </w:rPr>
        <w:t>Genuessi</w:t>
      </w:r>
      <w:proofErr w:type="spell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Fallimento di società «in house»: le azioni di responsabilità esercitabili</w:t>
      </w:r>
      <w:r w:rsidRPr="005065E3">
        <w:rPr>
          <w:rFonts w:ascii="NRGlexFont" w:eastAsia="Times New Roman" w:hAnsi="NRGlexFont" w:cs="Times New Roman"/>
          <w:i/>
          <w:iCs/>
          <w:color w:val="000000"/>
          <w:spacing w:val="5"/>
          <w:sz w:val="24"/>
          <w:szCs w:val="24"/>
          <w:lang w:eastAsia="it-IT"/>
        </w:rPr>
        <w:t xml:space="preserve">), pronunciatasi nel senso che spetta al giudice ordinario conoscere la domanda formulata ex art. 2497 c.c. dal curatore del fallimento di una società a partecipazione pubblica (irrilevante la circostanza che questa sia o non sia da qualificare come società in house di un ente pubblico, come afferma anche la sentenza che si riporta) nei riguardi del comune titolare della partecipazione sociale: v. pure F. </w:t>
      </w:r>
      <w:proofErr w:type="spellStart"/>
      <w:r w:rsidRPr="005065E3">
        <w:rPr>
          <w:rFonts w:ascii="NRGlexFont" w:eastAsia="Times New Roman" w:hAnsi="NRGlexFont" w:cs="Times New Roman"/>
          <w:i/>
          <w:iCs/>
          <w:color w:val="000000"/>
          <w:spacing w:val="5"/>
          <w:sz w:val="24"/>
          <w:szCs w:val="24"/>
          <w:lang w:eastAsia="it-IT"/>
        </w:rPr>
        <w:t>Fimmanò</w:t>
      </w:r>
      <w:proofErr w:type="spell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L'abuso di eterodirezione della società pubblica</w:t>
      </w:r>
      <w:r w:rsidRPr="005065E3">
        <w:rPr>
          <w:rFonts w:ascii="NRGlexFont" w:eastAsia="Times New Roman" w:hAnsi="NRGlexFont" w:cs="Times New Roman"/>
          <w:i/>
          <w:iCs/>
          <w:color w:val="000000"/>
          <w:spacing w:val="5"/>
          <w:sz w:val="24"/>
          <w:szCs w:val="24"/>
          <w:lang w:eastAsia="it-IT"/>
        </w:rPr>
        <w:t>, in </w:t>
      </w:r>
      <w:r w:rsidRPr="005065E3">
        <w:rPr>
          <w:rFonts w:ascii="NRGlexFont" w:eastAsia="Times New Roman" w:hAnsi="NRGlexFont" w:cs="Times New Roman"/>
          <w:color w:val="000000"/>
          <w:spacing w:val="5"/>
          <w:sz w:val="24"/>
          <w:szCs w:val="24"/>
          <w:lang w:eastAsia="it-IT"/>
        </w:rPr>
        <w:t>Riv. Corte conti</w:t>
      </w:r>
      <w:r w:rsidRPr="005065E3">
        <w:rPr>
          <w:rFonts w:ascii="NRGlexFont" w:eastAsia="Times New Roman" w:hAnsi="NRGlexFont" w:cs="Times New Roman"/>
          <w:i/>
          <w:iCs/>
          <w:color w:val="000000"/>
          <w:spacing w:val="5"/>
          <w:sz w:val="24"/>
          <w:szCs w:val="24"/>
          <w:lang w:eastAsia="it-IT"/>
        </w:rPr>
        <w:t>, 2019, fasc. 6, 3. Nel senso che il perseguimento di interessi pubblici non esonera il socio pubblico di maggioranza dalle responsabilità predicate dall'art. 2497, 1° comma, c.c., v. Cass. 1° giugno 2021, n. 15276, </w:t>
      </w:r>
      <w:proofErr w:type="spellStart"/>
      <w:r w:rsidRPr="005065E3">
        <w:rPr>
          <w:rFonts w:ascii="NRGlexFont" w:eastAsia="Times New Roman" w:hAnsi="NRGlexFont" w:cs="Times New Roman"/>
          <w:color w:val="000000"/>
          <w:spacing w:val="5"/>
          <w:sz w:val="24"/>
          <w:szCs w:val="24"/>
          <w:lang w:eastAsia="it-IT"/>
        </w:rPr>
        <w:t>ForoPlus</w:t>
      </w:r>
      <w:proofErr w:type="spellEnd"/>
      <w:r w:rsidRPr="005065E3">
        <w:rPr>
          <w:rFonts w:ascii="NRGlexFont" w:eastAsia="Times New Roman" w:hAnsi="NRGlexFont" w:cs="Times New Roman"/>
          <w:i/>
          <w:iCs/>
          <w:color w:val="000000"/>
          <w:spacing w:val="5"/>
          <w:sz w:val="24"/>
          <w:szCs w:val="24"/>
          <w:lang w:eastAsia="it-IT"/>
        </w:rPr>
        <w:t> (e </w:t>
      </w:r>
      <w:r w:rsidRPr="005065E3">
        <w:rPr>
          <w:rFonts w:ascii="NRGlexFont" w:eastAsia="Times New Roman" w:hAnsi="NRGlexFont" w:cs="Times New Roman"/>
          <w:color w:val="000000"/>
          <w:spacing w:val="5"/>
          <w:sz w:val="24"/>
          <w:szCs w:val="24"/>
          <w:lang w:eastAsia="it-IT"/>
        </w:rPr>
        <w:t>Società</w:t>
      </w:r>
      <w:r w:rsidRPr="005065E3">
        <w:rPr>
          <w:rFonts w:ascii="NRGlexFont" w:eastAsia="Times New Roman" w:hAnsi="NRGlexFont" w:cs="Times New Roman"/>
          <w:i/>
          <w:iCs/>
          <w:color w:val="000000"/>
          <w:spacing w:val="5"/>
          <w:sz w:val="24"/>
          <w:szCs w:val="24"/>
          <w:lang w:eastAsia="it-IT"/>
        </w:rPr>
        <w:t xml:space="preserve">, 2021, 1351, con nota di L. </w:t>
      </w:r>
      <w:proofErr w:type="spellStart"/>
      <w:r w:rsidRPr="005065E3">
        <w:rPr>
          <w:rFonts w:ascii="NRGlexFont" w:eastAsia="Times New Roman" w:hAnsi="NRGlexFont" w:cs="Times New Roman"/>
          <w:i/>
          <w:iCs/>
          <w:color w:val="000000"/>
          <w:spacing w:val="5"/>
          <w:sz w:val="24"/>
          <w:szCs w:val="24"/>
          <w:lang w:eastAsia="it-IT"/>
        </w:rPr>
        <w:lastRenderedPageBreak/>
        <w:t>Cacopardi</w:t>
      </w:r>
      <w:proofErr w:type="spell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Sulla responsabilità da abuso di direzione della holding pubblica</w:t>
      </w:r>
      <w:r w:rsidRPr="005065E3">
        <w:rPr>
          <w:rFonts w:ascii="NRGlexFont" w:eastAsia="Times New Roman" w:hAnsi="NRGlexFont" w:cs="Times New Roman"/>
          <w:i/>
          <w:iCs/>
          <w:color w:val="000000"/>
          <w:spacing w:val="5"/>
          <w:sz w:val="24"/>
          <w:szCs w:val="24"/>
          <w:lang w:eastAsia="it-IT"/>
        </w:rPr>
        <w:t>; , con nota di G. Rugolo, </w:t>
      </w:r>
      <w:r w:rsidRPr="005065E3">
        <w:rPr>
          <w:rFonts w:ascii="NRGlexFont" w:eastAsia="Times New Roman" w:hAnsi="NRGlexFont" w:cs="Times New Roman"/>
          <w:color w:val="000000"/>
          <w:spacing w:val="5"/>
          <w:sz w:val="24"/>
          <w:szCs w:val="24"/>
          <w:lang w:eastAsia="it-IT"/>
        </w:rPr>
        <w:t>responsabilità da attività di direzione e coordinamento, socio pubblico e socio tiranno: a margine di una Cassazione recente</w:t>
      </w:r>
      <w:r w:rsidRPr="005065E3">
        <w:rPr>
          <w:rFonts w:ascii="NRGlexFont" w:eastAsia="Times New Roman" w:hAnsi="NRGlexFont" w:cs="Times New Roman"/>
          <w:i/>
          <w:iCs/>
          <w:color w:val="000000"/>
          <w:spacing w:val="5"/>
          <w:sz w:val="24"/>
          <w:szCs w:val="24"/>
          <w:lang w:eastAsia="it-IT"/>
        </w:rPr>
        <w:t xml:space="preserve">; la decisione è commentata da F. </w:t>
      </w:r>
      <w:proofErr w:type="spellStart"/>
      <w:r w:rsidRPr="005065E3">
        <w:rPr>
          <w:rFonts w:ascii="NRGlexFont" w:eastAsia="Times New Roman" w:hAnsi="NRGlexFont" w:cs="Times New Roman"/>
          <w:i/>
          <w:iCs/>
          <w:color w:val="000000"/>
          <w:spacing w:val="5"/>
          <w:sz w:val="24"/>
          <w:szCs w:val="24"/>
          <w:lang w:eastAsia="it-IT"/>
        </w:rPr>
        <w:t>Fimmanò</w:t>
      </w:r>
      <w:proofErr w:type="spellEnd"/>
      <w:r w:rsidRPr="005065E3">
        <w:rPr>
          <w:rFonts w:ascii="NRGlexFont" w:eastAsia="Times New Roman" w:hAnsi="NRGlexFont" w:cs="Times New Roman"/>
          <w:i/>
          <w:iCs/>
          <w:color w:val="000000"/>
          <w:spacing w:val="5"/>
          <w:sz w:val="24"/>
          <w:szCs w:val="24"/>
          <w:lang w:eastAsia="it-IT"/>
        </w:rPr>
        <w:t>, </w:t>
      </w:r>
      <w:r w:rsidRPr="005065E3">
        <w:rPr>
          <w:rFonts w:ascii="NRGlexFont" w:eastAsia="Times New Roman" w:hAnsi="NRGlexFont" w:cs="Times New Roman"/>
          <w:color w:val="000000"/>
          <w:spacing w:val="5"/>
          <w:sz w:val="24"/>
          <w:szCs w:val="24"/>
          <w:lang w:eastAsia="it-IT"/>
        </w:rPr>
        <w:t>Il caso Alitalia: l'abuso di eterodirezione del Mef</w:t>
      </w:r>
      <w:r w:rsidRPr="005065E3">
        <w:rPr>
          <w:rFonts w:ascii="NRGlexFont" w:eastAsia="Times New Roman" w:hAnsi="NRGlexFont" w:cs="Times New Roman"/>
          <w:i/>
          <w:iCs/>
          <w:color w:val="000000"/>
          <w:spacing w:val="5"/>
          <w:sz w:val="24"/>
          <w:szCs w:val="24"/>
          <w:lang w:eastAsia="it-IT"/>
        </w:rPr>
        <w:t>, in e in </w:t>
      </w:r>
      <w:r w:rsidRPr="005065E3">
        <w:rPr>
          <w:rFonts w:ascii="NRGlexFont" w:eastAsia="Times New Roman" w:hAnsi="NRGlexFont" w:cs="Times New Roman"/>
          <w:color w:val="000000"/>
          <w:spacing w:val="5"/>
          <w:sz w:val="24"/>
          <w:szCs w:val="24"/>
          <w:lang w:eastAsia="it-IT"/>
        </w:rPr>
        <w:t>Gazzetta forense</w:t>
      </w:r>
      <w:r w:rsidRPr="005065E3">
        <w:rPr>
          <w:rFonts w:ascii="NRGlexFont" w:eastAsia="Times New Roman" w:hAnsi="NRGlexFont" w:cs="Times New Roman"/>
          <w:i/>
          <w:iCs/>
          <w:color w:val="000000"/>
          <w:spacing w:val="5"/>
          <w:sz w:val="24"/>
          <w:szCs w:val="24"/>
          <w:lang w:eastAsia="it-IT"/>
        </w:rPr>
        <w:t xml:space="preserve">, 2021, 616), che si sofferma sui presupposti della responsabilità di cui alla norma, in ordine ai quali v. anche </w:t>
      </w:r>
      <w:proofErr w:type="spellStart"/>
      <w:r w:rsidRPr="005065E3">
        <w:rPr>
          <w:rFonts w:ascii="NRGlexFont" w:eastAsia="Times New Roman" w:hAnsi="NRGlexFont" w:cs="Times New Roman"/>
          <w:i/>
          <w:iCs/>
          <w:color w:val="000000"/>
          <w:spacing w:val="5"/>
          <w:sz w:val="24"/>
          <w:szCs w:val="24"/>
          <w:lang w:eastAsia="it-IT"/>
        </w:rPr>
        <w:t>Trib</w:t>
      </w:r>
      <w:proofErr w:type="spellEnd"/>
      <w:r w:rsidRPr="005065E3">
        <w:rPr>
          <w:rFonts w:ascii="NRGlexFont" w:eastAsia="Times New Roman" w:hAnsi="NRGlexFont" w:cs="Times New Roman"/>
          <w:i/>
          <w:iCs/>
          <w:color w:val="000000"/>
          <w:spacing w:val="5"/>
          <w:sz w:val="24"/>
          <w:szCs w:val="24"/>
          <w:lang w:eastAsia="it-IT"/>
        </w:rPr>
        <w:t>. Roma 18 febbraio 2021, </w:t>
      </w:r>
      <w:r w:rsidRPr="005065E3">
        <w:rPr>
          <w:rFonts w:ascii="NRGlexFont" w:eastAsia="Times New Roman" w:hAnsi="NRGlexFont" w:cs="Times New Roman"/>
          <w:color w:val="000000"/>
          <w:spacing w:val="5"/>
          <w:sz w:val="24"/>
          <w:szCs w:val="24"/>
          <w:lang w:eastAsia="it-IT"/>
        </w:rPr>
        <w:t xml:space="preserve">Foro </w:t>
      </w:r>
      <w:proofErr w:type="spellStart"/>
      <w:r w:rsidRPr="005065E3">
        <w:rPr>
          <w:rFonts w:ascii="NRGlexFont" w:eastAsia="Times New Roman" w:hAnsi="NRGlexFont" w:cs="Times New Roman"/>
          <w:color w:val="000000"/>
          <w:spacing w:val="5"/>
          <w:sz w:val="24"/>
          <w:szCs w:val="24"/>
          <w:lang w:eastAsia="it-IT"/>
        </w:rPr>
        <w:t>it</w:t>
      </w:r>
      <w:proofErr w:type="spellEnd"/>
      <w:r w:rsidRPr="005065E3">
        <w:rPr>
          <w:rFonts w:ascii="NRGlexFont" w:eastAsia="Times New Roman" w:hAnsi="NRGlexFont" w:cs="Times New Roman"/>
          <w:i/>
          <w:iCs/>
          <w:color w:val="000000"/>
          <w:spacing w:val="5"/>
          <w:sz w:val="24"/>
          <w:szCs w:val="24"/>
          <w:lang w:eastAsia="it-IT"/>
        </w:rPr>
        <w:t>., 2021, I, 2574.</w:t>
      </w:r>
    </w:p>
    <w:p w14:paraId="75EF8AF7" w14:textId="77777777" w:rsidR="002120EF" w:rsidRDefault="002120EF"/>
    <w:p w14:paraId="745EEA91" w14:textId="77777777" w:rsidR="005065E3" w:rsidRDefault="005065E3"/>
    <w:p w14:paraId="291E7E4F" w14:textId="77777777" w:rsidR="00E466E0" w:rsidRDefault="00E466E0"/>
    <w:p w14:paraId="682B2097" w14:textId="77777777" w:rsidR="00E466E0" w:rsidRDefault="00E466E0"/>
    <w:p w14:paraId="2757046F" w14:textId="77777777" w:rsidR="00E466E0" w:rsidRPr="00E466E0" w:rsidRDefault="00E466E0" w:rsidP="00E466E0">
      <w:pPr>
        <w:shd w:val="clear" w:color="auto" w:fill="FFFFFF"/>
        <w:spacing w:after="0" w:line="240" w:lineRule="auto"/>
        <w:jc w:val="center"/>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br/>
      </w:r>
      <w:r w:rsidRPr="00E466E0">
        <w:rPr>
          <w:rFonts w:ascii="Lato" w:eastAsia="Times New Roman" w:hAnsi="Lato" w:cs="Times New Roman"/>
          <w:i/>
          <w:iCs/>
          <w:color w:val="000000"/>
          <w:spacing w:val="5"/>
          <w:sz w:val="24"/>
          <w:szCs w:val="24"/>
          <w:lang w:eastAsia="it-IT"/>
        </w:rPr>
        <w:t>Seleziona uno o più fascicoli per aggiungerci il documento</w:t>
      </w:r>
    </w:p>
    <w:p w14:paraId="5051EFF0" w14:textId="77777777" w:rsidR="00E466E0" w:rsidRPr="00E466E0" w:rsidRDefault="00E466E0" w:rsidP="00E466E0">
      <w:pPr>
        <w:shd w:val="clear" w:color="auto" w:fill="FFFFFF"/>
        <w:spacing w:before="300" w:after="300" w:line="240" w:lineRule="auto"/>
        <w:jc w:val="center"/>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pict w14:anchorId="158454CB">
          <v:rect id="_x0000_i1080" style="width:0;height:0" o:hralign="center" o:hrstd="t" o:hr="t" fillcolor="#a0a0a0" stroked="f"/>
        </w:pict>
      </w:r>
    </w:p>
    <w:p w14:paraId="726EAD51" w14:textId="77777777" w:rsidR="00E466E0" w:rsidRPr="00E466E0" w:rsidRDefault="00E466E0" w:rsidP="00E466E0">
      <w:pPr>
        <w:shd w:val="clear" w:color="auto" w:fill="FFFFFF"/>
        <w:spacing w:before="225" w:after="0" w:line="240" w:lineRule="auto"/>
        <w:jc w:val="center"/>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Nessun fascicolo salvato.</w:t>
      </w:r>
    </w:p>
    <w:p w14:paraId="1AFBE22E" w14:textId="77777777" w:rsidR="00E466E0" w:rsidRPr="00E466E0" w:rsidRDefault="00E466E0" w:rsidP="00E466E0">
      <w:pPr>
        <w:shd w:val="clear" w:color="auto" w:fill="FFFFFF"/>
        <w:spacing w:line="240" w:lineRule="auto"/>
        <w:jc w:val="center"/>
        <w:rPr>
          <w:rFonts w:ascii="Lato" w:eastAsia="Times New Roman" w:hAnsi="Lato" w:cs="Times New Roman"/>
          <w:color w:val="000000"/>
          <w:spacing w:val="5"/>
          <w:sz w:val="24"/>
          <w:szCs w:val="24"/>
          <w:lang w:eastAsia="it-IT"/>
        </w:rPr>
      </w:pPr>
      <w:hyperlink r:id="rId164" w:history="1">
        <w:r w:rsidRPr="00E466E0">
          <w:rPr>
            <w:rFonts w:ascii="Lato" w:eastAsia="Times New Roman" w:hAnsi="Lato" w:cs="Times New Roman"/>
            <w:b/>
            <w:bCs/>
            <w:caps/>
            <w:color w:val="FFFFFF"/>
            <w:spacing w:val="5"/>
            <w:sz w:val="20"/>
            <w:szCs w:val="20"/>
            <w:u w:val="single"/>
            <w:bdr w:val="single" w:sz="6" w:space="4" w:color="222220" w:frame="1"/>
            <w:shd w:val="clear" w:color="auto" w:fill="222220"/>
            <w:lang w:eastAsia="it-IT"/>
          </w:rPr>
          <w:t>  AGGIUNGI FASCICOLO</w:t>
        </w:r>
      </w:hyperlink>
    </w:p>
    <w:p w14:paraId="4C20CBF6" w14:textId="77777777" w:rsidR="00E466E0" w:rsidRPr="00E466E0" w:rsidRDefault="00E466E0" w:rsidP="00E466E0">
      <w:pPr>
        <w:shd w:val="clear" w:color="auto" w:fill="FFFFFF"/>
        <w:spacing w:after="0" w:line="240" w:lineRule="auto"/>
        <w:rPr>
          <w:rFonts w:ascii="Lato" w:eastAsia="Times New Roman" w:hAnsi="Lato" w:cs="Times New Roman"/>
          <w:color w:val="000000"/>
          <w:spacing w:val="5"/>
          <w:sz w:val="24"/>
          <w:szCs w:val="24"/>
          <w:lang w:eastAsia="it-IT"/>
        </w:rPr>
      </w:pPr>
      <w:hyperlink r:id="rId165" w:history="1">
        <w:r w:rsidRPr="00E466E0">
          <w:rPr>
            <w:rFonts w:ascii="Lato" w:eastAsia="Times New Roman" w:hAnsi="Lato" w:cs="Times New Roman"/>
            <w:color w:val="363636"/>
            <w:spacing w:val="5"/>
            <w:sz w:val="18"/>
            <w:szCs w:val="18"/>
            <w:u w:val="single"/>
            <w:shd w:val="clear" w:color="auto" w:fill="FFEDCF"/>
            <w:lang w:eastAsia="it-IT"/>
          </w:rPr>
          <w:t>navigazione al documento successivo</w:t>
        </w:r>
      </w:hyperlink>
    </w:p>
    <w:p w14:paraId="213D80A0" w14:textId="77777777" w:rsidR="00E466E0" w:rsidRPr="00E466E0" w:rsidRDefault="00E466E0" w:rsidP="00E466E0">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E466E0">
        <w:rPr>
          <w:rFonts w:ascii="Lato" w:eastAsia="Times New Roman" w:hAnsi="Lato" w:cs="Times New Roman"/>
          <w:color w:val="3E4249"/>
          <w:spacing w:val="5"/>
          <w:kern w:val="36"/>
          <w:sz w:val="45"/>
          <w:szCs w:val="45"/>
          <w:lang w:eastAsia="it-IT"/>
        </w:rPr>
        <w:t xml:space="preserve">Cass. civ., sez. un., </w:t>
      </w:r>
      <w:proofErr w:type="spellStart"/>
      <w:r w:rsidRPr="00E466E0">
        <w:rPr>
          <w:rFonts w:ascii="Lato" w:eastAsia="Times New Roman" w:hAnsi="Lato" w:cs="Times New Roman"/>
          <w:color w:val="3E4249"/>
          <w:spacing w:val="5"/>
          <w:kern w:val="36"/>
          <w:sz w:val="45"/>
          <w:szCs w:val="45"/>
          <w:lang w:eastAsia="it-IT"/>
        </w:rPr>
        <w:t>ord</w:t>
      </w:r>
      <w:proofErr w:type="spellEnd"/>
      <w:r w:rsidRPr="00E466E0">
        <w:rPr>
          <w:rFonts w:ascii="Lato" w:eastAsia="Times New Roman" w:hAnsi="Lato" w:cs="Times New Roman"/>
          <w:color w:val="3E4249"/>
          <w:spacing w:val="5"/>
          <w:kern w:val="36"/>
          <w:sz w:val="45"/>
          <w:szCs w:val="45"/>
          <w:lang w:eastAsia="it-IT"/>
        </w:rPr>
        <w:t>., 13 settembre 2018 n. 22406</w:t>
      </w:r>
    </w:p>
    <w:p w14:paraId="094DB219"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i/>
          <w:iCs/>
          <w:color w:val="000000"/>
          <w:spacing w:val="5"/>
          <w:sz w:val="20"/>
          <w:szCs w:val="20"/>
          <w:lang w:eastAsia="it-IT"/>
        </w:rPr>
        <w:t xml:space="preserve">Cass. civ., </w:t>
      </w:r>
      <w:proofErr w:type="spellStart"/>
      <w:r w:rsidRPr="00E466E0">
        <w:rPr>
          <w:rFonts w:ascii="Lato" w:eastAsia="Times New Roman" w:hAnsi="Lato" w:cs="Times New Roman"/>
          <w:i/>
          <w:iCs/>
          <w:color w:val="000000"/>
          <w:spacing w:val="5"/>
          <w:sz w:val="20"/>
          <w:szCs w:val="20"/>
          <w:lang w:eastAsia="it-IT"/>
        </w:rPr>
        <w:t>ord</w:t>
      </w:r>
      <w:proofErr w:type="spellEnd"/>
      <w:r w:rsidRPr="00E466E0">
        <w:rPr>
          <w:rFonts w:ascii="Lato" w:eastAsia="Times New Roman" w:hAnsi="Lato" w:cs="Times New Roman"/>
          <w:i/>
          <w:iCs/>
          <w:color w:val="000000"/>
          <w:spacing w:val="5"/>
          <w:sz w:val="20"/>
          <w:szCs w:val="20"/>
          <w:lang w:eastAsia="it-IT"/>
        </w:rPr>
        <w:t xml:space="preserve">. un., 13 settembre 2018, n. </w:t>
      </w:r>
      <w:proofErr w:type="gramStart"/>
      <w:r w:rsidRPr="00E466E0">
        <w:rPr>
          <w:rFonts w:ascii="Lato" w:eastAsia="Times New Roman" w:hAnsi="Lato" w:cs="Times New Roman"/>
          <w:i/>
          <w:iCs/>
          <w:color w:val="000000"/>
          <w:spacing w:val="5"/>
          <w:sz w:val="20"/>
          <w:szCs w:val="20"/>
          <w:lang w:eastAsia="it-IT"/>
        </w:rPr>
        <w:t>22406 ,</w:t>
      </w:r>
      <w:proofErr w:type="gramEnd"/>
      <w:r w:rsidRPr="00E466E0">
        <w:rPr>
          <w:rFonts w:ascii="Lato" w:eastAsia="Times New Roman" w:hAnsi="Lato" w:cs="Times New Roman"/>
          <w:i/>
          <w:iCs/>
          <w:color w:val="000000"/>
          <w:spacing w:val="5"/>
          <w:sz w:val="20"/>
          <w:szCs w:val="20"/>
          <w:lang w:eastAsia="it-IT"/>
        </w:rPr>
        <w:t xml:space="preserve"> Galioto c. Barbasso </w:t>
      </w:r>
    </w:p>
    <w:p w14:paraId="04B61059"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Repertorio Foro Italiano</w:t>
      </w:r>
      <w:r w:rsidRPr="00E466E0">
        <w:rPr>
          <w:rFonts w:ascii="Lato" w:eastAsia="Times New Roman" w:hAnsi="Lato" w:cs="Times New Roman"/>
          <w:i/>
          <w:iCs/>
          <w:color w:val="000000"/>
          <w:spacing w:val="5"/>
          <w:sz w:val="20"/>
          <w:szCs w:val="20"/>
          <w:lang w:eastAsia="it-IT"/>
        </w:rPr>
        <w:t> 2019, </w:t>
      </w:r>
    </w:p>
    <w:p w14:paraId="58517157"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val="en-GB" w:eastAsia="it-IT"/>
        </w:rPr>
      </w:pPr>
      <w:r w:rsidRPr="00E466E0">
        <w:rPr>
          <w:rFonts w:ascii="Lato" w:eastAsia="Times New Roman" w:hAnsi="Lato" w:cs="Times New Roman"/>
          <w:b/>
          <w:bCs/>
          <w:i/>
          <w:iCs/>
          <w:color w:val="000000"/>
          <w:spacing w:val="5"/>
          <w:sz w:val="20"/>
          <w:szCs w:val="20"/>
          <w:lang w:val="en-GB" w:eastAsia="it-IT"/>
        </w:rPr>
        <w:t>, </w:t>
      </w:r>
      <w:r w:rsidRPr="00E466E0">
        <w:rPr>
          <w:rFonts w:ascii="Lato" w:eastAsia="Times New Roman" w:hAnsi="Lato" w:cs="Times New Roman"/>
          <w:i/>
          <w:iCs/>
          <w:color w:val="000000"/>
          <w:spacing w:val="5"/>
          <w:sz w:val="20"/>
          <w:szCs w:val="20"/>
          <w:lang w:val="en-GB" w:eastAsia="it-IT"/>
        </w:rPr>
        <w:t>in </w:t>
      </w:r>
      <w:proofErr w:type="spellStart"/>
      <w:r w:rsidRPr="00E466E0">
        <w:rPr>
          <w:rFonts w:ascii="Lato" w:eastAsia="Times New Roman" w:hAnsi="Lato" w:cs="Times New Roman"/>
          <w:b/>
          <w:bCs/>
          <w:i/>
          <w:iCs/>
          <w:color w:val="000000"/>
          <w:spacing w:val="5"/>
          <w:sz w:val="20"/>
          <w:szCs w:val="20"/>
          <w:lang w:val="en-GB" w:eastAsia="it-IT"/>
        </w:rPr>
        <w:t>Foro</w:t>
      </w:r>
      <w:proofErr w:type="spellEnd"/>
      <w:r w:rsidRPr="00E466E0">
        <w:rPr>
          <w:rFonts w:ascii="Lato" w:eastAsia="Times New Roman" w:hAnsi="Lato" w:cs="Times New Roman"/>
          <w:b/>
          <w:bCs/>
          <w:i/>
          <w:iCs/>
          <w:color w:val="000000"/>
          <w:spacing w:val="5"/>
          <w:sz w:val="20"/>
          <w:szCs w:val="20"/>
          <w:lang w:val="en-GB" w:eastAsia="it-IT"/>
        </w:rPr>
        <w:t xml:space="preserve"> it.</w:t>
      </w:r>
      <w:r w:rsidRPr="00E466E0">
        <w:rPr>
          <w:rFonts w:ascii="Lato" w:eastAsia="Times New Roman" w:hAnsi="Lato" w:cs="Times New Roman"/>
          <w:i/>
          <w:iCs/>
          <w:color w:val="000000"/>
          <w:spacing w:val="5"/>
          <w:sz w:val="20"/>
          <w:szCs w:val="20"/>
          <w:lang w:val="en-GB" w:eastAsia="it-IT"/>
        </w:rPr>
        <w:t> 2019, I, 946</w:t>
      </w:r>
    </w:p>
    <w:p w14:paraId="4776074C"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Guida al dir.</w:t>
      </w:r>
      <w:r w:rsidRPr="00E466E0">
        <w:rPr>
          <w:rFonts w:ascii="Lato" w:eastAsia="Times New Roman" w:hAnsi="Lato" w:cs="Times New Roman"/>
          <w:i/>
          <w:iCs/>
          <w:color w:val="000000"/>
          <w:spacing w:val="5"/>
          <w:sz w:val="20"/>
          <w:szCs w:val="20"/>
          <w:lang w:eastAsia="it-IT"/>
        </w:rPr>
        <w:t> 2018, fasc. 47, 30, con nota di </w:t>
      </w:r>
      <w:r w:rsidRPr="00E466E0">
        <w:rPr>
          <w:rFonts w:ascii="Lato" w:eastAsia="Times New Roman" w:hAnsi="Lato" w:cs="Times New Roman"/>
          <w:b/>
          <w:bCs/>
          <w:i/>
          <w:iCs/>
          <w:smallCaps/>
          <w:color w:val="000000"/>
          <w:spacing w:val="5"/>
          <w:sz w:val="20"/>
          <w:szCs w:val="20"/>
          <w:lang w:eastAsia="it-IT"/>
        </w:rPr>
        <w:t>FINOCCHIARO</w:t>
      </w:r>
      <w:r w:rsidRPr="00E466E0">
        <w:rPr>
          <w:rFonts w:ascii="Lato" w:eastAsia="Times New Roman" w:hAnsi="Lato" w:cs="Times New Roman"/>
          <w:i/>
          <w:iCs/>
          <w:color w:val="000000"/>
          <w:spacing w:val="5"/>
          <w:sz w:val="20"/>
          <w:szCs w:val="20"/>
          <w:lang w:eastAsia="it-IT"/>
        </w:rPr>
        <w:t> </w:t>
      </w:r>
    </w:p>
    <w:p w14:paraId="1602CFA5"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Società</w:t>
      </w:r>
      <w:r w:rsidRPr="00E466E0">
        <w:rPr>
          <w:rFonts w:ascii="Lato" w:eastAsia="Times New Roman" w:hAnsi="Lato" w:cs="Times New Roman"/>
          <w:i/>
          <w:iCs/>
          <w:color w:val="000000"/>
          <w:spacing w:val="5"/>
          <w:sz w:val="20"/>
          <w:szCs w:val="20"/>
          <w:lang w:eastAsia="it-IT"/>
        </w:rPr>
        <w:t> 2019, 67, con nota di </w:t>
      </w:r>
      <w:r w:rsidRPr="00E466E0">
        <w:rPr>
          <w:rFonts w:ascii="Lato" w:eastAsia="Times New Roman" w:hAnsi="Lato" w:cs="Times New Roman"/>
          <w:b/>
          <w:bCs/>
          <w:i/>
          <w:iCs/>
          <w:smallCaps/>
          <w:color w:val="000000"/>
          <w:spacing w:val="5"/>
          <w:sz w:val="20"/>
          <w:szCs w:val="20"/>
          <w:lang w:eastAsia="it-IT"/>
        </w:rPr>
        <w:t>FIMMANÒ</w:t>
      </w:r>
      <w:r w:rsidRPr="00E466E0">
        <w:rPr>
          <w:rFonts w:ascii="Lato" w:eastAsia="Times New Roman" w:hAnsi="Lato" w:cs="Times New Roman"/>
          <w:i/>
          <w:iCs/>
          <w:color w:val="000000"/>
          <w:spacing w:val="5"/>
          <w:sz w:val="20"/>
          <w:szCs w:val="20"/>
          <w:lang w:eastAsia="it-IT"/>
        </w:rPr>
        <w:t> </w:t>
      </w:r>
    </w:p>
    <w:p w14:paraId="04E4A90A"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 xml:space="preserve">Giornale dir. </w:t>
      </w:r>
      <w:proofErr w:type="spellStart"/>
      <w:r w:rsidRPr="00E466E0">
        <w:rPr>
          <w:rFonts w:ascii="Lato" w:eastAsia="Times New Roman" w:hAnsi="Lato" w:cs="Times New Roman"/>
          <w:b/>
          <w:bCs/>
          <w:i/>
          <w:iCs/>
          <w:color w:val="000000"/>
          <w:spacing w:val="5"/>
          <w:sz w:val="20"/>
          <w:szCs w:val="20"/>
          <w:lang w:eastAsia="it-IT"/>
        </w:rPr>
        <w:t>amm</w:t>
      </w:r>
      <w:proofErr w:type="spellEnd"/>
      <w:r w:rsidRPr="00E466E0">
        <w:rPr>
          <w:rFonts w:ascii="Lato" w:eastAsia="Times New Roman" w:hAnsi="Lato" w:cs="Times New Roman"/>
          <w:b/>
          <w:bCs/>
          <w:i/>
          <w:iCs/>
          <w:color w:val="000000"/>
          <w:spacing w:val="5"/>
          <w:sz w:val="20"/>
          <w:szCs w:val="20"/>
          <w:lang w:eastAsia="it-IT"/>
        </w:rPr>
        <w:t>.</w:t>
      </w:r>
      <w:r w:rsidRPr="00E466E0">
        <w:rPr>
          <w:rFonts w:ascii="Lato" w:eastAsia="Times New Roman" w:hAnsi="Lato" w:cs="Times New Roman"/>
          <w:i/>
          <w:iCs/>
          <w:color w:val="000000"/>
          <w:spacing w:val="5"/>
          <w:sz w:val="20"/>
          <w:szCs w:val="20"/>
          <w:lang w:eastAsia="it-IT"/>
        </w:rPr>
        <w:t> 2019, 217 (m), con nota di </w:t>
      </w:r>
      <w:r w:rsidRPr="00E466E0">
        <w:rPr>
          <w:rFonts w:ascii="Lato" w:eastAsia="Times New Roman" w:hAnsi="Lato" w:cs="Times New Roman"/>
          <w:b/>
          <w:bCs/>
          <w:i/>
          <w:iCs/>
          <w:smallCaps/>
          <w:color w:val="000000"/>
          <w:spacing w:val="5"/>
          <w:sz w:val="20"/>
          <w:szCs w:val="20"/>
          <w:lang w:eastAsia="it-IT"/>
        </w:rPr>
        <w:t>BONTEMPI</w:t>
      </w:r>
      <w:r w:rsidRPr="00E466E0">
        <w:rPr>
          <w:rFonts w:ascii="Lato" w:eastAsia="Times New Roman" w:hAnsi="Lato" w:cs="Times New Roman"/>
          <w:i/>
          <w:iCs/>
          <w:color w:val="000000"/>
          <w:spacing w:val="5"/>
          <w:sz w:val="20"/>
          <w:szCs w:val="20"/>
          <w:lang w:eastAsia="it-IT"/>
        </w:rPr>
        <w:t> </w:t>
      </w:r>
    </w:p>
    <w:p w14:paraId="53358BAB"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Urbanistica e appalti</w:t>
      </w:r>
      <w:r w:rsidRPr="00E466E0">
        <w:rPr>
          <w:rFonts w:ascii="Lato" w:eastAsia="Times New Roman" w:hAnsi="Lato" w:cs="Times New Roman"/>
          <w:i/>
          <w:iCs/>
          <w:color w:val="000000"/>
          <w:spacing w:val="5"/>
          <w:sz w:val="20"/>
          <w:szCs w:val="20"/>
          <w:lang w:eastAsia="it-IT"/>
        </w:rPr>
        <w:t> 2019, 190, con nota di </w:t>
      </w:r>
      <w:r w:rsidRPr="00E466E0">
        <w:rPr>
          <w:rFonts w:ascii="Lato" w:eastAsia="Times New Roman" w:hAnsi="Lato" w:cs="Times New Roman"/>
          <w:b/>
          <w:bCs/>
          <w:i/>
          <w:iCs/>
          <w:smallCaps/>
          <w:color w:val="000000"/>
          <w:spacing w:val="5"/>
          <w:sz w:val="20"/>
          <w:szCs w:val="20"/>
          <w:lang w:eastAsia="it-IT"/>
        </w:rPr>
        <w:t>COMMANDATORE</w:t>
      </w:r>
      <w:r w:rsidRPr="00E466E0">
        <w:rPr>
          <w:rFonts w:ascii="Lato" w:eastAsia="Times New Roman" w:hAnsi="Lato" w:cs="Times New Roman"/>
          <w:i/>
          <w:iCs/>
          <w:color w:val="000000"/>
          <w:spacing w:val="5"/>
          <w:sz w:val="20"/>
          <w:szCs w:val="20"/>
          <w:lang w:eastAsia="it-IT"/>
        </w:rPr>
        <w:t> </w:t>
      </w:r>
    </w:p>
    <w:p w14:paraId="483C1150"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Riv. dir. impresa</w:t>
      </w:r>
      <w:r w:rsidRPr="00E466E0">
        <w:rPr>
          <w:rFonts w:ascii="Lato" w:eastAsia="Times New Roman" w:hAnsi="Lato" w:cs="Times New Roman"/>
          <w:i/>
          <w:iCs/>
          <w:color w:val="000000"/>
          <w:spacing w:val="5"/>
          <w:sz w:val="20"/>
          <w:szCs w:val="20"/>
          <w:lang w:eastAsia="it-IT"/>
        </w:rPr>
        <w:t> 2019, 129, con nota di </w:t>
      </w:r>
      <w:r w:rsidRPr="00E466E0">
        <w:rPr>
          <w:rFonts w:ascii="Lato" w:eastAsia="Times New Roman" w:hAnsi="Lato" w:cs="Times New Roman"/>
          <w:b/>
          <w:bCs/>
          <w:i/>
          <w:iCs/>
          <w:smallCaps/>
          <w:color w:val="000000"/>
          <w:spacing w:val="5"/>
          <w:sz w:val="20"/>
          <w:szCs w:val="20"/>
          <w:lang w:eastAsia="it-IT"/>
        </w:rPr>
        <w:t>BRIGUGLIO</w:t>
      </w:r>
      <w:r w:rsidRPr="00E466E0">
        <w:rPr>
          <w:rFonts w:ascii="Lato" w:eastAsia="Times New Roman" w:hAnsi="Lato" w:cs="Times New Roman"/>
          <w:i/>
          <w:iCs/>
          <w:color w:val="000000"/>
          <w:spacing w:val="5"/>
          <w:sz w:val="20"/>
          <w:szCs w:val="20"/>
          <w:lang w:eastAsia="it-IT"/>
        </w:rPr>
        <w:t> </w:t>
      </w:r>
    </w:p>
    <w:p w14:paraId="4370FD02"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Riv. corte conti</w:t>
      </w:r>
      <w:r w:rsidRPr="00E466E0">
        <w:rPr>
          <w:rFonts w:ascii="Lato" w:eastAsia="Times New Roman" w:hAnsi="Lato" w:cs="Times New Roman"/>
          <w:i/>
          <w:iCs/>
          <w:color w:val="000000"/>
          <w:spacing w:val="5"/>
          <w:sz w:val="20"/>
          <w:szCs w:val="20"/>
          <w:lang w:eastAsia="it-IT"/>
        </w:rPr>
        <w:t> 2018, fasc. 5, 246</w:t>
      </w:r>
    </w:p>
    <w:p w14:paraId="60A7127C"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Giur. comm.</w:t>
      </w:r>
      <w:r w:rsidRPr="00E466E0">
        <w:rPr>
          <w:rFonts w:ascii="Lato" w:eastAsia="Times New Roman" w:hAnsi="Lato" w:cs="Times New Roman"/>
          <w:i/>
          <w:iCs/>
          <w:color w:val="000000"/>
          <w:spacing w:val="5"/>
          <w:sz w:val="20"/>
          <w:szCs w:val="20"/>
          <w:lang w:eastAsia="it-IT"/>
        </w:rPr>
        <w:t> 2019, II, 1382, con nota di </w:t>
      </w:r>
      <w:r w:rsidRPr="00E466E0">
        <w:rPr>
          <w:rFonts w:ascii="Lato" w:eastAsia="Times New Roman" w:hAnsi="Lato" w:cs="Times New Roman"/>
          <w:b/>
          <w:bCs/>
          <w:i/>
          <w:iCs/>
          <w:smallCaps/>
          <w:color w:val="000000"/>
          <w:spacing w:val="5"/>
          <w:sz w:val="20"/>
          <w:szCs w:val="20"/>
          <w:lang w:eastAsia="it-IT"/>
        </w:rPr>
        <w:t>COSSU</w:t>
      </w:r>
      <w:r w:rsidRPr="00E466E0">
        <w:rPr>
          <w:rFonts w:ascii="Lato" w:eastAsia="Times New Roman" w:hAnsi="Lato" w:cs="Times New Roman"/>
          <w:i/>
          <w:iCs/>
          <w:color w:val="000000"/>
          <w:spacing w:val="5"/>
          <w:sz w:val="20"/>
          <w:szCs w:val="20"/>
          <w:lang w:eastAsia="it-IT"/>
        </w:rPr>
        <w:t> </w:t>
      </w:r>
    </w:p>
    <w:p w14:paraId="047D1A4F"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 xml:space="preserve">Resp. civ. e </w:t>
      </w:r>
      <w:proofErr w:type="spellStart"/>
      <w:r w:rsidRPr="00E466E0">
        <w:rPr>
          <w:rFonts w:ascii="Lato" w:eastAsia="Times New Roman" w:hAnsi="Lato" w:cs="Times New Roman"/>
          <w:b/>
          <w:bCs/>
          <w:i/>
          <w:iCs/>
          <w:color w:val="000000"/>
          <w:spacing w:val="5"/>
          <w:sz w:val="20"/>
          <w:szCs w:val="20"/>
          <w:lang w:eastAsia="it-IT"/>
        </w:rPr>
        <w:t>prev</w:t>
      </w:r>
      <w:proofErr w:type="spellEnd"/>
      <w:r w:rsidRPr="00E466E0">
        <w:rPr>
          <w:rFonts w:ascii="Lato" w:eastAsia="Times New Roman" w:hAnsi="Lato" w:cs="Times New Roman"/>
          <w:b/>
          <w:bCs/>
          <w:i/>
          <w:iCs/>
          <w:color w:val="000000"/>
          <w:spacing w:val="5"/>
          <w:sz w:val="20"/>
          <w:szCs w:val="20"/>
          <w:lang w:eastAsia="it-IT"/>
        </w:rPr>
        <w:t>.</w:t>
      </w:r>
      <w:r w:rsidRPr="00E466E0">
        <w:rPr>
          <w:rFonts w:ascii="Lato" w:eastAsia="Times New Roman" w:hAnsi="Lato" w:cs="Times New Roman"/>
          <w:i/>
          <w:iCs/>
          <w:color w:val="000000"/>
          <w:spacing w:val="5"/>
          <w:sz w:val="20"/>
          <w:szCs w:val="20"/>
          <w:lang w:eastAsia="it-IT"/>
        </w:rPr>
        <w:t> 2019, 1921 (m), con nota di </w:t>
      </w:r>
      <w:r w:rsidRPr="00E466E0">
        <w:rPr>
          <w:rFonts w:ascii="Lato" w:eastAsia="Times New Roman" w:hAnsi="Lato" w:cs="Times New Roman"/>
          <w:b/>
          <w:bCs/>
          <w:i/>
          <w:iCs/>
          <w:smallCaps/>
          <w:color w:val="000000"/>
          <w:spacing w:val="5"/>
          <w:sz w:val="20"/>
          <w:szCs w:val="20"/>
          <w:lang w:eastAsia="it-IT"/>
        </w:rPr>
        <w:t>GENUESSI</w:t>
      </w:r>
      <w:r w:rsidRPr="00E466E0">
        <w:rPr>
          <w:rFonts w:ascii="Lato" w:eastAsia="Times New Roman" w:hAnsi="Lato" w:cs="Times New Roman"/>
          <w:i/>
          <w:iCs/>
          <w:color w:val="000000"/>
          <w:spacing w:val="5"/>
          <w:sz w:val="20"/>
          <w:szCs w:val="20"/>
          <w:lang w:eastAsia="it-IT"/>
        </w:rPr>
        <w:t> </w:t>
      </w:r>
    </w:p>
    <w:p w14:paraId="4E66F475" w14:textId="77777777" w:rsidR="00E466E0" w:rsidRPr="00E466E0" w:rsidRDefault="00E466E0" w:rsidP="00E466E0">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E466E0">
        <w:rPr>
          <w:rFonts w:ascii="Lato" w:eastAsia="Times New Roman" w:hAnsi="Lato" w:cs="Times New Roman"/>
          <w:b/>
          <w:bCs/>
          <w:i/>
          <w:iCs/>
          <w:color w:val="000000"/>
          <w:spacing w:val="5"/>
          <w:sz w:val="20"/>
          <w:szCs w:val="20"/>
          <w:lang w:eastAsia="it-IT"/>
        </w:rPr>
        <w:t>, </w:t>
      </w:r>
      <w:r w:rsidRPr="00E466E0">
        <w:rPr>
          <w:rFonts w:ascii="Lato" w:eastAsia="Times New Roman" w:hAnsi="Lato" w:cs="Times New Roman"/>
          <w:i/>
          <w:iCs/>
          <w:color w:val="000000"/>
          <w:spacing w:val="5"/>
          <w:sz w:val="20"/>
          <w:szCs w:val="20"/>
          <w:lang w:eastAsia="it-IT"/>
        </w:rPr>
        <w:t>in </w:t>
      </w:r>
      <w:r w:rsidRPr="00E466E0">
        <w:rPr>
          <w:rFonts w:ascii="Lato" w:eastAsia="Times New Roman" w:hAnsi="Lato" w:cs="Times New Roman"/>
          <w:b/>
          <w:bCs/>
          <w:i/>
          <w:iCs/>
          <w:color w:val="000000"/>
          <w:spacing w:val="5"/>
          <w:sz w:val="20"/>
          <w:szCs w:val="20"/>
          <w:lang w:eastAsia="it-IT"/>
        </w:rPr>
        <w:t>Riv. dir. comm.</w:t>
      </w:r>
      <w:r w:rsidRPr="00E466E0">
        <w:rPr>
          <w:rFonts w:ascii="Lato" w:eastAsia="Times New Roman" w:hAnsi="Lato" w:cs="Times New Roman"/>
          <w:i/>
          <w:iCs/>
          <w:color w:val="000000"/>
          <w:spacing w:val="5"/>
          <w:sz w:val="20"/>
          <w:szCs w:val="20"/>
          <w:lang w:eastAsia="it-IT"/>
        </w:rPr>
        <w:t> 2019, II, 459 (m), con nota di </w:t>
      </w:r>
      <w:r w:rsidRPr="00E466E0">
        <w:rPr>
          <w:rFonts w:ascii="Lato" w:eastAsia="Times New Roman" w:hAnsi="Lato" w:cs="Times New Roman"/>
          <w:b/>
          <w:bCs/>
          <w:i/>
          <w:iCs/>
          <w:smallCaps/>
          <w:color w:val="000000"/>
          <w:spacing w:val="5"/>
          <w:sz w:val="20"/>
          <w:szCs w:val="20"/>
          <w:lang w:eastAsia="it-IT"/>
        </w:rPr>
        <w:t>IBBA</w:t>
      </w:r>
    </w:p>
    <w:p w14:paraId="5EBD0957"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 xml:space="preserve">Spetta all'autorità giudiziaria ordinaria la giurisdizione in ordine alla controversia instaurata, ai sensi dell'art. 146, 2° comma, </w:t>
      </w:r>
      <w:proofErr w:type="spellStart"/>
      <w:r w:rsidRPr="00E466E0">
        <w:rPr>
          <w:rFonts w:ascii="Lato" w:eastAsia="Times New Roman" w:hAnsi="Lato" w:cs="Times New Roman"/>
          <w:color w:val="000000"/>
          <w:spacing w:val="5"/>
          <w:sz w:val="24"/>
          <w:szCs w:val="24"/>
          <w:lang w:eastAsia="it-IT"/>
        </w:rPr>
        <w:t>l.fall</w:t>
      </w:r>
      <w:proofErr w:type="spellEnd"/>
      <w:r w:rsidRPr="00E466E0">
        <w:rPr>
          <w:rFonts w:ascii="Lato" w:eastAsia="Times New Roman" w:hAnsi="Lato" w:cs="Times New Roman"/>
          <w:color w:val="000000"/>
          <w:spacing w:val="5"/>
          <w:sz w:val="24"/>
          <w:szCs w:val="24"/>
          <w:lang w:eastAsia="it-IT"/>
        </w:rPr>
        <w:t>. (che cumula le diverse azioni previste dagli art. 2393 e 2394 c.c. a favore della società e dei creditori sociali), dal curatore fallimentare di una società a partecipazione pubblica (a prescindere dalla circostanza che questa sia o meno da qualificare come società</w:t>
      </w:r>
      <w:r w:rsidRPr="00E466E0">
        <w:rPr>
          <w:rFonts w:ascii="Lato" w:eastAsia="Times New Roman" w:hAnsi="Lato" w:cs="Times New Roman"/>
          <w:i/>
          <w:iCs/>
          <w:color w:val="000000"/>
          <w:spacing w:val="5"/>
          <w:sz w:val="24"/>
          <w:szCs w:val="24"/>
          <w:lang w:eastAsia="it-IT"/>
        </w:rPr>
        <w:t> in house</w:t>
      </w:r>
      <w:r w:rsidRPr="00E466E0">
        <w:rPr>
          <w:rFonts w:ascii="Lato" w:eastAsia="Times New Roman" w:hAnsi="Lato" w:cs="Times New Roman"/>
          <w:color w:val="000000"/>
          <w:spacing w:val="5"/>
          <w:sz w:val="24"/>
          <w:szCs w:val="24"/>
          <w:lang w:eastAsia="it-IT"/>
        </w:rPr>
        <w:t> di un ente pubblico) dichiarata fallita, per l'accertamento della responsabilità degli amministratori, dei sindaci, del direttore generale e del revisore dei conti della società stessa, nonché (ai sensi dell'art. 2497 c.c.) dell'ente pubblico titolare della partecipazione sociale, in relazione ai danni cagionati da tali soggetti alla società e ai suoi creditori (in motivazione, si precisa che la giurisdizione dell'autorità giudiziaria ordinaria non esclude la responsabilità per danno erariale dei medesimi soggetti, perseguibile, ricorrendone i presupposti, davanti alla giurisdizione contabile).</w:t>
      </w:r>
    </w:p>
    <w:p w14:paraId="40B915C0" w14:textId="77777777" w:rsidR="00E466E0" w:rsidRDefault="00E466E0"/>
    <w:p w14:paraId="1C0FB22B" w14:textId="77777777" w:rsidR="00011BE1" w:rsidRPr="00011BE1" w:rsidRDefault="00011BE1" w:rsidP="00011BE1">
      <w:pPr>
        <w:shd w:val="clear" w:color="auto" w:fill="FFFFFF"/>
        <w:spacing w:after="0" w:line="240" w:lineRule="auto"/>
        <w:rPr>
          <w:rFonts w:ascii="Lato" w:eastAsia="Times New Roman" w:hAnsi="Lato" w:cs="Times New Roman"/>
          <w:i/>
          <w:iCs/>
          <w:color w:val="000000"/>
          <w:spacing w:val="5"/>
          <w:sz w:val="24"/>
          <w:szCs w:val="24"/>
          <w:lang w:eastAsia="it-IT"/>
        </w:rPr>
      </w:pPr>
      <w:r w:rsidRPr="00011BE1">
        <w:rPr>
          <w:rFonts w:ascii="Lato" w:eastAsia="Times New Roman" w:hAnsi="Lato" w:cs="Times New Roman"/>
          <w:b/>
          <w:bCs/>
          <w:i/>
          <w:iCs/>
          <w:color w:val="000000"/>
          <w:spacing w:val="5"/>
          <w:sz w:val="24"/>
          <w:szCs w:val="24"/>
          <w:lang w:eastAsia="it-IT"/>
        </w:rPr>
        <w:t>Presidente Rordorf Renato</w:t>
      </w:r>
      <w:r w:rsidRPr="00011BE1">
        <w:rPr>
          <w:rFonts w:ascii="Lato" w:eastAsia="Times New Roman" w:hAnsi="Lato" w:cs="Times New Roman"/>
          <w:i/>
          <w:iCs/>
          <w:color w:val="000000"/>
          <w:spacing w:val="5"/>
          <w:sz w:val="24"/>
          <w:szCs w:val="24"/>
          <w:lang w:eastAsia="it-IT"/>
        </w:rPr>
        <w:t>; Estensore Campanile Pietro; Ricorrente Omissis contro Omissis</w:t>
      </w:r>
    </w:p>
    <w:p w14:paraId="2132DD56" w14:textId="77777777" w:rsidR="00011BE1" w:rsidRPr="00011BE1" w:rsidRDefault="00011BE1" w:rsidP="00011BE1">
      <w:pPr>
        <w:spacing w:after="0" w:line="240" w:lineRule="auto"/>
        <w:rPr>
          <w:rFonts w:ascii="Times New Roman" w:eastAsia="Times New Roman" w:hAnsi="Times New Roman" w:cs="Times New Roman"/>
          <w:sz w:val="24"/>
          <w:szCs w:val="24"/>
          <w:lang w:eastAsia="it-IT"/>
        </w:rPr>
      </w:pPr>
      <w:r w:rsidRPr="00011BE1">
        <w:rPr>
          <w:rFonts w:ascii="Lato" w:eastAsia="Times New Roman" w:hAnsi="Lato" w:cs="Times New Roman"/>
          <w:color w:val="000000"/>
          <w:spacing w:val="5"/>
          <w:sz w:val="24"/>
          <w:szCs w:val="24"/>
          <w:lang w:eastAsia="it-IT"/>
        </w:rPr>
        <w:br/>
      </w:r>
    </w:p>
    <w:p w14:paraId="3761EB2F" w14:textId="77777777" w:rsidR="00011BE1" w:rsidRPr="00011BE1" w:rsidRDefault="00011BE1" w:rsidP="00011BE1">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011BE1">
        <w:rPr>
          <w:rFonts w:ascii="Lato" w:eastAsia="Times New Roman" w:hAnsi="Lato" w:cs="Times New Roman"/>
          <w:b/>
          <w:bCs/>
          <w:color w:val="000000"/>
          <w:spacing w:val="5"/>
          <w:sz w:val="26"/>
          <w:szCs w:val="26"/>
          <w:lang w:eastAsia="it-IT"/>
        </w:rPr>
        <w:t>Svolgimento del processo</w:t>
      </w:r>
    </w:p>
    <w:p w14:paraId="428833BB"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1. Nel procedimento pendente davanti al Tribunale di Palermo - sezione specializzata in materia di impresa, concernente l'azione proposta dai commissari straordinari della S.p.a. (omissis), ai sensi degli artt. </w:t>
      </w:r>
      <w:hyperlink r:id="rId166" w:history="1">
        <w:r w:rsidRPr="00011BE1">
          <w:rPr>
            <w:rFonts w:ascii="Lato" w:eastAsia="Times New Roman" w:hAnsi="Lato" w:cs="Times New Roman"/>
            <w:b/>
            <w:bCs/>
            <w:color w:val="FFA403"/>
            <w:spacing w:val="5"/>
            <w:sz w:val="24"/>
            <w:szCs w:val="24"/>
            <w:u w:val="single"/>
            <w:lang w:eastAsia="it-IT"/>
          </w:rPr>
          <w:t>2392</w:t>
        </w:r>
      </w:hyperlink>
      <w:r w:rsidRPr="00011BE1">
        <w:rPr>
          <w:rFonts w:ascii="Lato" w:eastAsia="Times New Roman" w:hAnsi="Lato" w:cs="Times New Roman"/>
          <w:color w:val="000000"/>
          <w:spacing w:val="5"/>
          <w:sz w:val="24"/>
          <w:szCs w:val="24"/>
          <w:lang w:eastAsia="it-IT"/>
        </w:rPr>
        <w:t>, </w:t>
      </w:r>
      <w:hyperlink r:id="rId167" w:history="1">
        <w:r w:rsidRPr="00011BE1">
          <w:rPr>
            <w:rFonts w:ascii="Lato" w:eastAsia="Times New Roman" w:hAnsi="Lato" w:cs="Times New Roman"/>
            <w:b/>
            <w:bCs/>
            <w:color w:val="FFA403"/>
            <w:spacing w:val="5"/>
            <w:sz w:val="24"/>
            <w:szCs w:val="24"/>
            <w:u w:val="single"/>
            <w:lang w:eastAsia="it-IT"/>
          </w:rPr>
          <w:t>2393</w:t>
        </w:r>
      </w:hyperlink>
      <w:r w:rsidRPr="00011BE1">
        <w:rPr>
          <w:rFonts w:ascii="Lato" w:eastAsia="Times New Roman" w:hAnsi="Lato" w:cs="Times New Roman"/>
          <w:color w:val="000000"/>
          <w:spacing w:val="5"/>
          <w:sz w:val="24"/>
          <w:szCs w:val="24"/>
          <w:lang w:eastAsia="it-IT"/>
        </w:rPr>
        <w:t>, </w:t>
      </w:r>
      <w:hyperlink r:id="rId168" w:history="1">
        <w:r w:rsidRPr="00011BE1">
          <w:rPr>
            <w:rFonts w:ascii="Lato" w:eastAsia="Times New Roman" w:hAnsi="Lato" w:cs="Times New Roman"/>
            <w:b/>
            <w:bCs/>
            <w:color w:val="FFA403"/>
            <w:spacing w:val="5"/>
            <w:sz w:val="24"/>
            <w:szCs w:val="24"/>
            <w:u w:val="single"/>
            <w:lang w:eastAsia="it-IT"/>
          </w:rPr>
          <w:t>2394</w:t>
        </w:r>
      </w:hyperlink>
      <w:r w:rsidRPr="00011BE1">
        <w:rPr>
          <w:rFonts w:ascii="Lato" w:eastAsia="Times New Roman" w:hAnsi="Lato" w:cs="Times New Roman"/>
          <w:color w:val="000000"/>
          <w:spacing w:val="5"/>
          <w:sz w:val="24"/>
          <w:szCs w:val="24"/>
          <w:lang w:eastAsia="it-IT"/>
        </w:rPr>
        <w:t>, </w:t>
      </w:r>
      <w:hyperlink r:id="rId169" w:history="1">
        <w:r w:rsidRPr="00011BE1">
          <w:rPr>
            <w:rFonts w:ascii="Lato" w:eastAsia="Times New Roman" w:hAnsi="Lato" w:cs="Times New Roman"/>
            <w:b/>
            <w:bCs/>
            <w:color w:val="FFA403"/>
            <w:spacing w:val="5"/>
            <w:sz w:val="24"/>
            <w:szCs w:val="24"/>
            <w:u w:val="single"/>
            <w:lang w:eastAsia="it-IT"/>
          </w:rPr>
          <w:t>2485</w:t>
        </w:r>
      </w:hyperlink>
      <w:r w:rsidRPr="00011BE1">
        <w:rPr>
          <w:rFonts w:ascii="Lato" w:eastAsia="Times New Roman" w:hAnsi="Lato" w:cs="Times New Roman"/>
          <w:color w:val="000000"/>
          <w:spacing w:val="5"/>
          <w:sz w:val="24"/>
          <w:szCs w:val="24"/>
          <w:lang w:eastAsia="it-IT"/>
        </w:rPr>
        <w:t>, </w:t>
      </w:r>
      <w:hyperlink r:id="rId170" w:history="1">
        <w:r w:rsidRPr="00011BE1">
          <w:rPr>
            <w:rFonts w:ascii="Lato" w:eastAsia="Times New Roman" w:hAnsi="Lato" w:cs="Times New Roman"/>
            <w:b/>
            <w:bCs/>
            <w:color w:val="FFA403"/>
            <w:spacing w:val="5"/>
            <w:sz w:val="24"/>
            <w:szCs w:val="24"/>
            <w:u w:val="single"/>
            <w:lang w:eastAsia="it-IT"/>
          </w:rPr>
          <w:t>2486</w:t>
        </w:r>
      </w:hyperlink>
      <w:r w:rsidRPr="00011BE1">
        <w:rPr>
          <w:rFonts w:ascii="Lato" w:eastAsia="Times New Roman" w:hAnsi="Lato" w:cs="Times New Roman"/>
          <w:color w:val="000000"/>
          <w:spacing w:val="5"/>
          <w:sz w:val="24"/>
          <w:szCs w:val="24"/>
          <w:lang w:eastAsia="it-IT"/>
        </w:rPr>
        <w:t>, </w:t>
      </w:r>
      <w:hyperlink r:id="rId171" w:history="1">
        <w:r w:rsidRPr="00011BE1">
          <w:rPr>
            <w:rFonts w:ascii="Lato" w:eastAsia="Times New Roman" w:hAnsi="Lato" w:cs="Times New Roman"/>
            <w:b/>
            <w:bCs/>
            <w:color w:val="FFA403"/>
            <w:spacing w:val="5"/>
            <w:sz w:val="24"/>
            <w:szCs w:val="24"/>
            <w:u w:val="single"/>
            <w:lang w:eastAsia="it-IT"/>
          </w:rPr>
          <w:t>2497</w:t>
        </w:r>
      </w:hyperlink>
      <w:r w:rsidRPr="00011BE1">
        <w:rPr>
          <w:rFonts w:ascii="Lato" w:eastAsia="Times New Roman" w:hAnsi="Lato" w:cs="Times New Roman"/>
          <w:color w:val="000000"/>
          <w:spacing w:val="5"/>
          <w:sz w:val="24"/>
          <w:szCs w:val="24"/>
          <w:lang w:eastAsia="it-IT"/>
        </w:rPr>
        <w:t>, </w:t>
      </w:r>
      <w:hyperlink r:id="rId172" w:history="1">
        <w:r w:rsidRPr="00011BE1">
          <w:rPr>
            <w:rFonts w:ascii="Lato" w:eastAsia="Times New Roman" w:hAnsi="Lato" w:cs="Times New Roman"/>
            <w:b/>
            <w:bCs/>
            <w:color w:val="FFA403"/>
            <w:spacing w:val="5"/>
            <w:sz w:val="24"/>
            <w:szCs w:val="24"/>
            <w:u w:val="single"/>
            <w:lang w:eastAsia="it-IT"/>
          </w:rPr>
          <w:t>2394 bis</w:t>
        </w:r>
      </w:hyperlink>
      <w:r w:rsidRPr="00011BE1">
        <w:rPr>
          <w:rFonts w:ascii="Lato" w:eastAsia="Times New Roman" w:hAnsi="Lato" w:cs="Times New Roman"/>
          <w:color w:val="000000"/>
          <w:spacing w:val="5"/>
          <w:sz w:val="24"/>
          <w:szCs w:val="24"/>
          <w:lang w:eastAsia="it-IT"/>
        </w:rPr>
        <w:t>, </w:t>
      </w:r>
      <w:hyperlink r:id="rId173" w:history="1">
        <w:r w:rsidRPr="00011BE1">
          <w:rPr>
            <w:rFonts w:ascii="Lato" w:eastAsia="Times New Roman" w:hAnsi="Lato" w:cs="Times New Roman"/>
            <w:b/>
            <w:bCs/>
            <w:color w:val="FFA403"/>
            <w:spacing w:val="5"/>
            <w:sz w:val="24"/>
            <w:szCs w:val="24"/>
            <w:u w:val="single"/>
            <w:lang w:eastAsia="it-IT"/>
          </w:rPr>
          <w:t>2396</w:t>
        </w:r>
      </w:hyperlink>
      <w:r w:rsidRPr="00011BE1">
        <w:rPr>
          <w:rFonts w:ascii="Lato" w:eastAsia="Times New Roman" w:hAnsi="Lato" w:cs="Times New Roman"/>
          <w:color w:val="000000"/>
          <w:spacing w:val="5"/>
          <w:sz w:val="24"/>
          <w:szCs w:val="24"/>
          <w:lang w:eastAsia="it-IT"/>
        </w:rPr>
        <w:t>, </w:t>
      </w:r>
      <w:hyperlink r:id="rId174" w:history="1">
        <w:r w:rsidRPr="00011BE1">
          <w:rPr>
            <w:rFonts w:ascii="Lato" w:eastAsia="Times New Roman" w:hAnsi="Lato" w:cs="Times New Roman"/>
            <w:b/>
            <w:bCs/>
            <w:color w:val="FFA403"/>
            <w:spacing w:val="5"/>
            <w:sz w:val="24"/>
            <w:szCs w:val="24"/>
            <w:u w:val="single"/>
            <w:lang w:eastAsia="it-IT"/>
          </w:rPr>
          <w:t>2047</w:t>
        </w:r>
      </w:hyperlink>
      <w:r w:rsidRPr="00011BE1">
        <w:rPr>
          <w:rFonts w:ascii="Lato" w:eastAsia="Times New Roman" w:hAnsi="Lato" w:cs="Times New Roman"/>
          <w:color w:val="000000"/>
          <w:spacing w:val="5"/>
          <w:sz w:val="24"/>
          <w:szCs w:val="24"/>
          <w:lang w:eastAsia="it-IT"/>
        </w:rPr>
        <w:t> e </w:t>
      </w:r>
      <w:hyperlink r:id="rId175" w:history="1">
        <w:r w:rsidRPr="00011BE1">
          <w:rPr>
            <w:rFonts w:ascii="Lato" w:eastAsia="Times New Roman" w:hAnsi="Lato" w:cs="Times New Roman"/>
            <w:b/>
            <w:bCs/>
            <w:color w:val="FFA403"/>
            <w:spacing w:val="5"/>
            <w:sz w:val="24"/>
            <w:szCs w:val="24"/>
            <w:u w:val="single"/>
            <w:lang w:eastAsia="it-IT"/>
          </w:rPr>
          <w:t>2043</w:t>
        </w:r>
      </w:hyperlink>
      <w:r w:rsidRPr="00011BE1">
        <w:rPr>
          <w:rFonts w:ascii="Lato" w:eastAsia="Times New Roman" w:hAnsi="Lato" w:cs="Times New Roman"/>
          <w:color w:val="000000"/>
          <w:spacing w:val="5"/>
          <w:sz w:val="24"/>
          <w:szCs w:val="24"/>
          <w:lang w:eastAsia="it-IT"/>
        </w:rPr>
        <w:t xml:space="preserve"> c.c., e della L. Fall., art. 146, nei confronti degli amministratori, dei sindaci, del direttore generale e del revisore dei conti della società stessa, nonché del Comune di Palermo, G.V. ha proposto ricorso per regolamento di giurisdizione, affidato ad unico e articolato motivo, cui resistono con controricorso il Fallimento di (omissis) S.p.a. e, sostanzialmente aderendo alle prospettazioni del ricorrente, B.G.P., Vincenzo Ga. e </w:t>
      </w:r>
      <w:proofErr w:type="gramStart"/>
      <w:r w:rsidRPr="00011BE1">
        <w:rPr>
          <w:rFonts w:ascii="Lato" w:eastAsia="Times New Roman" w:hAnsi="Lato" w:cs="Times New Roman"/>
          <w:color w:val="000000"/>
          <w:spacing w:val="5"/>
          <w:sz w:val="24"/>
          <w:szCs w:val="24"/>
          <w:lang w:eastAsia="it-IT"/>
        </w:rPr>
        <w:t>S.M..</w:t>
      </w:r>
      <w:proofErr w:type="gramEnd"/>
    </w:p>
    <w:p w14:paraId="7E35559C"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2. Il ricorso è stato avviato alla trattazione in camera di consiglio sulla base delle conclusioni scritte del Pubblico Ministero, il quale ha concluso per l'affermazione della giurisdizione del giudice ordinario.</w:t>
      </w:r>
    </w:p>
    <w:p w14:paraId="5F224937"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3. Il ricorrente, il Fallimento (omissis) e la Gattuso hanno depositato memorie.</w:t>
      </w:r>
    </w:p>
    <w:p w14:paraId="415FB373" w14:textId="77777777" w:rsidR="00011BE1" w:rsidRPr="00011BE1" w:rsidRDefault="00011BE1" w:rsidP="00011BE1">
      <w:pPr>
        <w:spacing w:after="0" w:line="240" w:lineRule="auto"/>
        <w:rPr>
          <w:rFonts w:ascii="Times New Roman" w:eastAsia="Times New Roman" w:hAnsi="Times New Roman" w:cs="Times New Roman"/>
          <w:sz w:val="24"/>
          <w:szCs w:val="24"/>
          <w:lang w:eastAsia="it-IT"/>
        </w:rPr>
      </w:pPr>
    </w:p>
    <w:p w14:paraId="0F740EE8" w14:textId="77777777" w:rsidR="00011BE1" w:rsidRPr="00011BE1" w:rsidRDefault="00011BE1" w:rsidP="00011BE1">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011BE1">
        <w:rPr>
          <w:rFonts w:ascii="Lato" w:eastAsia="Times New Roman" w:hAnsi="Lato" w:cs="Times New Roman"/>
          <w:b/>
          <w:bCs/>
          <w:color w:val="000000"/>
          <w:spacing w:val="5"/>
          <w:sz w:val="26"/>
          <w:szCs w:val="26"/>
          <w:lang w:eastAsia="it-IT"/>
        </w:rPr>
        <w:t>Motivi della decisione</w:t>
      </w:r>
    </w:p>
    <w:p w14:paraId="726CA2BC"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1. Il ricorrente, premesso che l'oggetto sociale della S.p.a. (omissis) consisteva nella gestione del ciclo integrato dei rifiuti solidi urbani e nell'esecuzione dei lavori stradali nell'abitato, ha richiamato le norme statutarie, risultanti dalle modifiche apportate con delibera del 21 dicembre 2006, in virtù delle quali il Comune di Palermo, unico socio, che avrebbe potuto cedere una aliquota ad altre istituzioni pubbliche al fine di "rendere possibile l'affidamento in house su un territorio più vasto di quello comunale" (circostanza, per altro, mai verificatasi), esercitava nella società " un controllo analogo a quello esercitato sui propri servizi ". Rilevato che in base allo statuto precedentemente in vigore - che prevedeva l'astratta possibilità di una partecipazione privata, in via minoritaria, al capitale della società - la società (omissis), in assenza dell'effettiva partecipazione privata al capitale, dovesse considerarsi in house anche in relazione al periodo anteriore alle modifiche apportate con la richiamata delibera dell'anno 2006, il ricorrente afferma che l'accertamento della responsabilità degli amministratori e degli altri soggetti chiamati in giudizio sarebbe interamente devoluto alla giurisdizione della Corte dei Conti.</w:t>
      </w:r>
    </w:p>
    <w:p w14:paraId="4CABF8F0"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2. Il Fallimento della S.p.a. (omissis) ha contestato la fondatezza del ricorso, principalmente eccependo l'insussistenza, sulla base di specifiche previsioni statutarie, con particolare riferimento alla possibilità della cessione a privati di partecipazioni societarie, dei presupposti per la qualificazione della società fallita come in house. Ha poi osservato che in ogni caso l'intervenuta declaratoria del fallimento non potrebbe non comportare l'applicabilità della L. Fall., art. 146, ponendo in evidenza la possibilità di un concorso fra la giurisdizione ordinaria e quella contabile, operanti, salve le esigenze di coordinamento, in ambiti distinti e intese </w:t>
      </w:r>
      <w:proofErr w:type="gramStart"/>
      <w:r w:rsidRPr="00011BE1">
        <w:rPr>
          <w:rFonts w:ascii="Lato" w:eastAsia="Times New Roman" w:hAnsi="Lato" w:cs="Times New Roman"/>
          <w:color w:val="000000"/>
          <w:spacing w:val="5"/>
          <w:sz w:val="24"/>
          <w:szCs w:val="24"/>
          <w:lang w:eastAsia="it-IT"/>
        </w:rPr>
        <w:t>alle tutela</w:t>
      </w:r>
      <w:proofErr w:type="gramEnd"/>
      <w:r w:rsidRPr="00011BE1">
        <w:rPr>
          <w:rFonts w:ascii="Lato" w:eastAsia="Times New Roman" w:hAnsi="Lato" w:cs="Times New Roman"/>
          <w:color w:val="000000"/>
          <w:spacing w:val="5"/>
          <w:sz w:val="24"/>
          <w:szCs w:val="24"/>
          <w:lang w:eastAsia="it-IT"/>
        </w:rPr>
        <w:t xml:space="preserve"> di interessi ben differenziati.</w:t>
      </w:r>
    </w:p>
    <w:p w14:paraId="7C79E5BA"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2.1. Hanno altresì depositato controricorso B.G.P., </w:t>
      </w:r>
      <w:proofErr w:type="spellStart"/>
      <w:proofErr w:type="gramStart"/>
      <w:r w:rsidRPr="00011BE1">
        <w:rPr>
          <w:rFonts w:ascii="Lato" w:eastAsia="Times New Roman" w:hAnsi="Lato" w:cs="Times New Roman"/>
          <w:color w:val="000000"/>
          <w:spacing w:val="5"/>
          <w:sz w:val="24"/>
          <w:szCs w:val="24"/>
          <w:lang w:eastAsia="it-IT"/>
        </w:rPr>
        <w:t>Ga.Vi</w:t>
      </w:r>
      <w:proofErr w:type="spellEnd"/>
      <w:r w:rsidRPr="00011BE1">
        <w:rPr>
          <w:rFonts w:ascii="Lato" w:eastAsia="Times New Roman" w:hAnsi="Lato" w:cs="Times New Roman"/>
          <w:color w:val="000000"/>
          <w:spacing w:val="5"/>
          <w:sz w:val="24"/>
          <w:szCs w:val="24"/>
          <w:lang w:eastAsia="it-IT"/>
        </w:rPr>
        <w:t>.</w:t>
      </w:r>
      <w:proofErr w:type="gramEnd"/>
      <w:r w:rsidRPr="00011BE1">
        <w:rPr>
          <w:rFonts w:ascii="Lato" w:eastAsia="Times New Roman" w:hAnsi="Lato" w:cs="Times New Roman"/>
          <w:color w:val="000000"/>
          <w:spacing w:val="5"/>
          <w:sz w:val="24"/>
          <w:szCs w:val="24"/>
          <w:lang w:eastAsia="it-IT"/>
        </w:rPr>
        <w:t xml:space="preserve"> e S.M., sostanzialmente aderendo alle prospettazioni del ricorrente.</w:t>
      </w:r>
    </w:p>
    <w:p w14:paraId="6B6F08E7"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2.2. Il ricorso è stato avviato alla trattazione in camera di consiglio sulla base delle conclusioni scritte del Pubblico Ministero, il quale ha concluso per l'affermazione della giurisdizione del giudice amministrativo.</w:t>
      </w:r>
    </w:p>
    <w:p w14:paraId="1DB57B55"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lastRenderedPageBreak/>
        <w:t>3. Deve essere affermata la giurisdizione del giudice ordinario.</w:t>
      </w:r>
    </w:p>
    <w:p w14:paraId="564937A1"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4. Vale bene prendere le mosse dalla nota decisione n. 26806 del 19 dicembre 2009, con la quale queste Sezioni unite affermarono che, salve le ipotesi riguardanti determinate società soggette per legge a una disciplina speciale, spetta al giudice ordinario la giurisdizione in ordine all'azione di risarcimento dei danni subiti da una società a partecipazione pubblica per effetto di condotte illecite degli amministratori o dei dipendenti, non essendo in tal caso configurabile, avuto riguardo all'autonoma personalità giuridica della società, </w:t>
      </w:r>
      <w:proofErr w:type="spellStart"/>
      <w:r w:rsidRPr="00011BE1">
        <w:rPr>
          <w:rFonts w:ascii="Lato" w:eastAsia="Times New Roman" w:hAnsi="Lato" w:cs="Times New Roman"/>
          <w:color w:val="000000"/>
          <w:spacing w:val="5"/>
          <w:sz w:val="24"/>
          <w:szCs w:val="24"/>
          <w:lang w:eastAsia="it-IT"/>
        </w:rPr>
        <w:t>nè</w:t>
      </w:r>
      <w:proofErr w:type="spellEnd"/>
      <w:r w:rsidRPr="00011BE1">
        <w:rPr>
          <w:rFonts w:ascii="Lato" w:eastAsia="Times New Roman" w:hAnsi="Lato" w:cs="Times New Roman"/>
          <w:color w:val="000000"/>
          <w:spacing w:val="5"/>
          <w:sz w:val="24"/>
          <w:szCs w:val="24"/>
          <w:lang w:eastAsia="it-IT"/>
        </w:rPr>
        <w:t xml:space="preserve"> un rapporto di servizio tra l'agente e l'ente pubblico titolare della partecipazione, </w:t>
      </w:r>
      <w:proofErr w:type="spellStart"/>
      <w:r w:rsidRPr="00011BE1">
        <w:rPr>
          <w:rFonts w:ascii="Lato" w:eastAsia="Times New Roman" w:hAnsi="Lato" w:cs="Times New Roman"/>
          <w:color w:val="000000"/>
          <w:spacing w:val="5"/>
          <w:sz w:val="24"/>
          <w:szCs w:val="24"/>
          <w:lang w:eastAsia="it-IT"/>
        </w:rPr>
        <w:t>nè</w:t>
      </w:r>
      <w:proofErr w:type="spellEnd"/>
      <w:r w:rsidRPr="00011BE1">
        <w:rPr>
          <w:rFonts w:ascii="Lato" w:eastAsia="Times New Roman" w:hAnsi="Lato" w:cs="Times New Roman"/>
          <w:color w:val="000000"/>
          <w:spacing w:val="5"/>
          <w:sz w:val="24"/>
          <w:szCs w:val="24"/>
          <w:lang w:eastAsia="it-IT"/>
        </w:rPr>
        <w:t xml:space="preserve"> un danno direttamente arrecato allo Stato o ad altro ente pubblico, idonei a radicare la giurisdizione della Corte dei conti. Venne altresì precisato che sussiste la giurisdizione di quest'ultima quando l'azione di responsabilità trovi fondamento nel comportamento di chi, quale rappresentante dell'ente partecipante o comunque titolare del potere di decidere per esso, abbia colpevolmente trascurato di esercitare i propri diritti di socio, in tal modo pregiudicando il valore della partecipazione, ovvero in comportamenti degli amministratori o dei sindaci tali da compromettere la ragione stessa della partecipazione sociale dell'ente pubblico, strumentale al perseguimento di finalità pubbliche ed implicante l'impiego di risorse pubbliche, o da arrecare direttamente pregiudizio al suo patrimonio. Con riferimento alle ipotesi in cui era configurabile un danno erariale, veniva comunque ribadita la concorrente giurisdizione del giudice ordinario, stante la compatibilità dell'azione erariale con le azioni previste dall'</w:t>
      </w:r>
      <w:hyperlink r:id="rId176" w:history="1">
        <w:r w:rsidRPr="00011BE1">
          <w:rPr>
            <w:rFonts w:ascii="Lato" w:eastAsia="Times New Roman" w:hAnsi="Lato" w:cs="Times New Roman"/>
            <w:b/>
            <w:bCs/>
            <w:color w:val="FFA403"/>
            <w:spacing w:val="5"/>
            <w:sz w:val="24"/>
            <w:szCs w:val="24"/>
            <w:u w:val="single"/>
            <w:lang w:eastAsia="it-IT"/>
          </w:rPr>
          <w:t>art. 2395 c.c.</w:t>
        </w:r>
      </w:hyperlink>
      <w:r w:rsidRPr="00011BE1">
        <w:rPr>
          <w:rFonts w:ascii="Lato" w:eastAsia="Times New Roman" w:hAnsi="Lato" w:cs="Times New Roman"/>
          <w:color w:val="000000"/>
          <w:spacing w:val="5"/>
          <w:sz w:val="24"/>
          <w:szCs w:val="24"/>
          <w:lang w:eastAsia="it-IT"/>
        </w:rPr>
        <w:t>, e </w:t>
      </w:r>
      <w:hyperlink r:id="rId177" w:history="1">
        <w:r w:rsidRPr="00011BE1">
          <w:rPr>
            <w:rFonts w:ascii="Lato" w:eastAsia="Times New Roman" w:hAnsi="Lato" w:cs="Times New Roman"/>
            <w:b/>
            <w:bCs/>
            <w:color w:val="FFA403"/>
            <w:spacing w:val="5"/>
            <w:sz w:val="24"/>
            <w:szCs w:val="24"/>
            <w:u w:val="single"/>
            <w:lang w:eastAsia="it-IT"/>
          </w:rPr>
          <w:t>art. 2476 comma 6, c.c.</w:t>
        </w:r>
      </w:hyperlink>
      <w:r w:rsidRPr="00011BE1">
        <w:rPr>
          <w:rFonts w:ascii="Lato" w:eastAsia="Times New Roman" w:hAnsi="Lato" w:cs="Times New Roman"/>
          <w:color w:val="000000"/>
          <w:spacing w:val="5"/>
          <w:sz w:val="24"/>
          <w:szCs w:val="24"/>
          <w:lang w:eastAsia="it-IT"/>
        </w:rPr>
        <w:t>.</w:t>
      </w:r>
    </w:p>
    <w:p w14:paraId="51E80DD4"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5. Tale orientamento veniva confermato nella quasi totalità delle pronunce successive, tanto ai fini dell'affermazione della giurisdizione del giudice ordinario (Cass., Sez. U, 5 luglio 2011, n. 14655; Cass., Sez. U, 7 luglio 2011, n. 14957; Cass., Sez. U, 12 ottobre 2011, n. 20941; Cass., Sez. U, 9 marzo 2012, n. 3692; Cass., 5 aprile 2013, n. 8352), quanto in relazione a determinate società soggette per legge a una disciplina speciale, tale da farle considerare veri e propri enti pubblici, soggetti al controllo della Corte dei conti (Cass., Sez. U, 22 dicembre 2009, n. 27092; Cass., Sez. U, 3 marzo 2010, n. 5032, in tema di danno cagionato, rispettivamente, alle società Rai ed Enav).</w:t>
      </w:r>
    </w:p>
    <w:p w14:paraId="4E675EE6"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6. Questa Corte, occupandosi per la prima volta della questione relativa all'ipotesi in cui l'azione di responsabilità esercitata dalla Procura della Repubblica presso la Corte dei conti sia diretta a far valere la responsabilità degli organi sociali per i danni da essi cagionati al patrimonio di una società "in house", precisato che per essa deve intendersi "quella costituita da uno o più enti pubblici per l'esercizio di pubblici servizi, di cui esclusivamente i medesimi enti possano essere soci, che statutariamente esplichi la propria attività prevalente in favore degli enti partecipanti e la cui gestione sia per statuto assoggetta a forme di controllo analoghe a quello esercitato dagli enti pubblici sui propri uffici", </w:t>
      </w:r>
      <w:r w:rsidRPr="00011BE1">
        <w:rPr>
          <w:rFonts w:ascii="Lato" w:eastAsia="Times New Roman" w:hAnsi="Lato" w:cs="Times New Roman"/>
          <w:b/>
          <w:bCs/>
          <w:color w:val="000000"/>
          <w:spacing w:val="5"/>
          <w:sz w:val="24"/>
          <w:szCs w:val="24"/>
          <w:lang w:eastAsia="it-IT"/>
        </w:rPr>
        <w:t>ha affermato la giurisdizione della Corte dei conti, ponendo in evidenza, fra l'altro, la totale assenza di un potere decisionale suo proprio, in conseguenza del totale assoggettamento dei suoi organi al potere gerarchico dell'ente pubblico titolare della partecipazione sociale. Al di là degli aspetti di natura formale, le società in house - quanto meno ai fini del riparto di giurisdizione - costituiscono delle articolazioni della pubblica amministrazione da cui promanano: l'impossibilità di configurare un rapporto di alterità tra l'ente pubblico e la società in house si riflette anche sulla qualificazione del patrimonio, da intendersi in termini di mera separazione e non di distinta titolarità, con conseguente affermazione della natura erariale del danno cagionato dagli atti illegittimi dei suoi amministratori (Cass., Sez. U, 25 novembre 2013, n. 26283).</w:t>
      </w:r>
    </w:p>
    <w:p w14:paraId="6EB07212"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7. Nell'ambito di tale orientamento, al quale la giurisprudenza successiva si è sostanzialmente uniformata (Cass., Sez. U, 2 dicembre 2013, n. 26936; Cass., Sez. U, 10 </w:t>
      </w:r>
      <w:r w:rsidRPr="00011BE1">
        <w:rPr>
          <w:rFonts w:ascii="Lato" w:eastAsia="Times New Roman" w:hAnsi="Lato" w:cs="Times New Roman"/>
          <w:color w:val="000000"/>
          <w:spacing w:val="5"/>
          <w:sz w:val="24"/>
          <w:szCs w:val="24"/>
          <w:lang w:eastAsia="it-IT"/>
        </w:rPr>
        <w:lastRenderedPageBreak/>
        <w:t xml:space="preserve">marzo 2014, n. 5491; Cass., Sez. U, 26 marzo 2014, n. 7177, in cui si pone in evidenza la necessità di considerare le previsioni statutarie vigenti al momento in cui sia stata posta in essere la condotta illecita contestata, senza tener conto delle successive variazioni), queste Sezioni Unite, anche alla luce di talune decisioni della Corte dei conti e della posizione critica assunta da una parte della dottrina, hanno poi effettuato importanti precisazioni, soprattutto approfondendo il tema della riferibilità degli atti compiuti dall'ente pubblico uti </w:t>
      </w:r>
      <w:proofErr w:type="spellStart"/>
      <w:r w:rsidRPr="00011BE1">
        <w:rPr>
          <w:rFonts w:ascii="Lato" w:eastAsia="Times New Roman" w:hAnsi="Lato" w:cs="Times New Roman"/>
          <w:color w:val="000000"/>
          <w:spacing w:val="5"/>
          <w:sz w:val="24"/>
          <w:szCs w:val="24"/>
          <w:lang w:eastAsia="it-IT"/>
        </w:rPr>
        <w:t>socius</w:t>
      </w:r>
      <w:proofErr w:type="spellEnd"/>
      <w:r w:rsidRPr="00011BE1">
        <w:rPr>
          <w:rFonts w:ascii="Lato" w:eastAsia="Times New Roman" w:hAnsi="Lato" w:cs="Times New Roman"/>
          <w:color w:val="000000"/>
          <w:spacing w:val="5"/>
          <w:sz w:val="24"/>
          <w:szCs w:val="24"/>
          <w:lang w:eastAsia="it-IT"/>
        </w:rPr>
        <w:t xml:space="preserve">, non derivanti dall'esercizio di poteri di natura pubblicistica. </w:t>
      </w:r>
      <w:r w:rsidRPr="00011BE1">
        <w:rPr>
          <w:rFonts w:ascii="Lato" w:eastAsia="Times New Roman" w:hAnsi="Lato" w:cs="Times New Roman"/>
          <w:b/>
          <w:bCs/>
          <w:color w:val="000000"/>
          <w:spacing w:val="5"/>
          <w:sz w:val="24"/>
          <w:szCs w:val="24"/>
          <w:lang w:eastAsia="it-IT"/>
        </w:rPr>
        <w:t xml:space="preserve">Si è quindi affermato che "in tema di società partecipata da un ente locale, pur quando costituita secondo il modello del cd. in house </w:t>
      </w:r>
      <w:proofErr w:type="spellStart"/>
      <w:r w:rsidRPr="00011BE1">
        <w:rPr>
          <w:rFonts w:ascii="Lato" w:eastAsia="Times New Roman" w:hAnsi="Lato" w:cs="Times New Roman"/>
          <w:b/>
          <w:bCs/>
          <w:color w:val="000000"/>
          <w:spacing w:val="5"/>
          <w:sz w:val="24"/>
          <w:szCs w:val="24"/>
          <w:lang w:eastAsia="it-IT"/>
        </w:rPr>
        <w:t>providing</w:t>
      </w:r>
      <w:proofErr w:type="spellEnd"/>
      <w:r w:rsidRPr="00011BE1">
        <w:rPr>
          <w:rFonts w:ascii="Lato" w:eastAsia="Times New Roman" w:hAnsi="Lato" w:cs="Times New Roman"/>
          <w:b/>
          <w:bCs/>
          <w:color w:val="000000"/>
          <w:spacing w:val="5"/>
          <w:sz w:val="24"/>
          <w:szCs w:val="24"/>
          <w:lang w:eastAsia="it-IT"/>
        </w:rPr>
        <w:t>, le azioni concernenti la nomina o la revoca di amministratori e sindaci, ai sensi dell'</w:t>
      </w:r>
      <w:hyperlink r:id="rId178" w:history="1">
        <w:r w:rsidRPr="00011BE1">
          <w:rPr>
            <w:rFonts w:ascii="Lato" w:eastAsia="Times New Roman" w:hAnsi="Lato" w:cs="Times New Roman"/>
            <w:b/>
            <w:bCs/>
            <w:color w:val="FFA403"/>
            <w:spacing w:val="5"/>
            <w:sz w:val="24"/>
            <w:szCs w:val="24"/>
            <w:u w:val="single"/>
            <w:lang w:eastAsia="it-IT"/>
          </w:rPr>
          <w:t>art. 2449 cod. civ.</w:t>
        </w:r>
      </w:hyperlink>
      <w:r w:rsidRPr="00011BE1">
        <w:rPr>
          <w:rFonts w:ascii="Lato" w:eastAsia="Times New Roman" w:hAnsi="Lato" w:cs="Times New Roman"/>
          <w:b/>
          <w:bCs/>
          <w:color w:val="000000"/>
          <w:spacing w:val="5"/>
          <w:sz w:val="24"/>
          <w:szCs w:val="24"/>
          <w:lang w:eastAsia="it-IT"/>
        </w:rPr>
        <w:t xml:space="preserve">, spettano alla giurisdizione del giudice ordinario, non di quello amministrativo, perché investono atti compiuti dall'ente pubblico uti </w:t>
      </w:r>
      <w:proofErr w:type="spellStart"/>
      <w:r w:rsidRPr="00011BE1">
        <w:rPr>
          <w:rFonts w:ascii="Lato" w:eastAsia="Times New Roman" w:hAnsi="Lato" w:cs="Times New Roman"/>
          <w:b/>
          <w:bCs/>
          <w:color w:val="000000"/>
          <w:spacing w:val="5"/>
          <w:sz w:val="24"/>
          <w:szCs w:val="24"/>
          <w:lang w:eastAsia="it-IT"/>
        </w:rPr>
        <w:t>socius</w:t>
      </w:r>
      <w:proofErr w:type="spellEnd"/>
      <w:r w:rsidRPr="00011BE1">
        <w:rPr>
          <w:rFonts w:ascii="Lato" w:eastAsia="Times New Roman" w:hAnsi="Lato" w:cs="Times New Roman"/>
          <w:b/>
          <w:bCs/>
          <w:color w:val="000000"/>
          <w:spacing w:val="5"/>
          <w:sz w:val="24"/>
          <w:szCs w:val="24"/>
          <w:lang w:eastAsia="it-IT"/>
        </w:rPr>
        <w:t xml:space="preserve">, non </w:t>
      </w:r>
      <w:proofErr w:type="spellStart"/>
      <w:r w:rsidRPr="00011BE1">
        <w:rPr>
          <w:rFonts w:ascii="Lato" w:eastAsia="Times New Roman" w:hAnsi="Lato" w:cs="Times New Roman"/>
          <w:b/>
          <w:bCs/>
          <w:color w:val="000000"/>
          <w:spacing w:val="5"/>
          <w:sz w:val="24"/>
          <w:szCs w:val="24"/>
          <w:lang w:eastAsia="it-IT"/>
        </w:rPr>
        <w:t>jure</w:t>
      </w:r>
      <w:proofErr w:type="spellEnd"/>
      <w:r w:rsidRPr="00011BE1">
        <w:rPr>
          <w:rFonts w:ascii="Lato" w:eastAsia="Times New Roman" w:hAnsi="Lato" w:cs="Times New Roman"/>
          <w:b/>
          <w:bCs/>
          <w:color w:val="000000"/>
          <w:spacing w:val="5"/>
          <w:sz w:val="24"/>
          <w:szCs w:val="24"/>
          <w:lang w:eastAsia="it-IT"/>
        </w:rPr>
        <w:t xml:space="preserve"> imperii, e posti in essere a valle della scelta di fondo per l'impiego del modello societario, ogni dubbio essendo stato sciolto a favore della giurisdizione ordinaria dalla clausola ermeneutica generale, in senso privatistico, prevista dall'</w:t>
      </w:r>
      <w:hyperlink r:id="rId179" w:history="1">
        <w:r w:rsidRPr="00011BE1">
          <w:rPr>
            <w:rFonts w:ascii="Lato" w:eastAsia="Times New Roman" w:hAnsi="Lato" w:cs="Times New Roman"/>
            <w:b/>
            <w:bCs/>
            <w:color w:val="FFA403"/>
            <w:spacing w:val="5"/>
            <w:sz w:val="24"/>
            <w:szCs w:val="24"/>
            <w:u w:val="single"/>
            <w:lang w:eastAsia="it-IT"/>
          </w:rPr>
          <w:t>art. 4, comma 13,D.L. n. 95 del 2012</w:t>
        </w:r>
      </w:hyperlink>
      <w:r w:rsidRPr="00011BE1">
        <w:rPr>
          <w:rFonts w:ascii="Lato" w:eastAsia="Times New Roman" w:hAnsi="Lato" w:cs="Times New Roman"/>
          <w:b/>
          <w:bCs/>
          <w:color w:val="000000"/>
          <w:spacing w:val="5"/>
          <w:sz w:val="24"/>
          <w:szCs w:val="24"/>
          <w:lang w:eastAsia="it-IT"/>
        </w:rPr>
        <w:t xml:space="preserve">, </w:t>
      </w:r>
      <w:proofErr w:type="spellStart"/>
      <w:r w:rsidRPr="00011BE1">
        <w:rPr>
          <w:rFonts w:ascii="Lato" w:eastAsia="Times New Roman" w:hAnsi="Lato" w:cs="Times New Roman"/>
          <w:b/>
          <w:bCs/>
          <w:color w:val="000000"/>
          <w:spacing w:val="5"/>
          <w:sz w:val="24"/>
          <w:szCs w:val="24"/>
          <w:lang w:eastAsia="it-IT"/>
        </w:rPr>
        <w:t>conv</w:t>
      </w:r>
      <w:proofErr w:type="spellEnd"/>
      <w:r w:rsidRPr="00011BE1">
        <w:rPr>
          <w:rFonts w:ascii="Lato" w:eastAsia="Times New Roman" w:hAnsi="Lato" w:cs="Times New Roman"/>
          <w:b/>
          <w:bCs/>
          <w:color w:val="000000"/>
          <w:spacing w:val="5"/>
          <w:sz w:val="24"/>
          <w:szCs w:val="24"/>
          <w:lang w:eastAsia="it-IT"/>
        </w:rPr>
        <w:t xml:space="preserve">., con </w:t>
      </w:r>
      <w:proofErr w:type="spellStart"/>
      <w:r w:rsidRPr="00011BE1">
        <w:rPr>
          <w:rFonts w:ascii="Lato" w:eastAsia="Times New Roman" w:hAnsi="Lato" w:cs="Times New Roman"/>
          <w:b/>
          <w:bCs/>
          <w:color w:val="000000"/>
          <w:spacing w:val="5"/>
          <w:sz w:val="24"/>
          <w:szCs w:val="24"/>
          <w:lang w:eastAsia="it-IT"/>
        </w:rPr>
        <w:t>modif</w:t>
      </w:r>
      <w:proofErr w:type="spellEnd"/>
      <w:r w:rsidRPr="00011BE1">
        <w:rPr>
          <w:rFonts w:ascii="Lato" w:eastAsia="Times New Roman" w:hAnsi="Lato" w:cs="Times New Roman"/>
          <w:b/>
          <w:bCs/>
          <w:color w:val="000000"/>
          <w:spacing w:val="5"/>
          <w:sz w:val="24"/>
          <w:szCs w:val="24"/>
          <w:lang w:eastAsia="it-IT"/>
        </w:rPr>
        <w:t>., dalla </w:t>
      </w:r>
      <w:hyperlink r:id="rId180" w:history="1">
        <w:r w:rsidRPr="00011BE1">
          <w:rPr>
            <w:rFonts w:ascii="Lato" w:eastAsia="Times New Roman" w:hAnsi="Lato" w:cs="Times New Roman"/>
            <w:b/>
            <w:bCs/>
            <w:color w:val="FFA403"/>
            <w:spacing w:val="5"/>
            <w:sz w:val="24"/>
            <w:szCs w:val="24"/>
            <w:u w:val="single"/>
            <w:lang w:eastAsia="it-IT"/>
          </w:rPr>
          <w:t>L. n. 135 del 2012</w:t>
        </w:r>
      </w:hyperlink>
      <w:r w:rsidRPr="00011BE1">
        <w:rPr>
          <w:rFonts w:ascii="Lato" w:eastAsia="Times New Roman" w:hAnsi="Lato" w:cs="Times New Roman"/>
          <w:b/>
          <w:bCs/>
          <w:color w:val="000000"/>
          <w:spacing w:val="5"/>
          <w:sz w:val="24"/>
          <w:szCs w:val="24"/>
          <w:lang w:eastAsia="it-IT"/>
        </w:rPr>
        <w:t>, oltre che dal principio successivamente stabilito dall'</w:t>
      </w:r>
      <w:hyperlink r:id="rId181" w:history="1">
        <w:r w:rsidRPr="00011BE1">
          <w:rPr>
            <w:rFonts w:ascii="Lato" w:eastAsia="Times New Roman" w:hAnsi="Lato" w:cs="Times New Roman"/>
            <w:b/>
            <w:bCs/>
            <w:color w:val="FFA403"/>
            <w:spacing w:val="5"/>
            <w:sz w:val="24"/>
            <w:szCs w:val="24"/>
            <w:u w:val="single"/>
            <w:lang w:eastAsia="it-IT"/>
          </w:rPr>
          <w:t>art. 1, comma 3,D.L.vo n. 175 del 2016</w:t>
        </w:r>
      </w:hyperlink>
      <w:r w:rsidRPr="00011BE1">
        <w:rPr>
          <w:rFonts w:ascii="Lato" w:eastAsia="Times New Roman" w:hAnsi="Lato" w:cs="Times New Roman"/>
          <w:color w:val="000000"/>
          <w:spacing w:val="5"/>
          <w:sz w:val="24"/>
          <w:szCs w:val="24"/>
          <w:lang w:eastAsia="it-IT"/>
        </w:rPr>
        <w:t>, (nella specie, peraltro, inapplicabile ratione temporis), a tenore del quale, per tutto quanto non derogato dalle relative disposizioni, le società a partecipazione pubblica sono disciplinate dalle norme sulle società contenute nel c.c." (Cass., 1 dicembre 2016, n. 24591; Cass., Sez. U, 27 marzo 2017, n. 7759). In particolare, l'individuazione della portata della citata pronuncia n. 26283 del 2016, i cui principi sono stati in linea generale ribaditi, è stata effettuata sulla base della conseguenzialità della scelta del paradigma privatistico, ragion per cui si ritenuto "del tutto naturale che quella scelta, ove non vi siano specifiche disposizioni in contrario o ragioni ostative di sistema, comporti l'applicazione del regime giuridico proprio dello strumento societario adoperato".</w:t>
      </w:r>
    </w:p>
    <w:p w14:paraId="0215188D"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8. </w:t>
      </w:r>
      <w:r w:rsidRPr="00011BE1">
        <w:rPr>
          <w:rFonts w:ascii="Lato" w:eastAsia="Times New Roman" w:hAnsi="Lato" w:cs="Times New Roman"/>
          <w:b/>
          <w:bCs/>
          <w:color w:val="000000"/>
          <w:spacing w:val="5"/>
          <w:sz w:val="24"/>
          <w:szCs w:val="24"/>
          <w:lang w:eastAsia="it-IT"/>
        </w:rPr>
        <w:t xml:space="preserve">Particolare rilievo, sia in generale, sia ai fini del presente regolamento, assume una recente decisione della prima sezione civile di questa Corte, con la quale si è affermato: "In tema di società partecipate dagli enti locali, la scelta del legislatore di consentire l'esercizio di determinate attività a società di capitali, e dunque di perseguire l'interesse pubblico attraverso lo strumento privatistico, comporta che queste assumano i rischi connessi alla loro insolvenza pena la violazione dei principi di uguaglianza e di affidamento dei soggetti che con esse entrano in rapporto ed attesa la necessità del rispetto delle regole della concorrenza, che impone parità di trattamento tra quanti operano all'interno di uno stesso mercato con identiche forme e medesime modalità. Del resto, da un lato, la L. Fall., art. 1, esclude dall'area della </w:t>
      </w:r>
      <w:proofErr w:type="spellStart"/>
      <w:r w:rsidRPr="00011BE1">
        <w:rPr>
          <w:rFonts w:ascii="Lato" w:eastAsia="Times New Roman" w:hAnsi="Lato" w:cs="Times New Roman"/>
          <w:b/>
          <w:bCs/>
          <w:color w:val="000000"/>
          <w:spacing w:val="5"/>
          <w:sz w:val="24"/>
          <w:szCs w:val="24"/>
          <w:lang w:eastAsia="it-IT"/>
        </w:rPr>
        <w:t>concorsualità</w:t>
      </w:r>
      <w:proofErr w:type="spellEnd"/>
      <w:r w:rsidRPr="00011BE1">
        <w:rPr>
          <w:rFonts w:ascii="Lato" w:eastAsia="Times New Roman" w:hAnsi="Lato" w:cs="Times New Roman"/>
          <w:b/>
          <w:bCs/>
          <w:color w:val="000000"/>
          <w:spacing w:val="5"/>
          <w:sz w:val="24"/>
          <w:szCs w:val="24"/>
          <w:lang w:eastAsia="it-IT"/>
        </w:rPr>
        <w:t xml:space="preserve"> gli enti pubblici e non anche le società pubbliche, per le quali trovano applicazione le norme del c.c. (</w:t>
      </w:r>
      <w:hyperlink r:id="rId182" w:history="1">
        <w:r w:rsidRPr="00011BE1">
          <w:rPr>
            <w:rFonts w:ascii="Lato" w:eastAsia="Times New Roman" w:hAnsi="Lato" w:cs="Times New Roman"/>
            <w:b/>
            <w:bCs/>
            <w:color w:val="FFA403"/>
            <w:spacing w:val="5"/>
            <w:sz w:val="24"/>
            <w:szCs w:val="24"/>
            <w:u w:val="single"/>
            <w:lang w:eastAsia="it-IT"/>
          </w:rPr>
          <w:t>art. 4, comma 13,D.L. n. 95 del 2012</w:t>
        </w:r>
      </w:hyperlink>
      <w:r w:rsidRPr="00011BE1">
        <w:rPr>
          <w:rFonts w:ascii="Lato" w:eastAsia="Times New Roman" w:hAnsi="Lato" w:cs="Times New Roman"/>
          <w:b/>
          <w:bCs/>
          <w:color w:val="000000"/>
          <w:spacing w:val="5"/>
          <w:sz w:val="24"/>
          <w:szCs w:val="24"/>
          <w:lang w:eastAsia="it-IT"/>
        </w:rPr>
        <w:t xml:space="preserve">, </w:t>
      </w:r>
      <w:proofErr w:type="spellStart"/>
      <w:r w:rsidRPr="00011BE1">
        <w:rPr>
          <w:rFonts w:ascii="Lato" w:eastAsia="Times New Roman" w:hAnsi="Lato" w:cs="Times New Roman"/>
          <w:b/>
          <w:bCs/>
          <w:color w:val="000000"/>
          <w:spacing w:val="5"/>
          <w:sz w:val="24"/>
          <w:szCs w:val="24"/>
          <w:lang w:eastAsia="it-IT"/>
        </w:rPr>
        <w:t>conv</w:t>
      </w:r>
      <w:proofErr w:type="spellEnd"/>
      <w:r w:rsidRPr="00011BE1">
        <w:rPr>
          <w:rFonts w:ascii="Lato" w:eastAsia="Times New Roman" w:hAnsi="Lato" w:cs="Times New Roman"/>
          <w:b/>
          <w:bCs/>
          <w:color w:val="000000"/>
          <w:spacing w:val="5"/>
          <w:sz w:val="24"/>
          <w:szCs w:val="24"/>
          <w:lang w:eastAsia="it-IT"/>
        </w:rPr>
        <w:t xml:space="preserve">., con </w:t>
      </w:r>
      <w:proofErr w:type="spellStart"/>
      <w:r w:rsidRPr="00011BE1">
        <w:rPr>
          <w:rFonts w:ascii="Lato" w:eastAsia="Times New Roman" w:hAnsi="Lato" w:cs="Times New Roman"/>
          <w:b/>
          <w:bCs/>
          <w:color w:val="000000"/>
          <w:spacing w:val="5"/>
          <w:sz w:val="24"/>
          <w:szCs w:val="24"/>
          <w:lang w:eastAsia="it-IT"/>
        </w:rPr>
        <w:t>modif</w:t>
      </w:r>
      <w:proofErr w:type="spellEnd"/>
      <w:r w:rsidRPr="00011BE1">
        <w:rPr>
          <w:rFonts w:ascii="Lato" w:eastAsia="Times New Roman" w:hAnsi="Lato" w:cs="Times New Roman"/>
          <w:b/>
          <w:bCs/>
          <w:color w:val="000000"/>
          <w:spacing w:val="5"/>
          <w:sz w:val="24"/>
          <w:szCs w:val="24"/>
          <w:lang w:eastAsia="it-IT"/>
        </w:rPr>
        <w:t>., dalla </w:t>
      </w:r>
      <w:hyperlink r:id="rId183" w:history="1">
        <w:r w:rsidRPr="00011BE1">
          <w:rPr>
            <w:rFonts w:ascii="Lato" w:eastAsia="Times New Roman" w:hAnsi="Lato" w:cs="Times New Roman"/>
            <w:b/>
            <w:bCs/>
            <w:color w:val="FFA403"/>
            <w:spacing w:val="5"/>
            <w:sz w:val="24"/>
            <w:szCs w:val="24"/>
            <w:u w:val="single"/>
            <w:lang w:eastAsia="it-IT"/>
          </w:rPr>
          <w:t>L. n. 135 del 2012</w:t>
        </w:r>
      </w:hyperlink>
      <w:r w:rsidRPr="00011BE1">
        <w:rPr>
          <w:rFonts w:ascii="Lato" w:eastAsia="Times New Roman" w:hAnsi="Lato" w:cs="Times New Roman"/>
          <w:b/>
          <w:bCs/>
          <w:color w:val="000000"/>
          <w:spacing w:val="5"/>
          <w:sz w:val="24"/>
          <w:szCs w:val="24"/>
          <w:lang w:eastAsia="it-IT"/>
        </w:rPr>
        <w:t>, e, quindi, </w:t>
      </w:r>
      <w:hyperlink r:id="rId184" w:history="1">
        <w:r w:rsidRPr="00011BE1">
          <w:rPr>
            <w:rFonts w:ascii="Lato" w:eastAsia="Times New Roman" w:hAnsi="Lato" w:cs="Times New Roman"/>
            <w:b/>
            <w:bCs/>
            <w:color w:val="FFA403"/>
            <w:spacing w:val="5"/>
            <w:sz w:val="24"/>
            <w:szCs w:val="24"/>
            <w:u w:val="single"/>
            <w:lang w:eastAsia="it-IT"/>
          </w:rPr>
          <w:t>art. 1, comma 3,D.L.vo n. 175 del 2016</w:t>
        </w:r>
      </w:hyperlink>
      <w:r w:rsidRPr="00011BE1">
        <w:rPr>
          <w:rFonts w:ascii="Lato" w:eastAsia="Times New Roman" w:hAnsi="Lato" w:cs="Times New Roman"/>
          <w:b/>
          <w:bCs/>
          <w:color w:val="000000"/>
          <w:spacing w:val="5"/>
          <w:sz w:val="24"/>
          <w:szCs w:val="24"/>
          <w:lang w:eastAsia="it-IT"/>
        </w:rPr>
        <w:t>), nonché quelle sul fallimento, sul concordato preventivo e sull'amministrazione straordinaria delle grandi imprese in crisi (</w:t>
      </w:r>
      <w:hyperlink r:id="rId185" w:history="1">
        <w:r w:rsidRPr="00011BE1">
          <w:rPr>
            <w:rFonts w:ascii="Lato" w:eastAsia="Times New Roman" w:hAnsi="Lato" w:cs="Times New Roman"/>
            <w:b/>
            <w:bCs/>
            <w:color w:val="FFA403"/>
            <w:spacing w:val="5"/>
            <w:sz w:val="24"/>
            <w:szCs w:val="24"/>
            <w:u w:val="single"/>
            <w:lang w:eastAsia="it-IT"/>
          </w:rPr>
          <w:t>art. 14,D.L.vo n. 175 del 2016</w:t>
        </w:r>
      </w:hyperlink>
      <w:r w:rsidRPr="00011BE1">
        <w:rPr>
          <w:rFonts w:ascii="Lato" w:eastAsia="Times New Roman" w:hAnsi="Lato" w:cs="Times New Roman"/>
          <w:b/>
          <w:bCs/>
          <w:color w:val="000000"/>
          <w:spacing w:val="5"/>
          <w:sz w:val="24"/>
          <w:szCs w:val="24"/>
          <w:lang w:eastAsia="it-IT"/>
        </w:rPr>
        <w:t>);</w:t>
      </w:r>
      <w:r w:rsidRPr="00011BE1">
        <w:rPr>
          <w:rFonts w:ascii="Lato" w:eastAsia="Times New Roman" w:hAnsi="Lato" w:cs="Times New Roman"/>
          <w:color w:val="000000"/>
          <w:spacing w:val="5"/>
          <w:sz w:val="24"/>
          <w:szCs w:val="24"/>
          <w:lang w:eastAsia="it-IT"/>
        </w:rPr>
        <w:t xml:space="preserve"> dall'altro, vanno respinte le suggestioni dirette alla compenetrazione sostanzialistica tra tipi societari e qualificazioni pubblicistiche, al di fuori della riserva di legge di cui alla </w:t>
      </w:r>
      <w:hyperlink r:id="rId186" w:history="1">
        <w:r w:rsidRPr="00011BE1">
          <w:rPr>
            <w:rFonts w:ascii="Lato" w:eastAsia="Times New Roman" w:hAnsi="Lato" w:cs="Times New Roman"/>
            <w:b/>
            <w:bCs/>
            <w:color w:val="FFA403"/>
            <w:spacing w:val="5"/>
            <w:sz w:val="24"/>
            <w:szCs w:val="24"/>
            <w:u w:val="single"/>
            <w:lang w:eastAsia="it-IT"/>
          </w:rPr>
          <w:t>L. n. 70 del 1975</w:t>
        </w:r>
      </w:hyperlink>
      <w:r w:rsidRPr="00011BE1">
        <w:rPr>
          <w:rFonts w:ascii="Lato" w:eastAsia="Times New Roman" w:hAnsi="Lato" w:cs="Times New Roman"/>
          <w:color w:val="000000"/>
          <w:spacing w:val="5"/>
          <w:sz w:val="24"/>
          <w:szCs w:val="24"/>
          <w:lang w:eastAsia="it-IT"/>
        </w:rPr>
        <w:t>, art. 4, che vieta la istituzione di enti pubblici se non in forza di un atto normativo" (Cass., 7 febbraio 2017, n. 3196).</w:t>
      </w:r>
    </w:p>
    <w:p w14:paraId="7E5B7E02"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9. La decisione in merito al regolamento in esame va inquadrata nell'ambito del filone interpretativo sopra richiamato. Vale bene premettere, a questo punto, che - per evidenti ragioni - deve considerarsi assorbita la questione, pure prospettata dal ricorrente, della qualificazione della società come in house anche in relazione al periodo anteriore - nel </w:t>
      </w:r>
      <w:r w:rsidRPr="00011BE1">
        <w:rPr>
          <w:rFonts w:ascii="Lato" w:eastAsia="Times New Roman" w:hAnsi="Lato" w:cs="Times New Roman"/>
          <w:color w:val="000000"/>
          <w:spacing w:val="5"/>
          <w:sz w:val="24"/>
          <w:szCs w:val="24"/>
          <w:lang w:eastAsia="it-IT"/>
        </w:rPr>
        <w:lastRenderedPageBreak/>
        <w:t>quale si prevedeva la partecipazione di capitale privato - alle modifiche statutarie introdotte con il verbale in data 21 dicembre 2006.</w:t>
      </w:r>
    </w:p>
    <w:p w14:paraId="16FE1A0D"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10. Come perspicuamente evidenziato nelle conclusioni scritte del Procuratore Generale della Repubblica, la giurisprudenza formatasi in merito al riparto di giurisdizione in tema di azioni di responsabilità proposte nei confronti di soggetti riconducibile a una società in house </w:t>
      </w:r>
      <w:proofErr w:type="spellStart"/>
      <w:r w:rsidRPr="00011BE1">
        <w:rPr>
          <w:rFonts w:ascii="Lato" w:eastAsia="Times New Roman" w:hAnsi="Lato" w:cs="Times New Roman"/>
          <w:color w:val="000000"/>
          <w:spacing w:val="5"/>
          <w:sz w:val="24"/>
          <w:szCs w:val="24"/>
          <w:lang w:eastAsia="it-IT"/>
        </w:rPr>
        <w:t>providing</w:t>
      </w:r>
      <w:proofErr w:type="spellEnd"/>
      <w:r w:rsidRPr="00011BE1">
        <w:rPr>
          <w:rFonts w:ascii="Lato" w:eastAsia="Times New Roman" w:hAnsi="Lato" w:cs="Times New Roman"/>
          <w:color w:val="000000"/>
          <w:spacing w:val="5"/>
          <w:sz w:val="24"/>
          <w:szCs w:val="24"/>
          <w:lang w:eastAsia="it-IT"/>
        </w:rPr>
        <w:t xml:space="preserve"> riguardava iniziative giudiziarie intraprese dal Procuratore presso la Corte dei conti, mentre nel caso in esame l'azione è stata promossa dalla curatela fallimentare ai sensi degli artt. </w:t>
      </w:r>
      <w:hyperlink r:id="rId187" w:history="1">
        <w:r w:rsidRPr="00011BE1">
          <w:rPr>
            <w:rFonts w:ascii="Lato" w:eastAsia="Times New Roman" w:hAnsi="Lato" w:cs="Times New Roman"/>
            <w:b/>
            <w:bCs/>
            <w:color w:val="FFA403"/>
            <w:spacing w:val="5"/>
            <w:sz w:val="24"/>
            <w:szCs w:val="24"/>
            <w:u w:val="single"/>
            <w:lang w:eastAsia="it-IT"/>
          </w:rPr>
          <w:t>2392</w:t>
        </w:r>
      </w:hyperlink>
      <w:r w:rsidRPr="00011BE1">
        <w:rPr>
          <w:rFonts w:ascii="Lato" w:eastAsia="Times New Roman" w:hAnsi="Lato" w:cs="Times New Roman"/>
          <w:color w:val="000000"/>
          <w:spacing w:val="5"/>
          <w:sz w:val="24"/>
          <w:szCs w:val="24"/>
          <w:lang w:eastAsia="it-IT"/>
        </w:rPr>
        <w:t>, </w:t>
      </w:r>
      <w:hyperlink r:id="rId188" w:history="1">
        <w:r w:rsidRPr="00011BE1">
          <w:rPr>
            <w:rFonts w:ascii="Lato" w:eastAsia="Times New Roman" w:hAnsi="Lato" w:cs="Times New Roman"/>
            <w:b/>
            <w:bCs/>
            <w:color w:val="FFA403"/>
            <w:spacing w:val="5"/>
            <w:sz w:val="24"/>
            <w:szCs w:val="24"/>
            <w:u w:val="single"/>
            <w:lang w:eastAsia="it-IT"/>
          </w:rPr>
          <w:t>2393</w:t>
        </w:r>
      </w:hyperlink>
      <w:r w:rsidRPr="00011BE1">
        <w:rPr>
          <w:rFonts w:ascii="Lato" w:eastAsia="Times New Roman" w:hAnsi="Lato" w:cs="Times New Roman"/>
          <w:color w:val="000000"/>
          <w:spacing w:val="5"/>
          <w:sz w:val="24"/>
          <w:szCs w:val="24"/>
          <w:lang w:eastAsia="it-IT"/>
        </w:rPr>
        <w:t>, </w:t>
      </w:r>
      <w:hyperlink r:id="rId189" w:history="1">
        <w:r w:rsidRPr="00011BE1">
          <w:rPr>
            <w:rFonts w:ascii="Lato" w:eastAsia="Times New Roman" w:hAnsi="Lato" w:cs="Times New Roman"/>
            <w:b/>
            <w:bCs/>
            <w:color w:val="FFA403"/>
            <w:spacing w:val="5"/>
            <w:sz w:val="24"/>
            <w:szCs w:val="24"/>
            <w:u w:val="single"/>
            <w:lang w:eastAsia="it-IT"/>
          </w:rPr>
          <w:t>2394</w:t>
        </w:r>
      </w:hyperlink>
      <w:r w:rsidRPr="00011BE1">
        <w:rPr>
          <w:rFonts w:ascii="Lato" w:eastAsia="Times New Roman" w:hAnsi="Lato" w:cs="Times New Roman"/>
          <w:color w:val="000000"/>
          <w:spacing w:val="5"/>
          <w:sz w:val="24"/>
          <w:szCs w:val="24"/>
          <w:lang w:eastAsia="it-IT"/>
        </w:rPr>
        <w:t>, </w:t>
      </w:r>
      <w:hyperlink r:id="rId190" w:history="1">
        <w:r w:rsidRPr="00011BE1">
          <w:rPr>
            <w:rFonts w:ascii="Lato" w:eastAsia="Times New Roman" w:hAnsi="Lato" w:cs="Times New Roman"/>
            <w:b/>
            <w:bCs/>
            <w:color w:val="FFA403"/>
            <w:spacing w:val="5"/>
            <w:sz w:val="24"/>
            <w:szCs w:val="24"/>
            <w:u w:val="single"/>
            <w:lang w:eastAsia="it-IT"/>
          </w:rPr>
          <w:t>2485</w:t>
        </w:r>
      </w:hyperlink>
      <w:r w:rsidRPr="00011BE1">
        <w:rPr>
          <w:rFonts w:ascii="Lato" w:eastAsia="Times New Roman" w:hAnsi="Lato" w:cs="Times New Roman"/>
          <w:color w:val="000000"/>
          <w:spacing w:val="5"/>
          <w:sz w:val="24"/>
          <w:szCs w:val="24"/>
          <w:lang w:eastAsia="it-IT"/>
        </w:rPr>
        <w:t> e </w:t>
      </w:r>
      <w:hyperlink r:id="rId191" w:history="1">
        <w:r w:rsidRPr="00011BE1">
          <w:rPr>
            <w:rFonts w:ascii="Lato" w:eastAsia="Times New Roman" w:hAnsi="Lato" w:cs="Times New Roman"/>
            <w:b/>
            <w:bCs/>
            <w:color w:val="FFA403"/>
            <w:spacing w:val="5"/>
            <w:sz w:val="24"/>
            <w:szCs w:val="24"/>
            <w:u w:val="single"/>
            <w:lang w:eastAsia="it-IT"/>
          </w:rPr>
          <w:t>2486</w:t>
        </w:r>
      </w:hyperlink>
      <w:r w:rsidRPr="00011BE1">
        <w:rPr>
          <w:rFonts w:ascii="Lato" w:eastAsia="Times New Roman" w:hAnsi="Lato" w:cs="Times New Roman"/>
          <w:color w:val="000000"/>
          <w:spacing w:val="5"/>
          <w:sz w:val="24"/>
          <w:szCs w:val="24"/>
          <w:lang w:eastAsia="it-IT"/>
        </w:rPr>
        <w:t> c.c., </w:t>
      </w:r>
      <w:hyperlink r:id="rId192" w:history="1">
        <w:r w:rsidRPr="00011BE1">
          <w:rPr>
            <w:rFonts w:ascii="Lato" w:eastAsia="Times New Roman" w:hAnsi="Lato" w:cs="Times New Roman"/>
            <w:b/>
            <w:bCs/>
            <w:color w:val="FFA403"/>
            <w:spacing w:val="5"/>
            <w:sz w:val="24"/>
            <w:szCs w:val="24"/>
            <w:u w:val="single"/>
            <w:lang w:eastAsia="it-IT"/>
          </w:rPr>
          <w:t>art. 2497 comma 2, c.c.</w:t>
        </w:r>
      </w:hyperlink>
      <w:r w:rsidRPr="00011BE1">
        <w:rPr>
          <w:rFonts w:ascii="Lato" w:eastAsia="Times New Roman" w:hAnsi="Lato" w:cs="Times New Roman"/>
          <w:color w:val="000000"/>
          <w:spacing w:val="5"/>
          <w:sz w:val="24"/>
          <w:szCs w:val="24"/>
          <w:lang w:eastAsia="it-IT"/>
        </w:rPr>
        <w:t>, artt. </w:t>
      </w:r>
      <w:hyperlink r:id="rId193" w:history="1">
        <w:r w:rsidRPr="00011BE1">
          <w:rPr>
            <w:rFonts w:ascii="Lato" w:eastAsia="Times New Roman" w:hAnsi="Lato" w:cs="Times New Roman"/>
            <w:b/>
            <w:bCs/>
            <w:color w:val="FFA403"/>
            <w:spacing w:val="5"/>
            <w:sz w:val="24"/>
            <w:szCs w:val="24"/>
            <w:u w:val="single"/>
            <w:lang w:eastAsia="it-IT"/>
          </w:rPr>
          <w:t>2394 bis</w:t>
        </w:r>
      </w:hyperlink>
      <w:r w:rsidRPr="00011BE1">
        <w:rPr>
          <w:rFonts w:ascii="Lato" w:eastAsia="Times New Roman" w:hAnsi="Lato" w:cs="Times New Roman"/>
          <w:color w:val="000000"/>
          <w:spacing w:val="5"/>
          <w:sz w:val="24"/>
          <w:szCs w:val="24"/>
          <w:lang w:eastAsia="it-IT"/>
        </w:rPr>
        <w:t>, </w:t>
      </w:r>
      <w:hyperlink r:id="rId194" w:history="1">
        <w:r w:rsidRPr="00011BE1">
          <w:rPr>
            <w:rFonts w:ascii="Lato" w:eastAsia="Times New Roman" w:hAnsi="Lato" w:cs="Times New Roman"/>
            <w:b/>
            <w:bCs/>
            <w:color w:val="FFA403"/>
            <w:spacing w:val="5"/>
            <w:sz w:val="24"/>
            <w:szCs w:val="24"/>
            <w:u w:val="single"/>
            <w:lang w:eastAsia="it-IT"/>
          </w:rPr>
          <w:t>2407</w:t>
        </w:r>
      </w:hyperlink>
      <w:r w:rsidRPr="00011BE1">
        <w:rPr>
          <w:rFonts w:ascii="Lato" w:eastAsia="Times New Roman" w:hAnsi="Lato" w:cs="Times New Roman"/>
          <w:color w:val="000000"/>
          <w:spacing w:val="5"/>
          <w:sz w:val="24"/>
          <w:szCs w:val="24"/>
          <w:lang w:eastAsia="it-IT"/>
        </w:rPr>
        <w:t> e </w:t>
      </w:r>
      <w:hyperlink r:id="rId195" w:history="1">
        <w:r w:rsidRPr="00011BE1">
          <w:rPr>
            <w:rFonts w:ascii="Lato" w:eastAsia="Times New Roman" w:hAnsi="Lato" w:cs="Times New Roman"/>
            <w:b/>
            <w:bCs/>
            <w:color w:val="FFA403"/>
            <w:spacing w:val="5"/>
            <w:sz w:val="24"/>
            <w:szCs w:val="24"/>
            <w:u w:val="single"/>
            <w:lang w:eastAsia="it-IT"/>
          </w:rPr>
          <w:t>2043</w:t>
        </w:r>
      </w:hyperlink>
      <w:r w:rsidRPr="00011BE1">
        <w:rPr>
          <w:rFonts w:ascii="Lato" w:eastAsia="Times New Roman" w:hAnsi="Lato" w:cs="Times New Roman"/>
          <w:color w:val="000000"/>
          <w:spacing w:val="5"/>
          <w:sz w:val="24"/>
          <w:szCs w:val="24"/>
          <w:lang w:eastAsia="it-IT"/>
        </w:rPr>
        <w:t> c.c., nonché della L. Fall., art. 147.</w:t>
      </w:r>
    </w:p>
    <w:p w14:paraId="2D3A30ED"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11. In una fattispecie analoga (concernente un'azione di responsabilità promossa da una società in house non dichiarata fallita), questa Corte, posta la questione "</w:t>
      </w:r>
      <w:r w:rsidRPr="00011BE1">
        <w:rPr>
          <w:rFonts w:ascii="Lato" w:eastAsia="Times New Roman" w:hAnsi="Lato" w:cs="Times New Roman"/>
          <w:b/>
          <w:bCs/>
          <w:color w:val="000000"/>
          <w:spacing w:val="5"/>
          <w:sz w:val="24"/>
          <w:szCs w:val="24"/>
          <w:lang w:eastAsia="it-IT"/>
        </w:rPr>
        <w:t>se</w:t>
      </w:r>
      <w:r w:rsidRPr="00011BE1">
        <w:rPr>
          <w:rFonts w:ascii="Lato" w:eastAsia="Times New Roman" w:hAnsi="Lato" w:cs="Times New Roman"/>
          <w:color w:val="000000"/>
          <w:spacing w:val="5"/>
          <w:sz w:val="24"/>
          <w:szCs w:val="24"/>
          <w:lang w:eastAsia="it-IT"/>
        </w:rPr>
        <w:t xml:space="preserve"> nel particolare caso di danni cagionati ad una società in house, </w:t>
      </w:r>
      <w:r w:rsidRPr="00011BE1">
        <w:rPr>
          <w:rFonts w:ascii="Lato" w:eastAsia="Times New Roman" w:hAnsi="Lato" w:cs="Times New Roman"/>
          <w:b/>
          <w:bCs/>
          <w:color w:val="000000"/>
          <w:spacing w:val="5"/>
          <w:sz w:val="24"/>
          <w:szCs w:val="24"/>
          <w:lang w:eastAsia="it-IT"/>
        </w:rPr>
        <w:t>gli specifici argomenti che avevano condotto le sezioni unite ad affermare la giurisdizione della Corte dei conti nelle azioni di responsabilità promosse nei confronti degli organi sociali responsabili di quei danni</w:t>
      </w:r>
      <w:r w:rsidRPr="00011BE1">
        <w:rPr>
          <w:rFonts w:ascii="Lato" w:eastAsia="Times New Roman" w:hAnsi="Lato" w:cs="Times New Roman"/>
          <w:color w:val="000000"/>
          <w:spacing w:val="5"/>
          <w:sz w:val="24"/>
          <w:szCs w:val="24"/>
          <w:lang w:eastAsia="it-IT"/>
        </w:rPr>
        <w:t xml:space="preserve"> - implicanti l'inesistenza, almeno a questo fine, di un vero e proprio rapporto di alterità soggettiva tra la società partecipata e l'ente pubblico partecipante - </w:t>
      </w:r>
      <w:r w:rsidRPr="00011BE1">
        <w:rPr>
          <w:rFonts w:ascii="Lato" w:eastAsia="Times New Roman" w:hAnsi="Lato" w:cs="Times New Roman"/>
          <w:b/>
          <w:bCs/>
          <w:color w:val="000000"/>
          <w:spacing w:val="5"/>
          <w:sz w:val="24"/>
          <w:szCs w:val="24"/>
          <w:lang w:eastAsia="it-IT"/>
        </w:rPr>
        <w:t>non debbano al tempo stesso portare, sul piano logico, ad escludere la possibilità di una (eventualmente concorrente) giurisdizione del giudice ordinario investito da un'azione sociale di responsabilità per i medesimi fatti"</w:t>
      </w:r>
      <w:r w:rsidRPr="00011BE1">
        <w:rPr>
          <w:rFonts w:ascii="Lato" w:eastAsia="Times New Roman" w:hAnsi="Lato" w:cs="Times New Roman"/>
          <w:color w:val="000000"/>
          <w:spacing w:val="5"/>
          <w:sz w:val="24"/>
          <w:szCs w:val="24"/>
          <w:lang w:eastAsia="it-IT"/>
        </w:rPr>
        <w:t xml:space="preserve"> (Cass., Sez. U, 24 marzo 2015, n. 5648), non poteva procedere al suo esame, per l'assorbente ragione che non risultava che nel periodo in cui sarebbe stata posta in essere la condotta illegittima contestata non risultava che la società potesse considerarsi in house </w:t>
      </w:r>
      <w:proofErr w:type="spellStart"/>
      <w:r w:rsidRPr="00011BE1">
        <w:rPr>
          <w:rFonts w:ascii="Lato" w:eastAsia="Times New Roman" w:hAnsi="Lato" w:cs="Times New Roman"/>
          <w:color w:val="000000"/>
          <w:spacing w:val="5"/>
          <w:sz w:val="24"/>
          <w:szCs w:val="24"/>
          <w:lang w:eastAsia="it-IT"/>
        </w:rPr>
        <w:t>providing</w:t>
      </w:r>
      <w:proofErr w:type="spellEnd"/>
      <w:r w:rsidRPr="00011BE1">
        <w:rPr>
          <w:rFonts w:ascii="Lato" w:eastAsia="Times New Roman" w:hAnsi="Lato" w:cs="Times New Roman"/>
          <w:color w:val="000000"/>
          <w:spacing w:val="5"/>
          <w:sz w:val="24"/>
          <w:szCs w:val="24"/>
          <w:lang w:eastAsia="it-IT"/>
        </w:rPr>
        <w:t>. 12</w:t>
      </w:r>
      <w:r w:rsidRPr="00011BE1">
        <w:rPr>
          <w:rFonts w:ascii="Lato" w:eastAsia="Times New Roman" w:hAnsi="Lato" w:cs="Times New Roman"/>
          <w:b/>
          <w:bCs/>
          <w:color w:val="000000"/>
          <w:spacing w:val="5"/>
          <w:sz w:val="24"/>
          <w:szCs w:val="24"/>
          <w:lang w:eastAsia="it-IT"/>
        </w:rPr>
        <w:t>. A detto quesito il Collegio ritiene di dover rispondere nel senso della possibilità del concorso fra la giurisdizione ordinaria e quella contabile, in quanto, come già affermato nella richiamata decisione n. 26806 del 2009, laddove sia prospettato anche un danno erariale, al di là di una semplice interferenza fra i due giudizi, deve ritenersi ammissibile la proposizione, per gli stessi fatti, di un giudizio civile e di un giudizio contabile risarcitorio</w:t>
      </w:r>
      <w:r w:rsidRPr="00011BE1">
        <w:rPr>
          <w:rFonts w:ascii="Lato" w:eastAsia="Times New Roman" w:hAnsi="Lato" w:cs="Times New Roman"/>
          <w:color w:val="000000"/>
          <w:spacing w:val="5"/>
          <w:sz w:val="24"/>
          <w:szCs w:val="24"/>
          <w:lang w:eastAsia="it-IT"/>
        </w:rPr>
        <w:t xml:space="preserve"> (cfr. anche Cass., Sez. U, 7 gennaio 2014, n. 63; Cass., 14 luglio 2015, n. 14632, in cui si sottolinea l'insussistenza della violazione del principio del ne bis in idem, stante la tendenziale diversità di oggetto e di funzione fra i due giudizi).</w:t>
      </w:r>
    </w:p>
    <w:p w14:paraId="2C73C386"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13. Nella vicenda processuale in esame appare evidente l'attribuzione dell'azione esercitata dalla curatela fallimentare alla giurisdizione del giudice ordinario, attesa la natura prettamente civilistica delle norme azionate alle quali la società, per le ragioni indicate, non può sottrarsi. Sotto altro profilo, non può sottacersi la rilevanza dell'esigenza di tutela degli interessi dei creditori soddisfatti, pretermessa ove si accettasse la tesi prospettata dal ricorrente.</w:t>
      </w:r>
    </w:p>
    <w:p w14:paraId="7020B3D5"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proofErr w:type="spellStart"/>
      <w:r w:rsidRPr="00011BE1">
        <w:rPr>
          <w:rFonts w:ascii="Lato" w:eastAsia="Times New Roman" w:hAnsi="Lato" w:cs="Times New Roman"/>
          <w:color w:val="000000"/>
          <w:spacing w:val="5"/>
          <w:sz w:val="24"/>
          <w:szCs w:val="24"/>
          <w:lang w:eastAsia="it-IT"/>
        </w:rPr>
        <w:t>Nè</w:t>
      </w:r>
      <w:proofErr w:type="spellEnd"/>
      <w:r w:rsidRPr="00011BE1">
        <w:rPr>
          <w:rFonts w:ascii="Lato" w:eastAsia="Times New Roman" w:hAnsi="Lato" w:cs="Times New Roman"/>
          <w:color w:val="000000"/>
          <w:spacing w:val="5"/>
          <w:sz w:val="24"/>
          <w:szCs w:val="24"/>
          <w:lang w:eastAsia="it-IT"/>
        </w:rPr>
        <w:t xml:space="preserve"> può omettersi di rilevare che la proponibilità dell'azione di responsabilità esercitata dal curatore ai sensi della L. Fall., art. 146, comma 2, che cumula le diverse azioni previste dagli artt. </w:t>
      </w:r>
      <w:hyperlink r:id="rId196" w:history="1">
        <w:r w:rsidRPr="00011BE1">
          <w:rPr>
            <w:rFonts w:ascii="Lato" w:eastAsia="Times New Roman" w:hAnsi="Lato" w:cs="Times New Roman"/>
            <w:b/>
            <w:bCs/>
            <w:color w:val="FFA403"/>
            <w:spacing w:val="5"/>
            <w:sz w:val="24"/>
            <w:szCs w:val="24"/>
            <w:u w:val="single"/>
            <w:lang w:eastAsia="it-IT"/>
          </w:rPr>
          <w:t>2393</w:t>
        </w:r>
      </w:hyperlink>
      <w:r w:rsidRPr="00011BE1">
        <w:rPr>
          <w:rFonts w:ascii="Lato" w:eastAsia="Times New Roman" w:hAnsi="Lato" w:cs="Times New Roman"/>
          <w:color w:val="000000"/>
          <w:spacing w:val="5"/>
          <w:sz w:val="24"/>
          <w:szCs w:val="24"/>
          <w:lang w:eastAsia="it-IT"/>
        </w:rPr>
        <w:t> e </w:t>
      </w:r>
      <w:hyperlink r:id="rId197" w:history="1">
        <w:r w:rsidRPr="00011BE1">
          <w:rPr>
            <w:rFonts w:ascii="Lato" w:eastAsia="Times New Roman" w:hAnsi="Lato" w:cs="Times New Roman"/>
            <w:b/>
            <w:bCs/>
            <w:color w:val="FFA403"/>
            <w:spacing w:val="5"/>
            <w:sz w:val="24"/>
            <w:szCs w:val="24"/>
            <w:u w:val="single"/>
            <w:lang w:eastAsia="it-IT"/>
          </w:rPr>
          <w:t>2394</w:t>
        </w:r>
      </w:hyperlink>
      <w:r w:rsidRPr="00011BE1">
        <w:rPr>
          <w:rFonts w:ascii="Lato" w:eastAsia="Times New Roman" w:hAnsi="Lato" w:cs="Times New Roman"/>
          <w:color w:val="000000"/>
          <w:spacing w:val="5"/>
          <w:sz w:val="24"/>
          <w:szCs w:val="24"/>
          <w:lang w:eastAsia="it-IT"/>
        </w:rPr>
        <w:t> c.c., a favore della società e dei creditori sociali, in relazione alle quali assume contenuto inscindibile e connotazione autonoma, quale strumento di reintegrazione del patrimonio sociale unitariamente considerato a garanzia sia degli stessi soci che dei creditori sociali (Cass. 29 settembre 2016, n. 19340), costituisce la necessaria conseguenza, come sottolineato dal Procuratore Generale nonché dalla difesa della curatela, del fallimento della società in house, ritenuto ammissibile come già evidenziato - dalla giurisprudenza di questa Corte e nella specie dichiarato con decisione passata in giudicato.</w:t>
      </w:r>
    </w:p>
    <w:p w14:paraId="319FEF83" w14:textId="77777777" w:rsidR="00011BE1" w:rsidRPr="00011BE1" w:rsidRDefault="00011BE1" w:rsidP="00011BE1">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011BE1">
        <w:rPr>
          <w:rFonts w:ascii="Lato" w:eastAsia="Times New Roman" w:hAnsi="Lato" w:cs="Times New Roman"/>
          <w:color w:val="000000"/>
          <w:spacing w:val="5"/>
          <w:sz w:val="24"/>
          <w:szCs w:val="24"/>
          <w:lang w:eastAsia="it-IT"/>
        </w:rPr>
        <w:t xml:space="preserve">14. Il tema della soggezione delle società partecipate da soggetti pubblici, costituite nelle forme del c.c. nei termini sopra delineati, trova riscontro, ai fini ermeneutici in relazione al periodo anteriore alla sua entrata in vigore - ed anche con riferimento alle società in </w:t>
      </w:r>
      <w:r w:rsidRPr="00011BE1">
        <w:rPr>
          <w:rFonts w:ascii="Lato" w:eastAsia="Times New Roman" w:hAnsi="Lato" w:cs="Times New Roman"/>
          <w:color w:val="000000"/>
          <w:spacing w:val="5"/>
          <w:sz w:val="24"/>
          <w:szCs w:val="24"/>
          <w:lang w:eastAsia="it-IT"/>
        </w:rPr>
        <w:lastRenderedPageBreak/>
        <w:t xml:space="preserve">house </w:t>
      </w:r>
      <w:proofErr w:type="spellStart"/>
      <w:r w:rsidRPr="00011BE1">
        <w:rPr>
          <w:rFonts w:ascii="Lato" w:eastAsia="Times New Roman" w:hAnsi="Lato" w:cs="Times New Roman"/>
          <w:color w:val="000000"/>
          <w:spacing w:val="5"/>
          <w:sz w:val="24"/>
          <w:szCs w:val="24"/>
          <w:lang w:eastAsia="it-IT"/>
        </w:rPr>
        <w:t>providing</w:t>
      </w:r>
      <w:proofErr w:type="spellEnd"/>
      <w:r w:rsidRPr="00011BE1">
        <w:rPr>
          <w:rFonts w:ascii="Lato" w:eastAsia="Times New Roman" w:hAnsi="Lato" w:cs="Times New Roman"/>
          <w:color w:val="000000"/>
          <w:spacing w:val="5"/>
          <w:sz w:val="24"/>
          <w:szCs w:val="24"/>
          <w:lang w:eastAsia="it-IT"/>
        </w:rPr>
        <w:t xml:space="preserve"> - nel </w:t>
      </w:r>
      <w:hyperlink r:id="rId198" w:history="1">
        <w:r w:rsidRPr="00011BE1">
          <w:rPr>
            <w:rFonts w:ascii="Lato" w:eastAsia="Times New Roman" w:hAnsi="Lato" w:cs="Times New Roman"/>
            <w:b/>
            <w:bCs/>
            <w:color w:val="FFA403"/>
            <w:spacing w:val="5"/>
            <w:sz w:val="24"/>
            <w:szCs w:val="24"/>
            <w:u w:val="single"/>
            <w:lang w:eastAsia="it-IT"/>
          </w:rPr>
          <w:t>D.L.vo 19 agosto 2016</w:t>
        </w:r>
      </w:hyperlink>
      <w:r w:rsidRPr="00011BE1">
        <w:rPr>
          <w:rFonts w:ascii="Lato" w:eastAsia="Times New Roman" w:hAnsi="Lato" w:cs="Times New Roman"/>
          <w:color w:val="000000"/>
          <w:spacing w:val="5"/>
          <w:sz w:val="24"/>
          <w:szCs w:val="24"/>
          <w:lang w:eastAsia="it-IT"/>
        </w:rPr>
        <w:t xml:space="preserve">, che all'art. 12, espressamente prevede: "I componenti degli organi di amministrazione e controllo delle società partecipate sono soggetti alle azioni civili di responsabilità previste dalla disciplina ordinaria delle società di capitali, salva la giurisdizione della Corte dei conti per il danno erariale causato dagli amministratori e dai dipendenti delle società in house. È devoluta alla Corte dei conti, nei limiti della quota di partecipazione pubblica, la giurisdizione sulle controversie in materia di danno erariale di cui al comma 2". </w:t>
      </w:r>
      <w:r w:rsidRPr="00011BE1">
        <w:rPr>
          <w:rFonts w:ascii="Lato" w:eastAsia="Times New Roman" w:hAnsi="Lato" w:cs="Times New Roman"/>
          <w:b/>
          <w:bCs/>
          <w:color w:val="000000"/>
          <w:spacing w:val="5"/>
          <w:sz w:val="24"/>
          <w:szCs w:val="24"/>
          <w:lang w:eastAsia="it-IT"/>
        </w:rPr>
        <w:t>La specifica attribuzione alla giurisdizione della Corte dei conti delle azioni relative al danno erariale lascia chiaramente intendere la configurabilità di un danno non erariale, al cui ristoro, soprattutto con riferimento alla posizione dei creditori sociali, non è idonea, e pertanto non può avere alcuna efficacia ostativa alle azioni proponibili davanti al giudice ordinario, l'azione concernente la responsabilità contabile.</w:t>
      </w:r>
    </w:p>
    <w:p w14:paraId="5FB43540" w14:textId="77777777" w:rsidR="00011BE1" w:rsidRPr="00011BE1" w:rsidRDefault="00011BE1" w:rsidP="00011BE1">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011BE1">
        <w:rPr>
          <w:rFonts w:ascii="Lato" w:eastAsia="Times New Roman" w:hAnsi="Lato" w:cs="Times New Roman"/>
          <w:color w:val="000000"/>
          <w:spacing w:val="5"/>
          <w:sz w:val="24"/>
          <w:szCs w:val="24"/>
          <w:lang w:eastAsia="it-IT"/>
        </w:rPr>
        <w:t>15. Deve infine rilevarsi che anche in relazione alla domanda proposta nei confronti del solo Comune di Palermo ai sensi dell'</w:t>
      </w:r>
      <w:hyperlink r:id="rId199" w:history="1">
        <w:r w:rsidRPr="00011BE1">
          <w:rPr>
            <w:rFonts w:ascii="Lato" w:eastAsia="Times New Roman" w:hAnsi="Lato" w:cs="Times New Roman"/>
            <w:b/>
            <w:bCs/>
            <w:color w:val="FFA403"/>
            <w:spacing w:val="5"/>
            <w:sz w:val="24"/>
            <w:szCs w:val="24"/>
            <w:u w:val="single"/>
            <w:lang w:eastAsia="it-IT"/>
          </w:rPr>
          <w:t>art. 2497 c.c.</w:t>
        </w:r>
      </w:hyperlink>
      <w:r w:rsidRPr="00011BE1">
        <w:rPr>
          <w:rFonts w:ascii="Lato" w:eastAsia="Times New Roman" w:hAnsi="Lato" w:cs="Times New Roman"/>
          <w:color w:val="000000"/>
          <w:spacing w:val="5"/>
          <w:sz w:val="24"/>
          <w:szCs w:val="24"/>
          <w:lang w:eastAsia="it-IT"/>
        </w:rPr>
        <w:t xml:space="preserve">, deve essere affermata la giurisdizione del giudice ordinario, sia </w:t>
      </w:r>
      <w:proofErr w:type="spellStart"/>
      <w:r w:rsidRPr="00011BE1">
        <w:rPr>
          <w:rFonts w:ascii="Lato" w:eastAsia="Times New Roman" w:hAnsi="Lato" w:cs="Times New Roman"/>
          <w:color w:val="000000"/>
          <w:spacing w:val="5"/>
          <w:sz w:val="24"/>
          <w:szCs w:val="24"/>
          <w:lang w:eastAsia="it-IT"/>
        </w:rPr>
        <w:t>poichè</w:t>
      </w:r>
      <w:proofErr w:type="spellEnd"/>
      <w:r w:rsidRPr="00011BE1">
        <w:rPr>
          <w:rFonts w:ascii="Lato" w:eastAsia="Times New Roman" w:hAnsi="Lato" w:cs="Times New Roman"/>
          <w:color w:val="000000"/>
          <w:spacing w:val="5"/>
          <w:sz w:val="24"/>
          <w:szCs w:val="24"/>
          <w:lang w:eastAsia="it-IT"/>
        </w:rPr>
        <w:t xml:space="preserve">, come correttamente rilevato dal Procuratore Generale, </w:t>
      </w:r>
      <w:r w:rsidRPr="00011BE1">
        <w:rPr>
          <w:rFonts w:ascii="Lato" w:eastAsia="Times New Roman" w:hAnsi="Lato" w:cs="Times New Roman"/>
          <w:b/>
          <w:bCs/>
          <w:color w:val="000000"/>
          <w:spacing w:val="5"/>
          <w:sz w:val="24"/>
          <w:szCs w:val="24"/>
          <w:lang w:eastAsia="it-IT"/>
        </w:rPr>
        <w:t xml:space="preserve">la subordinazione gerarchica degli amministratori della società in house non è inconciliabile con l'alterità della società controllata, sia perché anche in tale ipotesi, come espressamente prevede la norma </w:t>
      </w:r>
      <w:proofErr w:type="spellStart"/>
      <w:r w:rsidRPr="00011BE1">
        <w:rPr>
          <w:rFonts w:ascii="Lato" w:eastAsia="Times New Roman" w:hAnsi="Lato" w:cs="Times New Roman"/>
          <w:b/>
          <w:bCs/>
          <w:color w:val="000000"/>
          <w:spacing w:val="5"/>
          <w:sz w:val="24"/>
          <w:szCs w:val="24"/>
          <w:lang w:eastAsia="it-IT"/>
        </w:rPr>
        <w:t>testè</w:t>
      </w:r>
      <w:proofErr w:type="spellEnd"/>
      <w:r w:rsidRPr="00011BE1">
        <w:rPr>
          <w:rFonts w:ascii="Lato" w:eastAsia="Times New Roman" w:hAnsi="Lato" w:cs="Times New Roman"/>
          <w:b/>
          <w:bCs/>
          <w:color w:val="000000"/>
          <w:spacing w:val="5"/>
          <w:sz w:val="24"/>
          <w:szCs w:val="24"/>
          <w:lang w:eastAsia="it-IT"/>
        </w:rPr>
        <w:t xml:space="preserve"> richiamata, la responsabilità è sancita, oltre che nei confronti dei soci, anche dei creditori sociali "per la lesione cagionata all'integrità del patrimonio della società".</w:t>
      </w:r>
    </w:p>
    <w:p w14:paraId="1F6BCF17"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16. In conclusione, deve affermarsi la giurisdizione del giudice ordinario, davanti al quale vanno rimesse le parti, anche per le spese relative al presente regolamento.</w:t>
      </w:r>
    </w:p>
    <w:p w14:paraId="05F45BFB"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P.Q.M.</w:t>
      </w:r>
    </w:p>
    <w:p w14:paraId="0A796F9F" w14:textId="77777777" w:rsidR="00011BE1" w:rsidRPr="00011BE1" w:rsidRDefault="00011BE1" w:rsidP="00011BE1">
      <w:pPr>
        <w:shd w:val="clear" w:color="auto" w:fill="FFFFFF"/>
        <w:spacing w:after="0" w:line="240" w:lineRule="auto"/>
        <w:jc w:val="both"/>
        <w:rPr>
          <w:rFonts w:ascii="Lato" w:eastAsia="Times New Roman" w:hAnsi="Lato" w:cs="Times New Roman"/>
          <w:color w:val="000000"/>
          <w:spacing w:val="5"/>
          <w:sz w:val="24"/>
          <w:szCs w:val="24"/>
          <w:lang w:eastAsia="it-IT"/>
        </w:rPr>
      </w:pPr>
      <w:r w:rsidRPr="00011BE1">
        <w:rPr>
          <w:rFonts w:ascii="Lato" w:eastAsia="Times New Roman" w:hAnsi="Lato" w:cs="Times New Roman"/>
          <w:color w:val="000000"/>
          <w:spacing w:val="5"/>
          <w:sz w:val="24"/>
          <w:szCs w:val="24"/>
          <w:lang w:eastAsia="it-IT"/>
        </w:rPr>
        <w:t>Dichiara la giurisdizione del giudice ordinario, al quale rimette anche le spese del presente regolamento.</w:t>
      </w:r>
    </w:p>
    <w:p w14:paraId="664EA0BC" w14:textId="77777777" w:rsidR="00E466E0" w:rsidRDefault="00E466E0"/>
    <w:p w14:paraId="51F4E4A6" w14:textId="77777777" w:rsidR="00E466E0" w:rsidRDefault="00E466E0"/>
    <w:p w14:paraId="219C645C" w14:textId="77777777" w:rsidR="005065E3" w:rsidRDefault="005065E3"/>
    <w:p w14:paraId="0E5EC243" w14:textId="77777777" w:rsidR="00E466E0" w:rsidRPr="00E466E0" w:rsidRDefault="00E466E0" w:rsidP="00E466E0">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E466E0">
        <w:rPr>
          <w:rFonts w:ascii="Lato" w:eastAsia="Times New Roman" w:hAnsi="Lato" w:cs="Times New Roman"/>
          <w:color w:val="3E4249"/>
          <w:spacing w:val="5"/>
          <w:kern w:val="36"/>
          <w:sz w:val="45"/>
          <w:szCs w:val="45"/>
          <w:lang w:eastAsia="it-IT"/>
        </w:rPr>
        <w:t xml:space="preserve">Corte di cassazione civile, sez. un., </w:t>
      </w:r>
      <w:proofErr w:type="spellStart"/>
      <w:r w:rsidRPr="00E466E0">
        <w:rPr>
          <w:rFonts w:ascii="Lato" w:eastAsia="Times New Roman" w:hAnsi="Lato" w:cs="Times New Roman"/>
          <w:color w:val="3E4249"/>
          <w:spacing w:val="5"/>
          <w:kern w:val="36"/>
          <w:sz w:val="45"/>
          <w:szCs w:val="45"/>
          <w:lang w:eastAsia="it-IT"/>
        </w:rPr>
        <w:t>ord</w:t>
      </w:r>
      <w:proofErr w:type="spellEnd"/>
      <w:r w:rsidRPr="00E466E0">
        <w:rPr>
          <w:rFonts w:ascii="Lato" w:eastAsia="Times New Roman" w:hAnsi="Lato" w:cs="Times New Roman"/>
          <w:color w:val="3E4249"/>
          <w:spacing w:val="5"/>
          <w:kern w:val="36"/>
          <w:sz w:val="45"/>
          <w:szCs w:val="45"/>
          <w:lang w:eastAsia="it-IT"/>
        </w:rPr>
        <w:t>., 8 luglio 2020 n. 14236</w:t>
      </w:r>
    </w:p>
    <w:p w14:paraId="644F321F" w14:textId="77777777" w:rsidR="00E466E0" w:rsidRPr="00E466E0" w:rsidRDefault="00E466E0" w:rsidP="00E466E0">
      <w:pPr>
        <w:shd w:val="clear" w:color="auto" w:fill="FFFFFF"/>
        <w:spacing w:after="0" w:line="240" w:lineRule="auto"/>
        <w:rPr>
          <w:rFonts w:ascii="Lato" w:eastAsia="Times New Roman" w:hAnsi="Lato" w:cs="Times New Roman"/>
          <w:color w:val="000000"/>
          <w:spacing w:val="5"/>
          <w:sz w:val="24"/>
          <w:szCs w:val="24"/>
          <w:lang w:eastAsia="it-IT"/>
        </w:rPr>
      </w:pPr>
      <w:r w:rsidRPr="00E466E0">
        <w:rPr>
          <w:rFonts w:ascii="Lato" w:eastAsia="Times New Roman" w:hAnsi="Lato" w:cs="Times New Roman"/>
          <w:noProof/>
          <w:color w:val="005797"/>
          <w:spacing w:val="5"/>
          <w:sz w:val="24"/>
          <w:szCs w:val="24"/>
          <w:lang w:eastAsia="it-IT"/>
        </w:rPr>
        <w:drawing>
          <wp:inline distT="0" distB="0" distL="0" distR="0" wp14:anchorId="28008EA4" wp14:editId="3AF4A5AC">
            <wp:extent cx="160655" cy="160655"/>
            <wp:effectExtent l="0" t="0" r="0" b="0"/>
            <wp:docPr id="352334969" name="Immagine 352334969">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E466E0">
        <w:rPr>
          <w:rFonts w:ascii="Lato" w:eastAsia="Times New Roman" w:hAnsi="Lato" w:cs="Times New Roman"/>
          <w:color w:val="000000"/>
          <w:spacing w:val="5"/>
          <w:sz w:val="24"/>
          <w:szCs w:val="24"/>
          <w:lang w:eastAsia="it-IT"/>
        </w:rPr>
        <w:t>    </w:t>
      </w:r>
    </w:p>
    <w:p w14:paraId="565556EB" w14:textId="77777777" w:rsidR="00E466E0" w:rsidRPr="00E466E0" w:rsidRDefault="00E466E0" w:rsidP="00E466E0">
      <w:pPr>
        <w:shd w:val="clear" w:color="auto" w:fill="FFFFFF"/>
        <w:spacing w:after="0" w:line="240" w:lineRule="auto"/>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Responsabilità contabile e amministrativa, Corte dei conti, Giurisdizione civile, Società</w:t>
      </w:r>
    </w:p>
    <w:p w14:paraId="22F462B2" w14:textId="77777777" w:rsidR="00E466E0" w:rsidRPr="00E466E0" w:rsidRDefault="00E466E0" w:rsidP="00E466E0">
      <w:pPr>
        <w:shd w:val="clear" w:color="auto" w:fill="FFFFFF"/>
        <w:spacing w:after="0" w:line="240" w:lineRule="auto"/>
        <w:rPr>
          <w:rFonts w:ascii="Lato" w:eastAsia="Times New Roman" w:hAnsi="Lato" w:cs="Times New Roman"/>
          <w:i/>
          <w:iCs/>
          <w:color w:val="000000"/>
          <w:spacing w:val="5"/>
          <w:sz w:val="24"/>
          <w:szCs w:val="24"/>
          <w:lang w:eastAsia="it-IT"/>
        </w:rPr>
      </w:pPr>
      <w:r w:rsidRPr="00E466E0">
        <w:rPr>
          <w:rFonts w:ascii="Lato" w:eastAsia="Times New Roman" w:hAnsi="Lato" w:cs="Times New Roman"/>
          <w:i/>
          <w:iCs/>
          <w:color w:val="000000"/>
          <w:spacing w:val="5"/>
          <w:sz w:val="24"/>
          <w:szCs w:val="24"/>
          <w:lang w:eastAsia="it-IT"/>
        </w:rPr>
        <w:t>Presidente Di Cerbo Vincenzo; Estensore Locatelli Giuseppe; Ricorrente Omissis contro Omissis</w:t>
      </w:r>
    </w:p>
    <w:p w14:paraId="147AFAAB" w14:textId="77777777" w:rsidR="00E466E0" w:rsidRPr="00E466E0" w:rsidRDefault="00E466E0" w:rsidP="00E466E0">
      <w:pPr>
        <w:shd w:val="clear" w:color="auto" w:fill="FFFFFF"/>
        <w:spacing w:after="0" w:line="240" w:lineRule="auto"/>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br/>
      </w:r>
    </w:p>
    <w:p w14:paraId="4CEF27D8" w14:textId="77777777" w:rsidR="00E466E0" w:rsidRPr="00E466E0" w:rsidRDefault="00E466E0" w:rsidP="00E466E0">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E466E0">
        <w:rPr>
          <w:rFonts w:ascii="Lato" w:eastAsia="Times New Roman" w:hAnsi="Lato" w:cs="Times New Roman"/>
          <w:b/>
          <w:bCs/>
          <w:color w:val="000000"/>
          <w:spacing w:val="5"/>
          <w:sz w:val="26"/>
          <w:szCs w:val="26"/>
          <w:lang w:eastAsia="it-IT"/>
        </w:rPr>
        <w:t>Svolgimento del processo</w:t>
      </w:r>
    </w:p>
    <w:p w14:paraId="0DD86C61"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RITENUTO</w:t>
      </w:r>
    </w:p>
    <w:p w14:paraId="42C26FB9"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che:</w:t>
      </w:r>
    </w:p>
    <w:p w14:paraId="3844E5AC"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 xml:space="preserve">Con atto di citazione del 25 settembre 2011 la Procura Regionale conveniva in giudizio presso la Corte dei Conti, Sezione giurisdizionale per le Marche, C.R., P.S. e B.F., in qualità di amministratori pro tempore della società Fermo ASITE (Ambiente, Servizi, Impianti Tecnologici, Energia) </w:t>
      </w:r>
      <w:proofErr w:type="spellStart"/>
      <w:r w:rsidRPr="00E466E0">
        <w:rPr>
          <w:rFonts w:ascii="Lato" w:eastAsia="Times New Roman" w:hAnsi="Lato" w:cs="Times New Roman"/>
          <w:color w:val="000000"/>
          <w:spacing w:val="5"/>
          <w:sz w:val="24"/>
          <w:szCs w:val="24"/>
          <w:lang w:eastAsia="it-IT"/>
        </w:rPr>
        <w:t>S.u.r.l</w:t>
      </w:r>
      <w:proofErr w:type="spellEnd"/>
      <w:r w:rsidRPr="00E466E0">
        <w:rPr>
          <w:rFonts w:ascii="Lato" w:eastAsia="Times New Roman" w:hAnsi="Lato" w:cs="Times New Roman"/>
          <w:color w:val="000000"/>
          <w:spacing w:val="5"/>
          <w:sz w:val="24"/>
          <w:szCs w:val="24"/>
          <w:lang w:eastAsia="it-IT"/>
        </w:rPr>
        <w:t xml:space="preserve">. (Società unipersonale a responsabilità limitata) per avere, con la propria condotta e per colpa grave, approvato e stipulato in data 19 luglio 2012, un "atto di transazione" produttivo di effetti pregiudizievoli in danno della società e del </w:t>
      </w:r>
      <w:r w:rsidRPr="00E466E0">
        <w:rPr>
          <w:rFonts w:ascii="Lato" w:eastAsia="Times New Roman" w:hAnsi="Lato" w:cs="Times New Roman"/>
          <w:color w:val="000000"/>
          <w:spacing w:val="5"/>
          <w:sz w:val="24"/>
          <w:szCs w:val="24"/>
          <w:lang w:eastAsia="it-IT"/>
        </w:rPr>
        <w:lastRenderedPageBreak/>
        <w:t>Comune di Fermo azionista unico. All'atto della costituzione in giudizio i convenuti C.R., P.S. e B.F. proponevano ricorso preventivo di giurisdizione a norma dell'</w:t>
      </w:r>
      <w:hyperlink r:id="rId200" w:history="1">
        <w:r w:rsidRPr="00E466E0">
          <w:rPr>
            <w:rFonts w:ascii="Lato" w:eastAsia="Times New Roman" w:hAnsi="Lato" w:cs="Times New Roman"/>
            <w:b/>
            <w:bCs/>
            <w:color w:val="FFA403"/>
            <w:spacing w:val="5"/>
            <w:sz w:val="24"/>
            <w:szCs w:val="24"/>
            <w:lang w:eastAsia="it-IT"/>
          </w:rPr>
          <w:t>art. 41 c.p.c.</w:t>
        </w:r>
      </w:hyperlink>
      <w:r w:rsidRPr="00E466E0">
        <w:rPr>
          <w:rFonts w:ascii="Lato" w:eastAsia="Times New Roman" w:hAnsi="Lato" w:cs="Times New Roman"/>
          <w:color w:val="000000"/>
          <w:spacing w:val="5"/>
          <w:sz w:val="24"/>
          <w:szCs w:val="24"/>
          <w:lang w:eastAsia="it-IT"/>
        </w:rPr>
        <w:t>, sostenendo il difetto di giurisdizione della Corte dei Conti con conseguente giurisdizione del G.O., in quanto all'epoca dei fatti la società non poteva qualificarsi "in house" per mancanza dei requisiti del "controllo analogo " esercitato dall'ente pubblico sulla società e del requisito della "attività prevalente" svolta dalla società in favore dell'ente pubblico azionista totalitario.</w:t>
      </w:r>
    </w:p>
    <w:p w14:paraId="462BCCAE"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La Procura regionale della Corte dei Conti Sezione giurisdizionale per le Marche resiste con controricorso, chiedendo il rigetto del ricorso preventivo e la conferma della giurisdizione della Corte dei Conti. Deposita memoria con cui contrasta le conclusioni del Procuratore generale.</w:t>
      </w:r>
    </w:p>
    <w:p w14:paraId="1957F6D8"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Il Procuratore Generale deposita conclusioni chiedendo l'accoglimento del ricorso per difetto in capo alla società partecipata totalitariamente dall'ente locale del requisito del "controllo analogo", con conseguente declaratoria della giurisdizione del giudice ordinario.</w:t>
      </w:r>
    </w:p>
    <w:p w14:paraId="5EA588D2" w14:textId="77777777" w:rsidR="00E466E0" w:rsidRPr="00E466E0" w:rsidRDefault="00E466E0" w:rsidP="00E466E0">
      <w:pPr>
        <w:shd w:val="clear" w:color="auto" w:fill="FFFFFF"/>
        <w:spacing w:after="0" w:line="240" w:lineRule="auto"/>
        <w:rPr>
          <w:rFonts w:ascii="Lato" w:eastAsia="Times New Roman" w:hAnsi="Lato" w:cs="Times New Roman"/>
          <w:color w:val="000000"/>
          <w:spacing w:val="5"/>
          <w:sz w:val="24"/>
          <w:szCs w:val="24"/>
          <w:lang w:eastAsia="it-IT"/>
        </w:rPr>
      </w:pPr>
    </w:p>
    <w:p w14:paraId="0F7EBDA7" w14:textId="77777777" w:rsidR="00E466E0" w:rsidRPr="00E466E0" w:rsidRDefault="00E466E0" w:rsidP="00E466E0">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E466E0">
        <w:rPr>
          <w:rFonts w:ascii="Lato" w:eastAsia="Times New Roman" w:hAnsi="Lato" w:cs="Times New Roman"/>
          <w:b/>
          <w:bCs/>
          <w:color w:val="000000"/>
          <w:spacing w:val="5"/>
          <w:sz w:val="26"/>
          <w:szCs w:val="26"/>
          <w:lang w:eastAsia="it-IT"/>
        </w:rPr>
        <w:t>Motivi della decisione</w:t>
      </w:r>
    </w:p>
    <w:p w14:paraId="0C3E6F96"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CONSIDERATO</w:t>
      </w:r>
    </w:p>
    <w:p w14:paraId="524B7EA5"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che:</w:t>
      </w:r>
    </w:p>
    <w:p w14:paraId="35465FC7"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In recepimento della giurisprudenza comunitaria (sentenza "</w:t>
      </w:r>
      <w:proofErr w:type="spellStart"/>
      <w:r w:rsidRPr="00E466E0">
        <w:rPr>
          <w:rFonts w:ascii="Lato" w:eastAsia="Times New Roman" w:hAnsi="Lato" w:cs="Times New Roman"/>
          <w:color w:val="000000"/>
          <w:spacing w:val="5"/>
          <w:sz w:val="24"/>
          <w:szCs w:val="24"/>
          <w:lang w:eastAsia="it-IT"/>
        </w:rPr>
        <w:t>Teckal</w:t>
      </w:r>
      <w:proofErr w:type="spellEnd"/>
      <w:r w:rsidRPr="00E466E0">
        <w:rPr>
          <w:rFonts w:ascii="Lato" w:eastAsia="Times New Roman" w:hAnsi="Lato" w:cs="Times New Roman"/>
          <w:color w:val="000000"/>
          <w:spacing w:val="5"/>
          <w:sz w:val="24"/>
          <w:szCs w:val="24"/>
          <w:lang w:eastAsia="it-IT"/>
        </w:rPr>
        <w:t>" della Corte di giustizia U.E. del 18 novembre 1999 C- 107/98), che ha definito il criterio derogatorio alla regola generale dell'appalto dei servizi pubblici mediante procedura di gara, l'art. 113, comma 4, lett. a) e </w:t>
      </w:r>
      <w:hyperlink r:id="rId201" w:history="1">
        <w:r w:rsidRPr="00E466E0">
          <w:rPr>
            <w:rFonts w:ascii="Lato" w:eastAsia="Times New Roman" w:hAnsi="Lato" w:cs="Times New Roman"/>
            <w:b/>
            <w:bCs/>
            <w:color w:val="FFA403"/>
            <w:spacing w:val="5"/>
            <w:sz w:val="24"/>
            <w:szCs w:val="24"/>
            <w:lang w:eastAsia="it-IT"/>
          </w:rPr>
          <w:t>comma 5, lett. c), D.L.vo 18 agosto 2000, n. 267</w:t>
        </w:r>
      </w:hyperlink>
      <w:r w:rsidRPr="00E466E0">
        <w:rPr>
          <w:rFonts w:ascii="Lato" w:eastAsia="Times New Roman" w:hAnsi="Lato" w:cs="Times New Roman"/>
          <w:color w:val="000000"/>
          <w:spacing w:val="5"/>
          <w:sz w:val="24"/>
          <w:szCs w:val="24"/>
          <w:lang w:eastAsia="it-IT"/>
        </w:rPr>
        <w:t>, ha previsto che, in deroga alla regola generale dell'espletamento di gare con procedura di evidenza pubblica, è consentito l'affidamento diretto dell'attività di gestione dei servizi pubblici nei confronti di una società cosiddetta "in house" ("interna"), connotata dalla compresenza delle seguenti condizioni: partecipazione pubblica totalitaria al capitale sociale; esercizio da parte dell'ente sulla società di un "controllo analogo" a quello esercitato sui propri servizi; esercizio prevalente dell'attività della società in favore dell'ente pubblico che la controlla. L'</w:t>
      </w:r>
      <w:hyperlink r:id="rId202" w:history="1">
        <w:r w:rsidRPr="00E466E0">
          <w:rPr>
            <w:rFonts w:ascii="Lato" w:eastAsia="Times New Roman" w:hAnsi="Lato" w:cs="Times New Roman"/>
            <w:b/>
            <w:bCs/>
            <w:color w:val="FFA403"/>
            <w:spacing w:val="5"/>
            <w:sz w:val="24"/>
            <w:szCs w:val="24"/>
            <w:lang w:eastAsia="it-IT"/>
          </w:rPr>
          <w:t>art. 2, comma 1, lett. c), D.L.vo 19 agosto 2016, n. 175</w:t>
        </w:r>
      </w:hyperlink>
      <w:r w:rsidRPr="00E466E0">
        <w:rPr>
          <w:rFonts w:ascii="Lato" w:eastAsia="Times New Roman" w:hAnsi="Lato" w:cs="Times New Roman"/>
          <w:color w:val="000000"/>
          <w:spacing w:val="5"/>
          <w:sz w:val="24"/>
          <w:szCs w:val="24"/>
          <w:lang w:eastAsia="it-IT"/>
        </w:rPr>
        <w:t xml:space="preserve">, ha ulteriormente definito la nozione di "controllo analogo" a quello esercitato dall'ente pubblico sui propri servizi, stabilendo che esso sussiste quando l'amministrazione "esercita un influenza determinante sia sugli obiettivi strategici che sulle decisioni significative della società controllata". Secondo la giurisprudenza univoca di questa Corte, sussiste la giurisdizione contabile in materia di azione di responsabilità nei confronti degli organi di gestione e di controllo di società di capitali partecipata da enti pubblici solo se vi siano i seguenti requisiti perché sia configurabile una società "in house </w:t>
      </w:r>
      <w:proofErr w:type="spellStart"/>
      <w:r w:rsidRPr="00E466E0">
        <w:rPr>
          <w:rFonts w:ascii="Lato" w:eastAsia="Times New Roman" w:hAnsi="Lato" w:cs="Times New Roman"/>
          <w:color w:val="000000"/>
          <w:spacing w:val="5"/>
          <w:sz w:val="24"/>
          <w:szCs w:val="24"/>
          <w:lang w:eastAsia="it-IT"/>
        </w:rPr>
        <w:t>providing</w:t>
      </w:r>
      <w:proofErr w:type="spellEnd"/>
      <w:r w:rsidRPr="00E466E0">
        <w:rPr>
          <w:rFonts w:ascii="Lato" w:eastAsia="Times New Roman" w:hAnsi="Lato" w:cs="Times New Roman"/>
          <w:color w:val="000000"/>
          <w:spacing w:val="5"/>
          <w:sz w:val="24"/>
          <w:szCs w:val="24"/>
          <w:lang w:eastAsia="it-IT"/>
        </w:rPr>
        <w:t>": a) il capitale sociale deve essere integralmente detenuto da uno o più enti pubblici per l'esercizio di pubblici servizi e lo statuto deve vietare la cessione delle partecipazioni a soci privati; b) la società deve esplicare statutariamente la propria attività prevalente in favore degli enti partecipanti, in modo che l'eventuale attività accessoria non implichi una significativa presenza sul mercato e rivesta una valenza meramente strumentale; c) la gestione sia per statuto assoggettata a forme di controllo analoghe a quelle esercitate dagli enti pubblici sui propri uffici. Detti requisiti devono sussistere tutti contemporaneamente e risultare da precise disposizioni statutarie in vigore al momento in cui risale la condotta ipotizzata come illecita, non avendo rilievo le mere situazioni di fatto (Sez. U., Ordinanza n. 22409 del 13 settembre 2018; Sez. U., Sentenza n. 16741 del 21 giugno 2019).</w:t>
      </w:r>
    </w:p>
    <w:p w14:paraId="67D514FB"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lastRenderedPageBreak/>
        <w:t xml:space="preserve">Nel caso in esame il requisito della partecipazione totalitaria dell'ente pubblico è pacifico, non essendo controversa la circostanza che il Comune di Fermo è titolare dell'intero capitale della società Fermo A.S.T.E. </w:t>
      </w:r>
      <w:proofErr w:type="spellStart"/>
      <w:r w:rsidRPr="00E466E0">
        <w:rPr>
          <w:rFonts w:ascii="Lato" w:eastAsia="Times New Roman" w:hAnsi="Lato" w:cs="Times New Roman"/>
          <w:color w:val="000000"/>
          <w:spacing w:val="5"/>
          <w:sz w:val="24"/>
          <w:szCs w:val="24"/>
          <w:lang w:eastAsia="it-IT"/>
        </w:rPr>
        <w:t>srl</w:t>
      </w:r>
      <w:proofErr w:type="spellEnd"/>
      <w:r w:rsidRPr="00E466E0">
        <w:rPr>
          <w:rFonts w:ascii="Lato" w:eastAsia="Times New Roman" w:hAnsi="Lato" w:cs="Times New Roman"/>
          <w:color w:val="000000"/>
          <w:spacing w:val="5"/>
          <w:sz w:val="24"/>
          <w:szCs w:val="24"/>
          <w:lang w:eastAsia="it-IT"/>
        </w:rPr>
        <w:t>.</w:t>
      </w:r>
    </w:p>
    <w:p w14:paraId="7492CA28"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 xml:space="preserve">Ricorre il requisito dell'esercizio prevalente della attività a favore dell'ente pubblico azionista unico, quale risulta dall'espresso dettato statutario secondo cui l'esercizio dei pubblici servizi deve avvenire in favore del Comune di Fermo in misura non inferiore al 65% del totale del fatturato (Statuto approvato nell'anno 2006 - pag. 4 controricorso). Quanto al requisito del "controllo analogo" a quelle esercitate sui servizi di diretta gestione, esso deve essere individuato nella circostanza che la gestione della società in house sia per statuto assoggettata a forme di controllo analoghe a quelle esercitate dagli enti pubblici sui propri uffici, ossia quando vi siano previsioni statutarie che attribuiscono all'ente pubblico facoltà di controllo ulteriori che si pongono al di fuori dei normali diritti e poteri spettanti ai soci in base alle regole del c.c.. (Sez. U., Sentenza n. 5491 del 10 marzo 2014; Sez. U., Ordinanza n. 26643 del 22 dicembre 2016). Non appare invece condivisibile una nozione di "controllo analogo" esercitata dall'ente pubblico sulla società in house" tale da declassare la società di capitali a mera articolazione interna dell'ente pubblico, del tutto priva di autonomia e sottoposta all'identico potere gerarchico esercitato dall'Amministrazione sugli uffici </w:t>
      </w:r>
      <w:proofErr w:type="gramStart"/>
      <w:r w:rsidRPr="00E466E0">
        <w:rPr>
          <w:rFonts w:ascii="Lato" w:eastAsia="Times New Roman" w:hAnsi="Lato" w:cs="Times New Roman"/>
          <w:color w:val="000000"/>
          <w:spacing w:val="5"/>
          <w:sz w:val="24"/>
          <w:szCs w:val="24"/>
          <w:lang w:eastAsia="it-IT"/>
        </w:rPr>
        <w:t>dipendenti..</w:t>
      </w:r>
      <w:proofErr w:type="gramEnd"/>
      <w:r w:rsidRPr="00E466E0">
        <w:rPr>
          <w:rFonts w:ascii="Lato" w:eastAsia="Times New Roman" w:hAnsi="Lato" w:cs="Times New Roman"/>
          <w:color w:val="000000"/>
          <w:spacing w:val="5"/>
          <w:sz w:val="24"/>
          <w:szCs w:val="24"/>
          <w:lang w:eastAsia="it-IT"/>
        </w:rPr>
        <w:t xml:space="preserve"> Osta a tale interpretazione il dato letterale della norma che, qualificando il controllo esercitato come "analogo", intende propriamente affermare che esso non è uguale ma semplicemente simile a quello esercitato dall'ente pubblico sui propri servizi gestiti direttamente. Inoltre una interpretazione del "controllo analogo" tale per cui la società in house risulti assoggettata ad un potere di direzione gerarchica indistinguibile da quello esercitato dall'ente pubblico sulle proprie articolazioni interne, appare incompatibile con i principi di autonomia patrimoniale e attribuzione della personalità giuridica che il c.c. riconosce alla società di capitali.</w:t>
      </w:r>
    </w:p>
    <w:p w14:paraId="3E624CBA"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 xml:space="preserve">Con riguardo alla società Fermo A.S.I.T.E. </w:t>
      </w:r>
      <w:proofErr w:type="spellStart"/>
      <w:r w:rsidRPr="00E466E0">
        <w:rPr>
          <w:rFonts w:ascii="Lato" w:eastAsia="Times New Roman" w:hAnsi="Lato" w:cs="Times New Roman"/>
          <w:color w:val="000000"/>
          <w:spacing w:val="5"/>
          <w:sz w:val="24"/>
          <w:szCs w:val="24"/>
          <w:lang w:eastAsia="it-IT"/>
        </w:rPr>
        <w:t>srl</w:t>
      </w:r>
      <w:proofErr w:type="spellEnd"/>
      <w:r w:rsidRPr="00E466E0">
        <w:rPr>
          <w:rFonts w:ascii="Lato" w:eastAsia="Times New Roman" w:hAnsi="Lato" w:cs="Times New Roman"/>
          <w:color w:val="000000"/>
          <w:spacing w:val="5"/>
          <w:sz w:val="24"/>
          <w:szCs w:val="24"/>
          <w:lang w:eastAsia="it-IT"/>
        </w:rPr>
        <w:t xml:space="preserve">, essa risulta espressamente costituita quale società in house </w:t>
      </w:r>
      <w:proofErr w:type="spellStart"/>
      <w:r w:rsidRPr="00E466E0">
        <w:rPr>
          <w:rFonts w:ascii="Lato" w:eastAsia="Times New Roman" w:hAnsi="Lato" w:cs="Times New Roman"/>
          <w:color w:val="000000"/>
          <w:spacing w:val="5"/>
          <w:sz w:val="24"/>
          <w:szCs w:val="24"/>
          <w:lang w:eastAsia="it-IT"/>
        </w:rPr>
        <w:t>providing</w:t>
      </w:r>
      <w:proofErr w:type="spellEnd"/>
      <w:r w:rsidRPr="00E466E0">
        <w:rPr>
          <w:rFonts w:ascii="Lato" w:eastAsia="Times New Roman" w:hAnsi="Lato" w:cs="Times New Roman"/>
          <w:color w:val="000000"/>
          <w:spacing w:val="5"/>
          <w:sz w:val="24"/>
          <w:szCs w:val="24"/>
          <w:lang w:eastAsia="it-IT"/>
        </w:rPr>
        <w:t>, tanto che l'AVCP (Autorità per la Vigilanza sui Contratti Pubblici), oggi ANAC, ha riconosciuto la legittimità dell'affidamento diretto, senza procedura di evidenza pubblica, del servizio comunale relativo al ciclo integrato dei rifiuti, proprio perché essa era dotata di uno Statuto che assicurava la sussistenza dei requisiti per la qualifica di società in house. Oltre alla qualificazione espressa della Fermo A.S.I.T.E. quale società in house, lo Statuto contiene singole disposizioni che attribuiscono al socio ente pubblico azionista totalitario, poteri di controllo ulteriori rispetto a quelli riconosciuti dalle norme civilistiche ai soci delle società di capitali. In particolare l'art. 15 prevede l'obbligo di trasmissione del bilancio entro il termine di 10 giorni al servizio comunale "Controllo società partecipate" accompagnato da relazione; l'art. 19 prevede che le deliberazioni devono essere inviate al servizio comunale "Controllo società partecipate", e che il Consiglio di Amministrazione ha obbligo di trasmettere alla Giunta Comunale una relazione semestrale contenente una dettagliata illustrazione sull'andamento della gestione, unitamente al bilancio approvato; l'art. 22 stabilisce che l'Organo amministrativo deve conformarsi agli indirizzi generali espressi in merito dall'ente proprietario, e introduce la necessità di una preventiva autorizzazione dell'assemblea dei soci (cioè dell'ente pubblico socio totalitario) perché l'organo amministrativo possa deliberare validamente in determinate materie.</w:t>
      </w:r>
    </w:p>
    <w:p w14:paraId="5C26607F"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 xml:space="preserve">Le modifiche statutarie introdotte con la </w:t>
      </w:r>
      <w:proofErr w:type="spellStart"/>
      <w:r w:rsidRPr="00E466E0">
        <w:rPr>
          <w:rFonts w:ascii="Lato" w:eastAsia="Times New Roman" w:hAnsi="Lato" w:cs="Times New Roman"/>
          <w:color w:val="000000"/>
          <w:spacing w:val="5"/>
          <w:sz w:val="24"/>
          <w:szCs w:val="24"/>
          <w:lang w:eastAsia="it-IT"/>
        </w:rPr>
        <w:t>Delib</w:t>
      </w:r>
      <w:proofErr w:type="spellEnd"/>
      <w:r w:rsidRPr="00E466E0">
        <w:rPr>
          <w:rFonts w:ascii="Lato" w:eastAsia="Times New Roman" w:hAnsi="Lato" w:cs="Times New Roman"/>
          <w:color w:val="000000"/>
          <w:spacing w:val="5"/>
          <w:sz w:val="24"/>
          <w:szCs w:val="24"/>
          <w:lang w:eastAsia="it-IT"/>
        </w:rPr>
        <w:t xml:space="preserve">. 27 ottobre 2017, sono rafforzative della natura di società in house già esistente alla data (2012) di commissione dell'illecito contestato (in particolare viene innalzata all'80% la percentuale di attività che deve </w:t>
      </w:r>
      <w:r w:rsidRPr="00E466E0">
        <w:rPr>
          <w:rFonts w:ascii="Lato" w:eastAsia="Times New Roman" w:hAnsi="Lato" w:cs="Times New Roman"/>
          <w:color w:val="000000"/>
          <w:spacing w:val="5"/>
          <w:sz w:val="24"/>
          <w:szCs w:val="24"/>
          <w:lang w:eastAsia="it-IT"/>
        </w:rPr>
        <w:lastRenderedPageBreak/>
        <w:t>essere svolta in favore dell'ente proprietario; sono rafforzati, ma non introdotti ex novo, i poteri di "controllo analogo" che possono essere esercitati dall'ente locale socio unico).</w:t>
      </w:r>
    </w:p>
    <w:p w14:paraId="4750DBAD"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Per le ragioni esposte deve essere dichiarata la giurisdizione della Corte dei Conti. Nulla sulle spese non dovendosi provvedere per la Procura Regionale vittoriosa.</w:t>
      </w:r>
    </w:p>
    <w:p w14:paraId="04085923"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P.Q.M.</w:t>
      </w:r>
    </w:p>
    <w:p w14:paraId="4F504CA9" w14:textId="77777777" w:rsidR="00E466E0" w:rsidRPr="00E466E0" w:rsidRDefault="00E466E0" w:rsidP="00E466E0">
      <w:pPr>
        <w:shd w:val="clear" w:color="auto" w:fill="FFFFFF"/>
        <w:spacing w:after="0" w:line="240" w:lineRule="auto"/>
        <w:jc w:val="both"/>
        <w:rPr>
          <w:rFonts w:ascii="Lato" w:eastAsia="Times New Roman" w:hAnsi="Lato" w:cs="Times New Roman"/>
          <w:color w:val="000000"/>
          <w:spacing w:val="5"/>
          <w:sz w:val="24"/>
          <w:szCs w:val="24"/>
          <w:lang w:eastAsia="it-IT"/>
        </w:rPr>
      </w:pPr>
      <w:r w:rsidRPr="00E466E0">
        <w:rPr>
          <w:rFonts w:ascii="Lato" w:eastAsia="Times New Roman" w:hAnsi="Lato" w:cs="Times New Roman"/>
          <w:color w:val="000000"/>
          <w:spacing w:val="5"/>
          <w:sz w:val="24"/>
          <w:szCs w:val="24"/>
          <w:lang w:eastAsia="it-IT"/>
        </w:rPr>
        <w:t>Dichiara la giurisdizione della Corte dei Conti.</w:t>
      </w:r>
    </w:p>
    <w:p w14:paraId="5699CB08" w14:textId="77777777" w:rsidR="00E466E0" w:rsidRPr="00E466E0" w:rsidRDefault="00E466E0" w:rsidP="00E466E0">
      <w:pPr>
        <w:shd w:val="clear" w:color="auto" w:fill="FFFFFF"/>
        <w:spacing w:after="0" w:line="240" w:lineRule="auto"/>
        <w:rPr>
          <w:rFonts w:ascii="Lato" w:eastAsia="Times New Roman" w:hAnsi="Lato" w:cs="Times New Roman"/>
          <w:color w:val="000000"/>
          <w:spacing w:val="5"/>
          <w:sz w:val="24"/>
          <w:szCs w:val="24"/>
          <w:lang w:eastAsia="it-IT"/>
        </w:rPr>
      </w:pPr>
    </w:p>
    <w:p w14:paraId="650ED15D" w14:textId="77777777" w:rsidR="00E466E0" w:rsidRPr="00E466E0" w:rsidRDefault="00E466E0" w:rsidP="00E466E0">
      <w:pPr>
        <w:shd w:val="clear" w:color="auto" w:fill="FFFFFF"/>
        <w:spacing w:after="0" w:line="240" w:lineRule="auto"/>
        <w:rPr>
          <w:rFonts w:ascii="Lato" w:eastAsia="Times New Roman" w:hAnsi="Lato" w:cs="Times New Roman"/>
          <w:b/>
          <w:bCs/>
          <w:color w:val="000000"/>
          <w:spacing w:val="5"/>
          <w:sz w:val="24"/>
          <w:szCs w:val="24"/>
          <w:lang w:eastAsia="it-IT"/>
        </w:rPr>
      </w:pPr>
      <w:r w:rsidRPr="00E466E0">
        <w:rPr>
          <w:rFonts w:ascii="Lato" w:eastAsia="Times New Roman" w:hAnsi="Lato" w:cs="Times New Roman"/>
          <w:b/>
          <w:bCs/>
          <w:color w:val="000000"/>
          <w:spacing w:val="5"/>
          <w:sz w:val="24"/>
          <w:szCs w:val="24"/>
          <w:lang w:eastAsia="it-IT"/>
        </w:rPr>
        <w:t>Riferimenti normativi:</w:t>
      </w:r>
    </w:p>
    <w:p w14:paraId="0482C65D" w14:textId="77777777" w:rsidR="00E466E0" w:rsidRPr="00E466E0" w:rsidRDefault="00E466E0" w:rsidP="00E466E0">
      <w:pPr>
        <w:shd w:val="clear" w:color="auto" w:fill="FFFFFF"/>
        <w:spacing w:after="0" w:line="240" w:lineRule="auto"/>
        <w:rPr>
          <w:rFonts w:ascii="Lato" w:eastAsia="Times New Roman" w:hAnsi="Lato" w:cs="Times New Roman"/>
          <w:color w:val="000000"/>
          <w:spacing w:val="5"/>
          <w:sz w:val="24"/>
          <w:szCs w:val="24"/>
          <w:lang w:eastAsia="it-IT"/>
        </w:rPr>
      </w:pPr>
      <w:hyperlink r:id="rId203" w:tgtFrame="_blank" w:history="1">
        <w:r w:rsidRPr="00E466E0">
          <w:rPr>
            <w:rFonts w:ascii="Lato" w:eastAsia="Times New Roman" w:hAnsi="Lato" w:cs="Times New Roman"/>
            <w:b/>
            <w:bCs/>
            <w:color w:val="FFA403"/>
            <w:spacing w:val="5"/>
            <w:sz w:val="24"/>
            <w:szCs w:val="24"/>
            <w:lang w:eastAsia="it-IT"/>
          </w:rPr>
          <w:t>Art. 2 D.</w:t>
        </w:r>
        <w:proofErr w:type="gramStart"/>
        <w:r w:rsidRPr="00E466E0">
          <w:rPr>
            <w:rFonts w:ascii="Lato" w:eastAsia="Times New Roman" w:hAnsi="Lato" w:cs="Times New Roman"/>
            <w:b/>
            <w:bCs/>
            <w:color w:val="FFA403"/>
            <w:spacing w:val="5"/>
            <w:sz w:val="24"/>
            <w:szCs w:val="24"/>
            <w:lang w:eastAsia="it-IT"/>
          </w:rPr>
          <w:t>L.VO</w:t>
        </w:r>
        <w:proofErr w:type="gramEnd"/>
        <w:r w:rsidRPr="00E466E0">
          <w:rPr>
            <w:rFonts w:ascii="Lato" w:eastAsia="Times New Roman" w:hAnsi="Lato" w:cs="Times New Roman"/>
            <w:b/>
            <w:bCs/>
            <w:color w:val="FFA403"/>
            <w:spacing w:val="5"/>
            <w:sz w:val="24"/>
            <w:szCs w:val="24"/>
            <w:lang w:eastAsia="it-IT"/>
          </w:rPr>
          <w:t xml:space="preserve"> del 19 agosto 2016 n. 175</w:t>
        </w:r>
      </w:hyperlink>
      <w:r w:rsidRPr="00E466E0">
        <w:rPr>
          <w:rFonts w:ascii="Lato" w:eastAsia="Times New Roman" w:hAnsi="Lato" w:cs="Times New Roman"/>
          <w:color w:val="000000"/>
          <w:spacing w:val="5"/>
          <w:sz w:val="24"/>
          <w:szCs w:val="24"/>
          <w:lang w:eastAsia="it-IT"/>
        </w:rPr>
        <w:br/>
      </w:r>
      <w:hyperlink r:id="rId204" w:tgtFrame="_blank" w:history="1">
        <w:r w:rsidRPr="00E466E0">
          <w:rPr>
            <w:rFonts w:ascii="Lato" w:eastAsia="Times New Roman" w:hAnsi="Lato" w:cs="Times New Roman"/>
            <w:b/>
            <w:bCs/>
            <w:color w:val="FFA403"/>
            <w:spacing w:val="5"/>
            <w:sz w:val="24"/>
            <w:szCs w:val="24"/>
            <w:lang w:eastAsia="it-IT"/>
          </w:rPr>
          <w:t>Art. 41 C.P.C.</w:t>
        </w:r>
      </w:hyperlink>
    </w:p>
    <w:p w14:paraId="4E141268" w14:textId="77777777" w:rsidR="002120EF" w:rsidRDefault="002120EF"/>
    <w:p w14:paraId="7C51DB65" w14:textId="77777777" w:rsidR="003923B8" w:rsidRDefault="003923B8"/>
    <w:p w14:paraId="11956DDF" w14:textId="77777777" w:rsidR="003923B8" w:rsidRDefault="003923B8"/>
    <w:p w14:paraId="48BAEA14" w14:textId="77777777" w:rsidR="003923B8" w:rsidRDefault="003923B8"/>
    <w:p w14:paraId="387D6BB6" w14:textId="77777777" w:rsidR="003923B8" w:rsidRPr="003923B8" w:rsidRDefault="003923B8" w:rsidP="003923B8">
      <w:pPr>
        <w:shd w:val="clear" w:color="auto" w:fill="FFFFFF"/>
        <w:spacing w:after="0" w:line="240" w:lineRule="auto"/>
        <w:rPr>
          <w:rFonts w:ascii="Open Sans" w:eastAsia="Times New Roman" w:hAnsi="Open Sans" w:cs="Open Sans"/>
          <w:b/>
          <w:bCs/>
          <w:color w:val="000000"/>
          <w:sz w:val="36"/>
          <w:szCs w:val="36"/>
          <w:lang w:eastAsia="it-IT"/>
        </w:rPr>
      </w:pPr>
      <w:r w:rsidRPr="003923B8">
        <w:rPr>
          <w:rFonts w:ascii="Open Sans" w:eastAsia="Times New Roman" w:hAnsi="Open Sans" w:cs="Open Sans"/>
          <w:b/>
          <w:bCs/>
          <w:color w:val="000000"/>
          <w:sz w:val="36"/>
          <w:szCs w:val="36"/>
          <w:lang w:eastAsia="it-IT"/>
        </w:rPr>
        <w:t xml:space="preserve">Cassazione civile sez. un., 17/04/2014, (ud. 25/02/2014, </w:t>
      </w:r>
      <w:proofErr w:type="spellStart"/>
      <w:r w:rsidRPr="003923B8">
        <w:rPr>
          <w:rFonts w:ascii="Open Sans" w:eastAsia="Times New Roman" w:hAnsi="Open Sans" w:cs="Open Sans"/>
          <w:b/>
          <w:bCs/>
          <w:color w:val="000000"/>
          <w:sz w:val="36"/>
          <w:szCs w:val="36"/>
          <w:lang w:eastAsia="it-IT"/>
        </w:rPr>
        <w:t>dep</w:t>
      </w:r>
      <w:proofErr w:type="spellEnd"/>
      <w:r w:rsidRPr="003923B8">
        <w:rPr>
          <w:rFonts w:ascii="Open Sans" w:eastAsia="Times New Roman" w:hAnsi="Open Sans" w:cs="Open Sans"/>
          <w:b/>
          <w:bCs/>
          <w:color w:val="000000"/>
          <w:sz w:val="36"/>
          <w:szCs w:val="36"/>
          <w:lang w:eastAsia="it-IT"/>
        </w:rPr>
        <w:t>. 17/04/2014), n.8927</w:t>
      </w:r>
    </w:p>
    <w:p w14:paraId="3E99EE2C" w14:textId="77777777" w:rsidR="003923B8" w:rsidRPr="003923B8" w:rsidRDefault="003923B8" w:rsidP="003923B8">
      <w:pPr>
        <w:shd w:val="clear" w:color="auto" w:fill="D1D1D1"/>
        <w:spacing w:after="0" w:line="240" w:lineRule="auto"/>
        <w:jc w:val="center"/>
        <w:rPr>
          <w:rFonts w:ascii="Open Sans" w:eastAsia="Times New Roman" w:hAnsi="Open Sans" w:cs="Open Sans"/>
          <w:color w:val="3E3F3A"/>
          <w:sz w:val="21"/>
          <w:szCs w:val="21"/>
          <w:lang w:eastAsia="it-IT"/>
        </w:rPr>
      </w:pPr>
      <w:r w:rsidRPr="003923B8">
        <w:rPr>
          <w:rFonts w:ascii="Open Sans" w:eastAsia="Times New Roman" w:hAnsi="Open Sans" w:cs="Open Sans"/>
          <w:color w:val="FFFFFF"/>
          <w:sz w:val="21"/>
          <w:szCs w:val="21"/>
          <w:lang w:eastAsia="it-IT"/>
        </w:rPr>
        <w:t>Analizza con AI</w:t>
      </w:r>
    </w:p>
    <w:p w14:paraId="3252EBA5" w14:textId="77777777" w:rsidR="003923B8" w:rsidRPr="003923B8" w:rsidRDefault="003923B8" w:rsidP="003923B8">
      <w:pPr>
        <w:shd w:val="clear" w:color="auto" w:fill="FFFFFF"/>
        <w:spacing w:line="240" w:lineRule="auto"/>
        <w:rPr>
          <w:rFonts w:ascii="Open Sans" w:eastAsia="Times New Roman" w:hAnsi="Open Sans" w:cs="Open Sans"/>
          <w:color w:val="8F8F8F"/>
          <w:sz w:val="21"/>
          <w:szCs w:val="21"/>
          <w:lang w:eastAsia="it-IT"/>
        </w:rPr>
      </w:pPr>
      <w:r w:rsidRPr="003923B8">
        <w:rPr>
          <w:rFonts w:ascii="Open Sans" w:eastAsia="Times New Roman" w:hAnsi="Open Sans" w:cs="Open Sans"/>
          <w:b/>
          <w:bCs/>
          <w:color w:val="376A94"/>
          <w:sz w:val="27"/>
          <w:szCs w:val="27"/>
          <w:lang w:eastAsia="it-IT"/>
        </w:rPr>
        <w:t>Intestazione</w:t>
      </w:r>
      <w:r w:rsidRPr="003923B8">
        <w:rPr>
          <w:rFonts w:ascii="Open Sans" w:eastAsia="Times New Roman" w:hAnsi="Open Sans" w:cs="Open Sans"/>
          <w:noProof/>
          <w:color w:val="8F8F8F"/>
          <w:sz w:val="21"/>
          <w:szCs w:val="21"/>
          <w:lang w:eastAsia="it-IT"/>
        </w:rPr>
        <mc:AlternateContent>
          <mc:Choice Requires="wps">
            <w:drawing>
              <wp:inline distT="0" distB="0" distL="0" distR="0" wp14:anchorId="10DC9DE6" wp14:editId="7AA234C7">
                <wp:extent cx="307340" cy="307340"/>
                <wp:effectExtent l="0" t="0" r="0" b="0"/>
                <wp:docPr id="1114673217"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AC508B" id="AutoShape 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3226F4BB" w14:textId="77777777" w:rsidR="003923B8" w:rsidRPr="003923B8" w:rsidRDefault="003923B8" w:rsidP="003923B8">
      <w:pPr>
        <w:shd w:val="clear" w:color="auto" w:fill="FFFFFF"/>
        <w:spacing w:after="0" w:line="240" w:lineRule="auto"/>
        <w:rPr>
          <w:rFonts w:ascii="Open Sans" w:eastAsia="Times New Roman" w:hAnsi="Open Sans" w:cs="Open Sans"/>
          <w:color w:val="8F8F8F"/>
          <w:sz w:val="21"/>
          <w:szCs w:val="21"/>
          <w:lang w:eastAsia="it-IT"/>
        </w:rPr>
      </w:pPr>
      <w:r w:rsidRPr="003923B8">
        <w:rPr>
          <w:rFonts w:ascii="Open Sans" w:eastAsia="Times New Roman" w:hAnsi="Open Sans" w:cs="Open Sans"/>
          <w:b/>
          <w:bCs/>
          <w:color w:val="376A94"/>
          <w:sz w:val="27"/>
          <w:szCs w:val="27"/>
          <w:lang w:eastAsia="it-IT"/>
        </w:rPr>
        <w:t>Fatto</w:t>
      </w:r>
    </w:p>
    <w:p w14:paraId="1B8770F8" w14:textId="77777777" w:rsidR="003923B8" w:rsidRPr="003923B8" w:rsidRDefault="003923B8" w:rsidP="003923B8">
      <w:pPr>
        <w:shd w:val="clear" w:color="auto" w:fill="FFFFFF"/>
        <w:spacing w:after="0" w:line="240" w:lineRule="auto"/>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SVOLGIMENTO DEL PROCESSO</w:t>
      </w:r>
    </w:p>
    <w:p w14:paraId="36059510"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Il Comune di Rovegno convenne, davanti al Tribunale di Genova, G.C., già presidente dell'IPAB Asilo Infantile Residenza per Anziani Felice Conio, chiedendone la condanna al risarcimento dei danni patrimoniali subiti dallo stesso Comune, quale successore del detto istituto, in conseguenza dell'azione giudiziaria promossa dal convenuto, senza i necessari poteri rappresentativi, avverso i provvedimenti della regione Liguria relativi alla detta IPAB. Il G., costituitosi, eccepì il difetto di giurisdizione e, nel merito, contestò il fondamento della domanda.</w:t>
      </w:r>
    </w:p>
    <w:p w14:paraId="0F345EC8"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Il tribunale, con sentenza del 20.4.2010, rigettò l'eccezione condannando il convenuto al risarcimento dei danni come quantificati in sentenza.</w:t>
      </w:r>
    </w:p>
    <w:p w14:paraId="6724DB92"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A diversa conclusione pervenne la Corte d'Appello che, in accoglimento dell'appello proposto dal G., dichiarò il difetto di giurisdizione del giudice ordinario in favore della giurisdizione della Corte dei Conti.</w:t>
      </w:r>
    </w:p>
    <w:p w14:paraId="0C0863BB"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Ha proposto ricorso per cassazione affidato ad un motivo attinente alla giurisdizione il Comune di Rovegno.</w:t>
      </w:r>
    </w:p>
    <w:p w14:paraId="38E6C1CB" w14:textId="77777777" w:rsidR="003923B8" w:rsidRPr="003923B8" w:rsidRDefault="003923B8" w:rsidP="003923B8">
      <w:pPr>
        <w:shd w:val="clear" w:color="auto" w:fill="FFFFFF"/>
        <w:spacing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 xml:space="preserve">Resiste con controricorso illustrato da memoria il </w:t>
      </w:r>
      <w:proofErr w:type="gramStart"/>
      <w:r w:rsidRPr="003923B8">
        <w:rPr>
          <w:rFonts w:ascii="Open Sans" w:eastAsia="Times New Roman" w:hAnsi="Open Sans" w:cs="Open Sans"/>
          <w:color w:val="8F8F8F"/>
          <w:sz w:val="21"/>
          <w:szCs w:val="21"/>
          <w:lang w:eastAsia="it-IT"/>
        </w:rPr>
        <w:t>G..</w:t>
      </w:r>
      <w:proofErr w:type="gramEnd"/>
    </w:p>
    <w:p w14:paraId="07A55FD1" w14:textId="77777777" w:rsidR="003923B8" w:rsidRPr="003923B8" w:rsidRDefault="003923B8" w:rsidP="003923B8">
      <w:pPr>
        <w:shd w:val="clear" w:color="auto" w:fill="FFFFFF"/>
        <w:spacing w:after="0" w:line="240" w:lineRule="auto"/>
        <w:rPr>
          <w:rFonts w:ascii="Open Sans" w:eastAsia="Times New Roman" w:hAnsi="Open Sans" w:cs="Open Sans"/>
          <w:color w:val="8F8F8F"/>
          <w:sz w:val="21"/>
          <w:szCs w:val="21"/>
          <w:lang w:eastAsia="it-IT"/>
        </w:rPr>
      </w:pPr>
      <w:r w:rsidRPr="003923B8">
        <w:rPr>
          <w:rFonts w:ascii="Open Sans" w:eastAsia="Times New Roman" w:hAnsi="Open Sans" w:cs="Open Sans"/>
          <w:b/>
          <w:bCs/>
          <w:color w:val="376A94"/>
          <w:sz w:val="27"/>
          <w:szCs w:val="27"/>
          <w:lang w:eastAsia="it-IT"/>
        </w:rPr>
        <w:t>Diritto</w:t>
      </w:r>
    </w:p>
    <w:p w14:paraId="6E598AF2" w14:textId="77777777" w:rsidR="003923B8" w:rsidRPr="003923B8" w:rsidRDefault="003923B8" w:rsidP="003923B8">
      <w:pPr>
        <w:shd w:val="clear" w:color="auto" w:fill="FFFFFF"/>
        <w:spacing w:after="0" w:line="240" w:lineRule="auto"/>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MOTIVI DELLA DECISIONE</w:t>
      </w:r>
    </w:p>
    <w:p w14:paraId="7C3464B0"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lastRenderedPageBreak/>
        <w:t>Va, in primo luogo, disattesa l'eccezione di inammissibilità del ricorso con il quale il Comune ricorrente denuncia "l'evidente violazione di norme sulla giurisdizione e carenza nella motivazione", delle quali il resistente contesta la mancata indicazione.</w:t>
      </w:r>
    </w:p>
    <w:p w14:paraId="0107C108"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Sul punto, deve infatti, sottolinearsi che la deduzione, come motivo di ricorso per cassazione, di una questione riguardante la giurisdizione non può farsi se non sotto il profilo delle norme che regolano tale presupposto del processo, e non anche in relazione a vizi di motivazione sui punti di fatto dai quali esso dipende.</w:t>
      </w:r>
    </w:p>
    <w:p w14:paraId="21850495"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 xml:space="preserve">E ciò </w:t>
      </w:r>
      <w:proofErr w:type="spellStart"/>
      <w:r w:rsidRPr="003923B8">
        <w:rPr>
          <w:rFonts w:ascii="Open Sans" w:eastAsia="Times New Roman" w:hAnsi="Open Sans" w:cs="Open Sans"/>
          <w:color w:val="8F8F8F"/>
          <w:sz w:val="21"/>
          <w:szCs w:val="21"/>
          <w:lang w:eastAsia="it-IT"/>
        </w:rPr>
        <w:t>perchè</w:t>
      </w:r>
      <w:proofErr w:type="spellEnd"/>
      <w:r w:rsidRPr="003923B8">
        <w:rPr>
          <w:rFonts w:ascii="Open Sans" w:eastAsia="Times New Roman" w:hAnsi="Open Sans" w:cs="Open Sans"/>
          <w:color w:val="8F8F8F"/>
          <w:sz w:val="21"/>
          <w:szCs w:val="21"/>
          <w:lang w:eastAsia="it-IT"/>
        </w:rPr>
        <w:t xml:space="preserve"> in materia di giurisdizione la Corte di cassazione è giudice del fatto e, come tale, può conoscere ed interpretare direttamente tutti gli atti del processo utili ad accertare l'esistenza del vizio denunciato (fra le varie S.U. 20.11.2007 n. 24009).</w:t>
      </w:r>
    </w:p>
    <w:p w14:paraId="070D9636"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proofErr w:type="gramStart"/>
      <w:r w:rsidRPr="003923B8">
        <w:rPr>
          <w:rFonts w:ascii="Open Sans" w:eastAsia="Times New Roman" w:hAnsi="Open Sans" w:cs="Open Sans"/>
          <w:color w:val="8F8F8F"/>
          <w:sz w:val="21"/>
          <w:szCs w:val="21"/>
          <w:lang w:eastAsia="it-IT"/>
        </w:rPr>
        <w:t>E'</w:t>
      </w:r>
      <w:proofErr w:type="gramEnd"/>
      <w:r w:rsidRPr="003923B8">
        <w:rPr>
          <w:rFonts w:ascii="Open Sans" w:eastAsia="Times New Roman" w:hAnsi="Open Sans" w:cs="Open Sans"/>
          <w:color w:val="8F8F8F"/>
          <w:sz w:val="21"/>
          <w:szCs w:val="21"/>
          <w:lang w:eastAsia="it-IT"/>
        </w:rPr>
        <w:t xml:space="preserve"> evidente che nel caso in esame la contestazione s'incentra sulla riconosciuta giurisdizione della Corte dei Conti.</w:t>
      </w:r>
    </w:p>
    <w:p w14:paraId="2F483893"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Il ricorrente propone ricorso affidato al seguente motivo attinente alla giurisdizione (art. 360 c.p.c., n. 1).</w:t>
      </w:r>
    </w:p>
    <w:p w14:paraId="00AF1BE9"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La Corte di merito ha affermato che l'IPAB in questione, della quale il G. era stato Presidente, pur essendosi trasformata nel 2003 in soggetto privato, non aveva ricevuto l'approvazione della Regione in ordine ai relativi atti deliberativi assunti dall'ente.</w:t>
      </w:r>
    </w:p>
    <w:p w14:paraId="58CE73D3"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Di qui la declinatoria della giurisdizione in favore della Corte dei Conti.</w:t>
      </w:r>
    </w:p>
    <w:p w14:paraId="033E545D"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Una tale conclusione non è condivisibile.</w:t>
      </w:r>
    </w:p>
    <w:p w14:paraId="09372DEF"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proofErr w:type="gramStart"/>
      <w:r w:rsidRPr="003923B8">
        <w:rPr>
          <w:rFonts w:ascii="Open Sans" w:eastAsia="Times New Roman" w:hAnsi="Open Sans" w:cs="Open Sans"/>
          <w:color w:val="8F8F8F"/>
          <w:sz w:val="21"/>
          <w:szCs w:val="21"/>
          <w:lang w:eastAsia="it-IT"/>
        </w:rPr>
        <w:t>E'</w:t>
      </w:r>
      <w:proofErr w:type="gramEnd"/>
      <w:r w:rsidRPr="003923B8">
        <w:rPr>
          <w:rFonts w:ascii="Open Sans" w:eastAsia="Times New Roman" w:hAnsi="Open Sans" w:cs="Open Sans"/>
          <w:color w:val="8F8F8F"/>
          <w:sz w:val="21"/>
          <w:szCs w:val="21"/>
          <w:lang w:eastAsia="it-IT"/>
        </w:rPr>
        <w:t xml:space="preserve"> principio affermato in modo costante dalle Sezioni Unite della Corte di Cassazione che giurisdizione penale e civile, da un lato, e giurisdizione contabile dall'altro sono reciprocamente indipendenti nei loro profili istituzionali, anche quando investono un medesimo fatto materiale.</w:t>
      </w:r>
    </w:p>
    <w:p w14:paraId="24E9DB82"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L'eventuale interferenza, che può determinarsi tra tali giudizi, pone esclusivamente un problema di proponibilità dell'azione di responsabilità davanti alla Corte dei conti, senza dar luogo a questione di giurisdizione (fra le varie S.U. 28.11.2013 n. 26582;</w:t>
      </w:r>
    </w:p>
    <w:p w14:paraId="3A96BEBE"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val="en-GB" w:eastAsia="it-IT"/>
        </w:rPr>
      </w:pPr>
      <w:r w:rsidRPr="003923B8">
        <w:rPr>
          <w:rFonts w:ascii="Open Sans" w:eastAsia="Times New Roman" w:hAnsi="Open Sans" w:cs="Open Sans"/>
          <w:color w:val="8F8F8F"/>
          <w:sz w:val="21"/>
          <w:szCs w:val="21"/>
          <w:lang w:val="en-GB" w:eastAsia="it-IT"/>
        </w:rPr>
        <w:t>S.U. ord. 4.1.2012 n. 11; S.U. ord. 4.12.2009 n. 25495; S.U. 25.11.2008 n. 28048).</w:t>
      </w:r>
    </w:p>
    <w:p w14:paraId="44205647"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Ora, nel caso in esame, il tema proposto involge sì la giurisdizione, ma non pone una questione di riparto della giurisdizione.</w:t>
      </w:r>
    </w:p>
    <w:p w14:paraId="279ABC75"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E ciò per quel che si è più sopra detto.</w:t>
      </w:r>
    </w:p>
    <w:p w14:paraId="763CA619"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Il Comune di Rovegno chiede il risarcimento dei danni patrimoniali (spese alle quali è stato condannato) quale successore dell'IPAB per i ricorsi proposti dal G. in carenza di poteri rappresentativi dell'Ente.</w:t>
      </w:r>
    </w:p>
    <w:p w14:paraId="0FBD05DF"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lastRenderedPageBreak/>
        <w:t>Ora, la questione se l'Ipab, nella specie, fosse pubblica o privata, che è stata affrontata dalla Corte di merito ed è stata posta alla base del riconoscimento della giurisdizione della Corte dei Conti non è, ai fini della giurisdizione, rilevante, per il noto e ribadito principio di autonomia e non coincidenza delle due giurisdizioni (quella civile (o penale) e quella contabile) e l'operare di meccanismi di procedibilità attinenti al merito.</w:t>
      </w:r>
    </w:p>
    <w:p w14:paraId="6196E7FE"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 xml:space="preserve">Non ponendosi una questione di riparto di giurisdizione, il giudice adito non avrebbe, quindi, potuto pronunciarsi sul punto dichiarando la giurisdizione della Corte dei Conti, ma avrebbe dovuto, in piena autonomia, accertare la fondatezza o meno della autonoma domanda di risarcimento dei danni proposta dal Comune di Rovegno nei confronti del G.; addirittura non </w:t>
      </w:r>
      <w:proofErr w:type="spellStart"/>
      <w:r w:rsidRPr="003923B8">
        <w:rPr>
          <w:rFonts w:ascii="Open Sans" w:eastAsia="Times New Roman" w:hAnsi="Open Sans" w:cs="Open Sans"/>
          <w:color w:val="8F8F8F"/>
          <w:sz w:val="21"/>
          <w:szCs w:val="21"/>
          <w:lang w:eastAsia="it-IT"/>
        </w:rPr>
        <w:t>profilandosi,nella</w:t>
      </w:r>
      <w:proofErr w:type="spellEnd"/>
      <w:r w:rsidRPr="003923B8">
        <w:rPr>
          <w:rFonts w:ascii="Open Sans" w:eastAsia="Times New Roman" w:hAnsi="Open Sans" w:cs="Open Sans"/>
          <w:color w:val="8F8F8F"/>
          <w:sz w:val="21"/>
          <w:szCs w:val="21"/>
          <w:lang w:eastAsia="it-IT"/>
        </w:rPr>
        <w:t xml:space="preserve"> specie, alcuna interferenza, posto che, allo stato, non risulta dagli atti neppure che sia stata proposta azione di responsabilità contabile.</w:t>
      </w:r>
    </w:p>
    <w:p w14:paraId="754EED03"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Sotto questo profilo vale sottolineare che la Corte Costituzionale (con le sentenze 104/1989 ed 1/2007) ha affermato che "il Procuratore Generale della Corte dei conti, nella promozione dei giudizi, agisce nell'esercizio di una funzione obiettiva e neutrale. Egli rappresenta l'interesse generale al corretto esercizio, da parte dei pubblici dipendenti, delle funzioni amministrative e contabili, e cioè un interesse direttamente riconducibile al rispetto dell'ordinamento giuridico nei suoi aspetti generali ed indifferenziati; non l'interesse particolare e concreto dello Stato in ciascuno dei settori in cui si articola o degli altri enti pubblici in relazione agli scopi specifici che ciascuno di essi persegue, siano pure essi convergenti con il primo. Egli vigila per l'osservanza delle leggi, per la tutela cioè dello Stato e per la repressione dei danni erariali conseguenti ad illeciti amministrativi, ma non effettua un controllo diretto ad accertare se i provvedimenti delle autorità amministrative siano stati emanati con l'osservanza delle leggi e con il rispetto dei criteri della buona e regolare amministrazione".</w:t>
      </w:r>
    </w:p>
    <w:p w14:paraId="6FE781F3"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D'altra parte il coesistere delle due diverse azioni, aventi, presupposti e finalità diversi, non determina un conflitto tra giurisdizioni, ma soltanto un'eventuale preclusione all'esercizio di un'azione quando con l'altra si sia ottenuto il medesimo bene della vita.</w:t>
      </w:r>
    </w:p>
    <w:p w14:paraId="1F713CD8"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Principio che va ribadito anche con riferimento all'azione civile di danni proposta davanti al giudice ordinario.</w:t>
      </w:r>
    </w:p>
    <w:p w14:paraId="5637DDCB"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Conclusivamente il ricorso è accolto ed è dichiarata la giurisdizione del giudice ordinario.</w:t>
      </w:r>
    </w:p>
    <w:p w14:paraId="38449ED8"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La sentenza è cassata e la causa rinviata alla Corte d'Appello di Genova in diversa composizione.</w:t>
      </w:r>
    </w:p>
    <w:p w14:paraId="3B8EA61A" w14:textId="77777777" w:rsidR="003923B8" w:rsidRPr="003923B8" w:rsidRDefault="003923B8" w:rsidP="003923B8">
      <w:pPr>
        <w:shd w:val="clear" w:color="auto" w:fill="FFFFFF"/>
        <w:spacing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Le spese sono rimesse al giudice del rinvio.</w:t>
      </w:r>
    </w:p>
    <w:p w14:paraId="6A8700EB" w14:textId="77777777" w:rsidR="003923B8" w:rsidRPr="003923B8" w:rsidRDefault="003923B8" w:rsidP="003923B8">
      <w:pPr>
        <w:shd w:val="clear" w:color="auto" w:fill="FFFFFF"/>
        <w:spacing w:after="0" w:line="240" w:lineRule="auto"/>
        <w:rPr>
          <w:rFonts w:ascii="Open Sans" w:eastAsia="Times New Roman" w:hAnsi="Open Sans" w:cs="Open Sans"/>
          <w:color w:val="8F8F8F"/>
          <w:sz w:val="21"/>
          <w:szCs w:val="21"/>
          <w:lang w:eastAsia="it-IT"/>
        </w:rPr>
      </w:pPr>
      <w:r w:rsidRPr="003923B8">
        <w:rPr>
          <w:rFonts w:ascii="Open Sans" w:eastAsia="Times New Roman" w:hAnsi="Open Sans" w:cs="Open Sans"/>
          <w:b/>
          <w:bCs/>
          <w:color w:val="376A94"/>
          <w:sz w:val="27"/>
          <w:szCs w:val="27"/>
          <w:lang w:eastAsia="it-IT"/>
        </w:rPr>
        <w:t>PQM</w:t>
      </w:r>
    </w:p>
    <w:p w14:paraId="583B3087" w14:textId="77777777" w:rsidR="003923B8" w:rsidRPr="003923B8" w:rsidRDefault="003923B8" w:rsidP="003923B8">
      <w:pPr>
        <w:shd w:val="clear" w:color="auto" w:fill="FFFFFF"/>
        <w:spacing w:after="0" w:line="240" w:lineRule="auto"/>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P.Q.M.</w:t>
      </w:r>
    </w:p>
    <w:p w14:paraId="71C1A03A"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La Corte di Cassazione, pronunciando a Sezioni Unite, accoglie il ricorso. Dichiara la giurisdizione del giudice ordinario. Cassa e rinvia, anche per le spese, alla Corte d'Appello di Genova in diversa composizione.</w:t>
      </w:r>
    </w:p>
    <w:p w14:paraId="2C2CD492" w14:textId="77777777" w:rsidR="003923B8" w:rsidRPr="003923B8" w:rsidRDefault="003923B8" w:rsidP="003923B8">
      <w:pPr>
        <w:shd w:val="clear" w:color="auto" w:fill="FFFFFF"/>
        <w:spacing w:after="150"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lastRenderedPageBreak/>
        <w:t>Così deciso in Roma, nella Camera di consiglio delle Sezioni Unite Civili, il 25 febbraio 2014.</w:t>
      </w:r>
    </w:p>
    <w:p w14:paraId="4EE3B67C" w14:textId="77777777" w:rsidR="003923B8" w:rsidRPr="003923B8" w:rsidRDefault="003923B8" w:rsidP="003923B8">
      <w:pPr>
        <w:shd w:val="clear" w:color="auto" w:fill="FFFFFF"/>
        <w:spacing w:line="360" w:lineRule="atLeast"/>
        <w:rPr>
          <w:rFonts w:ascii="Open Sans" w:eastAsia="Times New Roman" w:hAnsi="Open Sans" w:cs="Open Sans"/>
          <w:color w:val="8F8F8F"/>
          <w:sz w:val="21"/>
          <w:szCs w:val="21"/>
          <w:lang w:eastAsia="it-IT"/>
        </w:rPr>
      </w:pPr>
      <w:r w:rsidRPr="003923B8">
        <w:rPr>
          <w:rFonts w:ascii="Open Sans" w:eastAsia="Times New Roman" w:hAnsi="Open Sans" w:cs="Open Sans"/>
          <w:color w:val="8F8F8F"/>
          <w:sz w:val="21"/>
          <w:szCs w:val="21"/>
          <w:lang w:eastAsia="it-IT"/>
        </w:rPr>
        <w:t>Depositato in Cancelleria il 17 aprile 2014</w:t>
      </w:r>
    </w:p>
    <w:p w14:paraId="05567640" w14:textId="77777777" w:rsidR="003923B8" w:rsidRPr="003923B8" w:rsidRDefault="003923B8" w:rsidP="003923B8">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3923B8">
        <w:rPr>
          <w:rFonts w:ascii="Lato" w:eastAsia="Times New Roman" w:hAnsi="Lato" w:cs="Times New Roman"/>
          <w:color w:val="3E4249"/>
          <w:spacing w:val="5"/>
          <w:kern w:val="36"/>
          <w:sz w:val="45"/>
          <w:szCs w:val="45"/>
          <w:lang w:eastAsia="it-IT"/>
        </w:rPr>
        <w:t xml:space="preserve">Cass. civ., sez. un., </w:t>
      </w:r>
      <w:proofErr w:type="spellStart"/>
      <w:r w:rsidRPr="003923B8">
        <w:rPr>
          <w:rFonts w:ascii="Lato" w:eastAsia="Times New Roman" w:hAnsi="Lato" w:cs="Times New Roman"/>
          <w:color w:val="3E4249"/>
          <w:spacing w:val="5"/>
          <w:kern w:val="36"/>
          <w:sz w:val="45"/>
          <w:szCs w:val="45"/>
          <w:lang w:eastAsia="it-IT"/>
        </w:rPr>
        <w:t>ord</w:t>
      </w:r>
      <w:proofErr w:type="spellEnd"/>
      <w:r w:rsidRPr="003923B8">
        <w:rPr>
          <w:rFonts w:ascii="Lato" w:eastAsia="Times New Roman" w:hAnsi="Lato" w:cs="Times New Roman"/>
          <w:color w:val="3E4249"/>
          <w:spacing w:val="5"/>
          <w:kern w:val="36"/>
          <w:sz w:val="45"/>
          <w:szCs w:val="45"/>
          <w:lang w:eastAsia="it-IT"/>
        </w:rPr>
        <w:t>., 3 maggio 2013 n. 10299</w:t>
      </w:r>
    </w:p>
    <w:p w14:paraId="16389ACA" w14:textId="0446399A" w:rsidR="003923B8" w:rsidRPr="003923B8" w:rsidRDefault="003923B8" w:rsidP="003923B8">
      <w:pPr>
        <w:shd w:val="clear" w:color="auto" w:fill="FFFFFF"/>
        <w:spacing w:after="0" w:line="240" w:lineRule="auto"/>
        <w:rPr>
          <w:rFonts w:ascii="Lato" w:eastAsia="Times New Roman" w:hAnsi="Lato" w:cs="Times New Roman"/>
          <w:color w:val="000000"/>
          <w:spacing w:val="5"/>
          <w:sz w:val="24"/>
          <w:szCs w:val="24"/>
          <w:lang w:eastAsia="it-IT"/>
        </w:rPr>
      </w:pPr>
      <w:r w:rsidRPr="003923B8">
        <w:rPr>
          <w:rFonts w:ascii="Lato" w:eastAsia="Times New Roman" w:hAnsi="Lato" w:cs="Times New Roman"/>
          <w:noProof/>
          <w:color w:val="005797"/>
          <w:spacing w:val="5"/>
          <w:sz w:val="24"/>
          <w:szCs w:val="24"/>
          <w:lang w:eastAsia="it-IT"/>
        </w:rPr>
        <w:drawing>
          <wp:inline distT="0" distB="0" distL="0" distR="0" wp14:anchorId="36662151" wp14:editId="151C7F0C">
            <wp:extent cx="160655" cy="160655"/>
            <wp:effectExtent l="0" t="0" r="0" b="0"/>
            <wp:docPr id="8" name="Immagine 2">
              <a:hlinkClick xmlns:a="http://schemas.openxmlformats.org/drawingml/2006/main" r:id="rId7" tooltip="&quot;Aggiungi ai preferi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7" tooltip="&quot;Aggiungi ai preferiti&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655" cy="160655"/>
                    </a:xfrm>
                    <a:prstGeom prst="rect">
                      <a:avLst/>
                    </a:prstGeom>
                    <a:noFill/>
                    <a:ln>
                      <a:noFill/>
                    </a:ln>
                  </pic:spPr>
                </pic:pic>
              </a:graphicData>
            </a:graphic>
          </wp:inline>
        </w:drawing>
      </w:r>
      <w:r w:rsidRPr="003923B8">
        <w:rPr>
          <w:rFonts w:ascii="Lato" w:eastAsia="Times New Roman" w:hAnsi="Lato" w:cs="Times New Roman"/>
          <w:color w:val="000000"/>
          <w:spacing w:val="5"/>
          <w:sz w:val="24"/>
          <w:szCs w:val="24"/>
          <w:lang w:eastAsia="it-IT"/>
        </w:rPr>
        <w:t>    </w:t>
      </w:r>
    </w:p>
    <w:p w14:paraId="14970157" w14:textId="77777777" w:rsidR="003923B8" w:rsidRPr="003923B8" w:rsidRDefault="003923B8" w:rsidP="003923B8">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3923B8">
        <w:rPr>
          <w:rFonts w:ascii="Lato" w:eastAsia="Times New Roman" w:hAnsi="Lato" w:cs="Times New Roman"/>
          <w:i/>
          <w:iCs/>
          <w:color w:val="000000"/>
          <w:spacing w:val="5"/>
          <w:sz w:val="20"/>
          <w:szCs w:val="20"/>
          <w:lang w:eastAsia="it-IT"/>
        </w:rPr>
        <w:t xml:space="preserve">Cass. civ., </w:t>
      </w:r>
      <w:proofErr w:type="spellStart"/>
      <w:r w:rsidRPr="003923B8">
        <w:rPr>
          <w:rFonts w:ascii="Lato" w:eastAsia="Times New Roman" w:hAnsi="Lato" w:cs="Times New Roman"/>
          <w:i/>
          <w:iCs/>
          <w:color w:val="000000"/>
          <w:spacing w:val="5"/>
          <w:sz w:val="20"/>
          <w:szCs w:val="20"/>
          <w:lang w:eastAsia="it-IT"/>
        </w:rPr>
        <w:t>ord</w:t>
      </w:r>
      <w:proofErr w:type="spellEnd"/>
      <w:r w:rsidRPr="003923B8">
        <w:rPr>
          <w:rFonts w:ascii="Lato" w:eastAsia="Times New Roman" w:hAnsi="Lato" w:cs="Times New Roman"/>
          <w:i/>
          <w:iCs/>
          <w:color w:val="000000"/>
          <w:spacing w:val="5"/>
          <w:sz w:val="20"/>
          <w:szCs w:val="20"/>
          <w:lang w:eastAsia="it-IT"/>
        </w:rPr>
        <w:t xml:space="preserve">. un., 03 maggio 2013, n. </w:t>
      </w:r>
      <w:proofErr w:type="gramStart"/>
      <w:r w:rsidRPr="003923B8">
        <w:rPr>
          <w:rFonts w:ascii="Lato" w:eastAsia="Times New Roman" w:hAnsi="Lato" w:cs="Times New Roman"/>
          <w:i/>
          <w:iCs/>
          <w:color w:val="000000"/>
          <w:spacing w:val="5"/>
          <w:sz w:val="20"/>
          <w:szCs w:val="20"/>
          <w:lang w:eastAsia="it-IT"/>
        </w:rPr>
        <w:t>10299 ,</w:t>
      </w:r>
      <w:proofErr w:type="gramEnd"/>
      <w:r w:rsidRPr="003923B8">
        <w:rPr>
          <w:rFonts w:ascii="Lato" w:eastAsia="Times New Roman" w:hAnsi="Lato" w:cs="Times New Roman"/>
          <w:i/>
          <w:iCs/>
          <w:color w:val="000000"/>
          <w:spacing w:val="5"/>
          <w:sz w:val="20"/>
          <w:szCs w:val="20"/>
          <w:lang w:eastAsia="it-IT"/>
        </w:rPr>
        <w:t xml:space="preserve"> A. c. Proc. reg. Corte conti Veneto </w:t>
      </w:r>
    </w:p>
    <w:p w14:paraId="001B24CD" w14:textId="77777777" w:rsidR="003923B8" w:rsidRPr="003923B8" w:rsidRDefault="003923B8" w:rsidP="003923B8">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3923B8">
        <w:rPr>
          <w:rFonts w:ascii="Lato" w:eastAsia="Times New Roman" w:hAnsi="Lato" w:cs="Times New Roman"/>
          <w:b/>
          <w:bCs/>
          <w:i/>
          <w:iCs/>
          <w:color w:val="000000"/>
          <w:spacing w:val="5"/>
          <w:sz w:val="20"/>
          <w:szCs w:val="20"/>
          <w:lang w:eastAsia="it-IT"/>
        </w:rPr>
        <w:t>, </w:t>
      </w:r>
      <w:r w:rsidRPr="003923B8">
        <w:rPr>
          <w:rFonts w:ascii="Lato" w:eastAsia="Times New Roman" w:hAnsi="Lato" w:cs="Times New Roman"/>
          <w:i/>
          <w:iCs/>
          <w:color w:val="000000"/>
          <w:spacing w:val="5"/>
          <w:sz w:val="20"/>
          <w:szCs w:val="20"/>
          <w:lang w:eastAsia="it-IT"/>
        </w:rPr>
        <w:t>in </w:t>
      </w:r>
      <w:r w:rsidRPr="003923B8">
        <w:rPr>
          <w:rFonts w:ascii="Lato" w:eastAsia="Times New Roman" w:hAnsi="Lato" w:cs="Times New Roman"/>
          <w:b/>
          <w:bCs/>
          <w:i/>
          <w:iCs/>
          <w:color w:val="000000"/>
          <w:spacing w:val="5"/>
          <w:sz w:val="20"/>
          <w:szCs w:val="20"/>
          <w:lang w:eastAsia="it-IT"/>
        </w:rPr>
        <w:t>Repertorio Foro Italiano</w:t>
      </w:r>
      <w:r w:rsidRPr="003923B8">
        <w:rPr>
          <w:rFonts w:ascii="Lato" w:eastAsia="Times New Roman" w:hAnsi="Lato" w:cs="Times New Roman"/>
          <w:i/>
          <w:iCs/>
          <w:color w:val="000000"/>
          <w:spacing w:val="5"/>
          <w:sz w:val="20"/>
          <w:szCs w:val="20"/>
          <w:lang w:eastAsia="it-IT"/>
        </w:rPr>
        <w:t> 2013, </w:t>
      </w:r>
    </w:p>
    <w:p w14:paraId="2C5F76CF" w14:textId="77777777" w:rsidR="003923B8" w:rsidRPr="003923B8" w:rsidRDefault="003923B8" w:rsidP="003923B8">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3923B8">
        <w:rPr>
          <w:rFonts w:ascii="Lato" w:eastAsia="Times New Roman" w:hAnsi="Lato" w:cs="Times New Roman"/>
          <w:i/>
          <w:iCs/>
          <w:color w:val="000000"/>
          <w:spacing w:val="5"/>
          <w:sz w:val="20"/>
          <w:szCs w:val="20"/>
          <w:lang w:eastAsia="it-IT"/>
        </w:rPr>
        <w:t>Responsabilità contabile e amministrativa</w:t>
      </w:r>
    </w:p>
    <w:p w14:paraId="655DAEBA" w14:textId="77777777" w:rsidR="003923B8" w:rsidRPr="003923B8" w:rsidRDefault="003923B8" w:rsidP="003923B8">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3923B8">
        <w:rPr>
          <w:rFonts w:ascii="Lato" w:eastAsia="Times New Roman" w:hAnsi="Lato" w:cs="Times New Roman"/>
          <w:i/>
          <w:iCs/>
          <w:color w:val="000000"/>
          <w:spacing w:val="5"/>
          <w:sz w:val="20"/>
          <w:szCs w:val="20"/>
          <w:lang w:eastAsia="it-IT"/>
        </w:rPr>
        <w:t>, n.° 70 </w:t>
      </w:r>
    </w:p>
    <w:p w14:paraId="56050164" w14:textId="77777777" w:rsidR="003923B8" w:rsidRPr="003923B8" w:rsidRDefault="003923B8" w:rsidP="003923B8">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3923B8">
        <w:rPr>
          <w:rFonts w:ascii="Lato" w:eastAsia="Times New Roman" w:hAnsi="Lato" w:cs="Times New Roman"/>
          <w:b/>
          <w:bCs/>
          <w:i/>
          <w:iCs/>
          <w:color w:val="000000"/>
          <w:spacing w:val="5"/>
          <w:sz w:val="20"/>
          <w:szCs w:val="20"/>
          <w:lang w:eastAsia="it-IT"/>
        </w:rPr>
        <w:t>, </w:t>
      </w:r>
      <w:r w:rsidRPr="003923B8">
        <w:rPr>
          <w:rFonts w:ascii="Lato" w:eastAsia="Times New Roman" w:hAnsi="Lato" w:cs="Times New Roman"/>
          <w:i/>
          <w:iCs/>
          <w:color w:val="000000"/>
          <w:spacing w:val="5"/>
          <w:sz w:val="20"/>
          <w:szCs w:val="20"/>
          <w:lang w:eastAsia="it-IT"/>
        </w:rPr>
        <w:t>in </w:t>
      </w:r>
      <w:r w:rsidRPr="003923B8">
        <w:rPr>
          <w:rFonts w:ascii="Lato" w:eastAsia="Times New Roman" w:hAnsi="Lato" w:cs="Times New Roman"/>
          <w:b/>
          <w:bCs/>
          <w:i/>
          <w:iCs/>
          <w:color w:val="000000"/>
          <w:spacing w:val="5"/>
          <w:sz w:val="20"/>
          <w:szCs w:val="20"/>
          <w:lang w:eastAsia="it-IT"/>
        </w:rPr>
        <w:t>Società</w:t>
      </w:r>
      <w:r w:rsidRPr="003923B8">
        <w:rPr>
          <w:rFonts w:ascii="Lato" w:eastAsia="Times New Roman" w:hAnsi="Lato" w:cs="Times New Roman"/>
          <w:i/>
          <w:iCs/>
          <w:color w:val="000000"/>
          <w:spacing w:val="5"/>
          <w:sz w:val="20"/>
          <w:szCs w:val="20"/>
          <w:lang w:eastAsia="it-IT"/>
        </w:rPr>
        <w:t> 2013, 974, con nota di </w:t>
      </w:r>
      <w:r w:rsidRPr="003923B8">
        <w:rPr>
          <w:rFonts w:ascii="Lato" w:eastAsia="Times New Roman" w:hAnsi="Lato" w:cs="Times New Roman"/>
          <w:b/>
          <w:bCs/>
          <w:i/>
          <w:iCs/>
          <w:smallCaps/>
          <w:color w:val="000000"/>
          <w:spacing w:val="5"/>
          <w:sz w:val="20"/>
          <w:szCs w:val="20"/>
          <w:lang w:eastAsia="it-IT"/>
        </w:rPr>
        <w:t>FIMMANÒ</w:t>
      </w:r>
      <w:r w:rsidRPr="003923B8">
        <w:rPr>
          <w:rFonts w:ascii="Lato" w:eastAsia="Times New Roman" w:hAnsi="Lato" w:cs="Times New Roman"/>
          <w:i/>
          <w:iCs/>
          <w:color w:val="000000"/>
          <w:spacing w:val="5"/>
          <w:sz w:val="20"/>
          <w:szCs w:val="20"/>
          <w:lang w:eastAsia="it-IT"/>
        </w:rPr>
        <w:t> </w:t>
      </w:r>
    </w:p>
    <w:p w14:paraId="191341C8" w14:textId="77777777" w:rsidR="003923B8" w:rsidRPr="003923B8" w:rsidRDefault="003923B8" w:rsidP="003923B8">
      <w:pPr>
        <w:shd w:val="clear" w:color="auto" w:fill="FFFFFF"/>
        <w:spacing w:after="0" w:line="240" w:lineRule="auto"/>
        <w:jc w:val="both"/>
        <w:rPr>
          <w:rFonts w:ascii="Lato" w:eastAsia="Times New Roman" w:hAnsi="Lato" w:cs="Times New Roman"/>
          <w:i/>
          <w:iCs/>
          <w:color w:val="000000"/>
          <w:spacing w:val="5"/>
          <w:sz w:val="20"/>
          <w:szCs w:val="20"/>
          <w:lang w:eastAsia="it-IT"/>
        </w:rPr>
      </w:pPr>
      <w:r w:rsidRPr="003923B8">
        <w:rPr>
          <w:rFonts w:ascii="Lato" w:eastAsia="Times New Roman" w:hAnsi="Lato" w:cs="Times New Roman"/>
          <w:b/>
          <w:bCs/>
          <w:i/>
          <w:iCs/>
          <w:color w:val="000000"/>
          <w:spacing w:val="5"/>
          <w:sz w:val="20"/>
          <w:szCs w:val="20"/>
          <w:lang w:eastAsia="it-IT"/>
        </w:rPr>
        <w:t>, </w:t>
      </w:r>
      <w:r w:rsidRPr="003923B8">
        <w:rPr>
          <w:rFonts w:ascii="Lato" w:eastAsia="Times New Roman" w:hAnsi="Lato" w:cs="Times New Roman"/>
          <w:i/>
          <w:iCs/>
          <w:color w:val="000000"/>
          <w:spacing w:val="5"/>
          <w:sz w:val="20"/>
          <w:szCs w:val="20"/>
          <w:lang w:eastAsia="it-IT"/>
        </w:rPr>
        <w:t>in </w:t>
      </w:r>
      <w:r w:rsidRPr="003923B8">
        <w:rPr>
          <w:rFonts w:ascii="Lato" w:eastAsia="Times New Roman" w:hAnsi="Lato" w:cs="Times New Roman"/>
          <w:b/>
          <w:bCs/>
          <w:i/>
          <w:iCs/>
          <w:color w:val="000000"/>
          <w:spacing w:val="5"/>
          <w:sz w:val="20"/>
          <w:szCs w:val="20"/>
          <w:lang w:eastAsia="it-IT"/>
        </w:rPr>
        <w:t>Riv. corte conti</w:t>
      </w:r>
      <w:r w:rsidRPr="003923B8">
        <w:rPr>
          <w:rFonts w:ascii="Lato" w:eastAsia="Times New Roman" w:hAnsi="Lato" w:cs="Times New Roman"/>
          <w:i/>
          <w:iCs/>
          <w:color w:val="000000"/>
          <w:spacing w:val="5"/>
          <w:sz w:val="20"/>
          <w:szCs w:val="20"/>
          <w:lang w:eastAsia="it-IT"/>
        </w:rPr>
        <w:t> 2013, fasc. 5, 529</w:t>
      </w:r>
    </w:p>
    <w:p w14:paraId="12CF5114"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Non sussiste la giurisdizione della corte dei conti in controversie che abbiano ad oggetto la responsabilità per mala </w:t>
      </w:r>
      <w:proofErr w:type="spellStart"/>
      <w:r w:rsidRPr="003923B8">
        <w:rPr>
          <w:rFonts w:ascii="Lato" w:eastAsia="Times New Roman" w:hAnsi="Lato" w:cs="Times New Roman"/>
          <w:color w:val="000000"/>
          <w:spacing w:val="5"/>
          <w:sz w:val="24"/>
          <w:szCs w:val="24"/>
          <w:lang w:eastAsia="it-IT"/>
        </w:rPr>
        <w:t>gestio</w:t>
      </w:r>
      <w:proofErr w:type="spellEnd"/>
      <w:r w:rsidRPr="003923B8">
        <w:rPr>
          <w:rFonts w:ascii="Lato" w:eastAsia="Times New Roman" w:hAnsi="Lato" w:cs="Times New Roman"/>
          <w:color w:val="000000"/>
          <w:spacing w:val="5"/>
          <w:sz w:val="24"/>
          <w:szCs w:val="24"/>
          <w:lang w:eastAsia="it-IT"/>
        </w:rPr>
        <w:t xml:space="preserve"> imputabile ad amministratori di società a partecipazione pubblica, ove il danno di cui si pretende il ristoro sia riferito al patrimonio della </w:t>
      </w:r>
      <w:proofErr w:type="spellStart"/>
      <w:r w:rsidRPr="003923B8">
        <w:rPr>
          <w:rFonts w:ascii="Lato" w:eastAsia="Times New Roman" w:hAnsi="Lato" w:cs="Times New Roman"/>
          <w:color w:val="000000"/>
          <w:spacing w:val="5"/>
          <w:sz w:val="24"/>
          <w:szCs w:val="24"/>
          <w:lang w:eastAsia="it-IT"/>
        </w:rPr>
        <w:t>societa</w:t>
      </w:r>
      <w:proofErr w:type="spellEnd"/>
      <w:r w:rsidRPr="003923B8">
        <w:rPr>
          <w:rFonts w:ascii="Lato" w:eastAsia="Times New Roman" w:hAnsi="Lato" w:cs="Times New Roman"/>
          <w:color w:val="000000"/>
          <w:spacing w:val="5"/>
          <w:sz w:val="24"/>
          <w:szCs w:val="24"/>
          <w:lang w:eastAsia="it-IT"/>
        </w:rPr>
        <w:t xml:space="preserve"> che, non potendosi confondere con quello dei soci, appartiene alla società medesima, la quale non diviene essa stessa un ente pubblico sol per il fatto di essere partecipata da un ente pubblico.</w:t>
      </w:r>
    </w:p>
    <w:p w14:paraId="79EE2815" w14:textId="77777777" w:rsidR="003923B8" w:rsidRDefault="003923B8"/>
    <w:p w14:paraId="7ABE5CEF" w14:textId="77777777" w:rsidR="003923B8" w:rsidRDefault="003923B8"/>
    <w:p w14:paraId="4C520A41" w14:textId="77777777" w:rsidR="003923B8" w:rsidRPr="003923B8" w:rsidRDefault="003923B8" w:rsidP="003923B8">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3923B8">
        <w:rPr>
          <w:rFonts w:ascii="Lato" w:eastAsia="Times New Roman" w:hAnsi="Lato" w:cs="Times New Roman"/>
          <w:b/>
          <w:bCs/>
          <w:color w:val="000000"/>
          <w:spacing w:val="5"/>
          <w:sz w:val="26"/>
          <w:szCs w:val="26"/>
          <w:lang w:eastAsia="it-IT"/>
        </w:rPr>
        <w:t>Svolgimento del processo</w:t>
      </w:r>
    </w:p>
    <w:p w14:paraId="02604F51"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1.- Con atto del 16 novembre 2010, in esito ad un'indagine condotta dalla Guardia di finanza, la Procura regionale della Sezione giurisdizionale della Corte dei Conti per il Veneto citò in giudizio, unitamente ad alcuni amministratori del Comune di Verona, alcuni componenti del consiglio di amministrazione della AMT-Azienda Municipalizzata Trasporti s.p.a., interamente partecipata dal Comune, chiedendone la condanna al pagamento di oltre 1.094.000 Euro, "quale danno pubblico cagionato ad AMT spa o in subordine ed in via indiretta al Comune di Verona", in relazione alla costituzione nell'aprile 2001, da parte di AMT e sotto le direttive del Comune, di una società mista, la SI.TRA.M. s.r.l. (con prevalente capitale della AMT ed il residuo della società privata francese R.A.T.P. International) per la realizzazione di compiti già affidati alla società costituente.</w:t>
      </w:r>
    </w:p>
    <w:p w14:paraId="43CF8B1A"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La progettazione e la realizzazione del trasporto tramviario urbano era, infatti, uno dei compiti affidati dal Comune alla municipalizzata AMT in base ad una convenzione risalente a tre mesi prima della costituzione di </w:t>
      </w:r>
      <w:proofErr w:type="gramStart"/>
      <w:r w:rsidRPr="003923B8">
        <w:rPr>
          <w:rFonts w:ascii="Lato" w:eastAsia="Times New Roman" w:hAnsi="Lato" w:cs="Times New Roman"/>
          <w:color w:val="000000"/>
          <w:spacing w:val="5"/>
          <w:sz w:val="24"/>
          <w:szCs w:val="24"/>
          <w:lang w:eastAsia="it-IT"/>
        </w:rPr>
        <w:t>SI.TRA.M.</w:t>
      </w:r>
      <w:proofErr w:type="gramEnd"/>
      <w:r w:rsidRPr="003923B8">
        <w:rPr>
          <w:rFonts w:ascii="Lato" w:eastAsia="Times New Roman" w:hAnsi="Lato" w:cs="Times New Roman"/>
          <w:color w:val="000000"/>
          <w:spacing w:val="5"/>
          <w:sz w:val="24"/>
          <w:szCs w:val="24"/>
          <w:lang w:eastAsia="it-IT"/>
        </w:rPr>
        <w:t>; costituzione consentita in base alla menzionata convenzione, ma rivelatasi inutilmente costosa:</w:t>
      </w:r>
    </w:p>
    <w:p w14:paraId="0C183287"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SITRAM era stata infatti posta in liquidazione volontaria nel 2004, dopo che nel marzo del 2003 il Comune aveva deciso di procedere allo scioglimento del rapporto tra AMT e SITRAM a seguito delle irregolarità di gestione rilevate dal collegio sindacale.</w:t>
      </w:r>
    </w:p>
    <w:p w14:paraId="17571380"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La relazione della Guardia di finanza aveva evidenziato che SITRAM aveva svolto attività, direttamente o per il tramite di AMT, esclusivamente per il Comune e solo per il progetto tramvia, con personale in parte trasferito da AMT e in parte direttamente assunto, al pari di quanto avrebbe peraltro potuto fare la società controllante, che aveva pagato le prestazioni di SITRAM con il ricarico applicato da quest'ultima in funzione del proprio obiettivo di profitto.</w:t>
      </w:r>
    </w:p>
    <w:p w14:paraId="0293E0A8"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lastRenderedPageBreak/>
        <w:t>Secondo quanto evidenziato nella citata relazione, si sarebbe così realizzato di fatto un sistema finalizzato non già, come sostenuto dai convenuti, ad evitare consulenze esterne, bensì ad intermediarle, in quanto diretto esclusivamente ad erogare compensi a terzi, aggirando le regole di evidenza pubblica ed eludendo le esigenze di trasparenza. Il tutto con l'ulteriore anomalia della duplicazione degli incarichi e dei compensi a favore delle stesse persone fisiche chiamate a rivestire cariche direttive e gestionali in entrambe le società, pur a dispetto dell'evidente conflitto di interessi.</w:t>
      </w:r>
    </w:p>
    <w:p w14:paraId="7E1E479F"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2.- Nella pendenza del giudizio contabile di responsabilità sono stati proposti due coevi regolamenti preventivi di giurisdizione:</w:t>
      </w:r>
    </w:p>
    <w:p w14:paraId="6AAEA09D"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l'uno (iscritto al n. 9472/2011 del ruolo generale) da Z. S., presidente del Consiglio di amministrazione di AMT, da A.F., D.V.C., D.M.U. e Sa.Ca., tutti consiglieri di AMT, </w:t>
      </w:r>
      <w:proofErr w:type="spellStart"/>
      <w:r w:rsidRPr="003923B8">
        <w:rPr>
          <w:rFonts w:ascii="Lato" w:eastAsia="Times New Roman" w:hAnsi="Lato" w:cs="Times New Roman"/>
          <w:color w:val="000000"/>
          <w:spacing w:val="5"/>
          <w:sz w:val="24"/>
          <w:szCs w:val="24"/>
          <w:lang w:eastAsia="it-IT"/>
        </w:rPr>
        <w:t>nonchè</w:t>
      </w:r>
      <w:proofErr w:type="spellEnd"/>
      <w:r w:rsidRPr="003923B8">
        <w:rPr>
          <w:rFonts w:ascii="Lato" w:eastAsia="Times New Roman" w:hAnsi="Lato" w:cs="Times New Roman"/>
          <w:color w:val="000000"/>
          <w:spacing w:val="5"/>
          <w:sz w:val="24"/>
          <w:szCs w:val="24"/>
          <w:lang w:eastAsia="it-IT"/>
        </w:rPr>
        <w:t xml:space="preserve"> da S. M.M., sindaco pro tempore di (omissis) dal 1994 al 2002;</w:t>
      </w:r>
    </w:p>
    <w:p w14:paraId="48548F8F"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l'altro (iscritto al n. 9583/2011 del ruolo generale) da T. R., anch'egli consigliere di AMT, con i quali si sostiene che, trattandosi di presunto danno cagionato direttamente alla privata società partecipata AMT, e solo indirettamente al socio Comune, la relativa azione di responsabilità sarebbe soggetta alla giurisdizione ordinaria e non a quella del giudice contabile, secondo il sistema desumibile dal complessivo assetto ordinamentale, in particolare codicistico, non soggetto a deroghe espresse.</w:t>
      </w:r>
    </w:p>
    <w:p w14:paraId="6F1449B2"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Ricorre incidentalmente anche </w:t>
      </w:r>
      <w:proofErr w:type="spellStart"/>
      <w:r w:rsidRPr="003923B8">
        <w:rPr>
          <w:rFonts w:ascii="Lato" w:eastAsia="Times New Roman" w:hAnsi="Lato" w:cs="Times New Roman"/>
          <w:color w:val="000000"/>
          <w:spacing w:val="5"/>
          <w:sz w:val="24"/>
          <w:szCs w:val="24"/>
          <w:lang w:eastAsia="it-IT"/>
        </w:rPr>
        <w:t>Za.Gu</w:t>
      </w:r>
      <w:proofErr w:type="spellEnd"/>
      <w:r w:rsidRPr="003923B8">
        <w:rPr>
          <w:rFonts w:ascii="Lato" w:eastAsia="Times New Roman" w:hAnsi="Lato" w:cs="Times New Roman"/>
          <w:color w:val="000000"/>
          <w:spacing w:val="5"/>
          <w:sz w:val="24"/>
          <w:szCs w:val="24"/>
          <w:lang w:eastAsia="it-IT"/>
        </w:rPr>
        <w:t xml:space="preserve">., direttore generale di </w:t>
      </w:r>
      <w:proofErr w:type="gramStart"/>
      <w:r w:rsidRPr="003923B8">
        <w:rPr>
          <w:rFonts w:ascii="Lato" w:eastAsia="Times New Roman" w:hAnsi="Lato" w:cs="Times New Roman"/>
          <w:color w:val="000000"/>
          <w:spacing w:val="5"/>
          <w:sz w:val="24"/>
          <w:szCs w:val="24"/>
          <w:lang w:eastAsia="it-IT"/>
        </w:rPr>
        <w:t>SI.TRA.M.</w:t>
      </w:r>
      <w:proofErr w:type="gramEnd"/>
      <w:r w:rsidRPr="003923B8">
        <w:rPr>
          <w:rFonts w:ascii="Lato" w:eastAsia="Times New Roman" w:hAnsi="Lato" w:cs="Times New Roman"/>
          <w:color w:val="000000"/>
          <w:spacing w:val="5"/>
          <w:sz w:val="24"/>
          <w:szCs w:val="24"/>
          <w:lang w:eastAsia="it-IT"/>
        </w:rPr>
        <w:t>, sostanzialmente facendo proprie le tesi contenute nel primo dei due ricorsi per regolamento, in particolare sottolineando sia la mancanza di un obbligo di apporto finanziario volto a ripianare i debiti di AMT sia l'impossibilità di qualificazione in house della stessa società per il difetto di un obbligo statutario di partecipazione totalitaria, e non solo oltre il 50%.</w:t>
      </w:r>
    </w:p>
    <w:p w14:paraId="785C2F51"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3.- Il Procuratore regionale presso la locale sezione giurisdizionale della Corte dei conti osserva in contrario, con controricorso, che gli indici pubblicistici del rapporto contrattuale societario possono coerentemente costituire base per una riqualificazione pubblica di AMT e, in particolare, che il rapporto di affidamento del servizio pubblico a detta società integra, in realtà, un rapporto sostanziale di concessione.</w:t>
      </w:r>
    </w:p>
    <w:p w14:paraId="039027CC"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4.- Il Procuratore generale ha chiesto, nelle sue conclusioni scritte, che sia affermata la giurisdizione della Corte dei conti.</w:t>
      </w:r>
    </w:p>
    <w:p w14:paraId="4C5369D7"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5.- Tutte le parti hanno depositato memorie illustrative.</w:t>
      </w:r>
    </w:p>
    <w:p w14:paraId="371047CE"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6.- La trattazione in camera di consiglio dei ricorsi riuniti, già fissata per 17 gennaio 2012, s'è svolta il 26 febbraio 2013 a seguito di ordinanza interlocutoria volta all'acquisizione di una relazione di approfondimento da parte dell'Ufficio del ruolo e del massimario alla luce del dibattito giurisprudenziale e dottrinale seguito all'arresto di cui alla sentenza di queste Sezioni unite n. 26806/2009.</w:t>
      </w:r>
    </w:p>
    <w:p w14:paraId="069F767E" w14:textId="77777777" w:rsidR="003923B8" w:rsidRPr="003923B8" w:rsidRDefault="003923B8" w:rsidP="003923B8">
      <w:pPr>
        <w:spacing w:after="0" w:line="240" w:lineRule="auto"/>
        <w:rPr>
          <w:rFonts w:ascii="Times New Roman" w:eastAsia="Times New Roman" w:hAnsi="Times New Roman" w:cs="Times New Roman"/>
          <w:sz w:val="24"/>
          <w:szCs w:val="24"/>
          <w:lang w:eastAsia="it-IT"/>
        </w:rPr>
      </w:pPr>
    </w:p>
    <w:p w14:paraId="2E916C48" w14:textId="77777777" w:rsidR="003923B8" w:rsidRPr="003923B8" w:rsidRDefault="003923B8" w:rsidP="003923B8">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3923B8">
        <w:rPr>
          <w:rFonts w:ascii="Lato" w:eastAsia="Times New Roman" w:hAnsi="Lato" w:cs="Times New Roman"/>
          <w:b/>
          <w:bCs/>
          <w:color w:val="000000"/>
          <w:spacing w:val="5"/>
          <w:sz w:val="26"/>
          <w:szCs w:val="26"/>
          <w:lang w:eastAsia="it-IT"/>
        </w:rPr>
        <w:t>Motivi della decisione</w:t>
      </w:r>
    </w:p>
    <w:p w14:paraId="1BF3DBF4"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1.- I ricorsi vanno riuniti.</w:t>
      </w:r>
    </w:p>
    <w:p w14:paraId="7549D24A"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2.- A sostegno della carenza di giurisdizione della Corte dei conti e della sussistenza di quella del giudice ordinario i ricorrenti invocano le disposizioni normative di cui agli artt. </w:t>
      </w:r>
      <w:hyperlink r:id="rId205" w:history="1">
        <w:r w:rsidRPr="003923B8">
          <w:rPr>
            <w:rFonts w:ascii="Lato" w:eastAsia="Times New Roman" w:hAnsi="Lato" w:cs="Times New Roman"/>
            <w:b/>
            <w:bCs/>
            <w:color w:val="FFA403"/>
            <w:spacing w:val="5"/>
            <w:sz w:val="24"/>
            <w:szCs w:val="24"/>
            <w:u w:val="single"/>
            <w:lang w:eastAsia="it-IT"/>
          </w:rPr>
          <w:t>102</w:t>
        </w:r>
      </w:hyperlink>
      <w:r w:rsidRPr="003923B8">
        <w:rPr>
          <w:rFonts w:ascii="Lato" w:eastAsia="Times New Roman" w:hAnsi="Lato" w:cs="Times New Roman"/>
          <w:color w:val="000000"/>
          <w:spacing w:val="5"/>
          <w:sz w:val="24"/>
          <w:szCs w:val="24"/>
          <w:lang w:eastAsia="it-IT"/>
        </w:rPr>
        <w:t> e </w:t>
      </w:r>
      <w:hyperlink r:id="rId206" w:history="1">
        <w:r w:rsidRPr="003923B8">
          <w:rPr>
            <w:rFonts w:ascii="Lato" w:eastAsia="Times New Roman" w:hAnsi="Lato" w:cs="Times New Roman"/>
            <w:b/>
            <w:bCs/>
            <w:color w:val="FFA403"/>
            <w:spacing w:val="5"/>
            <w:sz w:val="24"/>
            <w:szCs w:val="24"/>
            <w:u w:val="single"/>
            <w:lang w:eastAsia="it-IT"/>
          </w:rPr>
          <w:t>103</w:t>
        </w:r>
      </w:hyperlink>
      <w:r w:rsidRPr="003923B8">
        <w:rPr>
          <w:rFonts w:ascii="Lato" w:eastAsia="Times New Roman" w:hAnsi="Lato" w:cs="Times New Roman"/>
          <w:color w:val="000000"/>
          <w:spacing w:val="5"/>
          <w:sz w:val="24"/>
          <w:szCs w:val="24"/>
          <w:lang w:eastAsia="it-IT"/>
        </w:rPr>
        <w:t> Cost., agli artt. </w:t>
      </w:r>
      <w:hyperlink r:id="rId207" w:history="1">
        <w:r w:rsidRPr="003923B8">
          <w:rPr>
            <w:rFonts w:ascii="Lato" w:eastAsia="Times New Roman" w:hAnsi="Lato" w:cs="Times New Roman"/>
            <w:b/>
            <w:bCs/>
            <w:color w:val="FFA403"/>
            <w:spacing w:val="5"/>
            <w:sz w:val="24"/>
            <w:szCs w:val="24"/>
            <w:u w:val="single"/>
            <w:lang w:eastAsia="it-IT"/>
          </w:rPr>
          <w:t>2393</w:t>
        </w:r>
      </w:hyperlink>
      <w:r w:rsidRPr="003923B8">
        <w:rPr>
          <w:rFonts w:ascii="Lato" w:eastAsia="Times New Roman" w:hAnsi="Lato" w:cs="Times New Roman"/>
          <w:color w:val="000000"/>
          <w:spacing w:val="5"/>
          <w:sz w:val="24"/>
          <w:szCs w:val="24"/>
          <w:lang w:eastAsia="it-IT"/>
        </w:rPr>
        <w:t> e </w:t>
      </w:r>
      <w:hyperlink r:id="rId208" w:history="1">
        <w:r w:rsidRPr="003923B8">
          <w:rPr>
            <w:rFonts w:ascii="Lato" w:eastAsia="Times New Roman" w:hAnsi="Lato" w:cs="Times New Roman"/>
            <w:b/>
            <w:bCs/>
            <w:color w:val="FFA403"/>
            <w:spacing w:val="5"/>
            <w:sz w:val="24"/>
            <w:szCs w:val="24"/>
            <w:u w:val="single"/>
            <w:lang w:eastAsia="it-IT"/>
          </w:rPr>
          <w:t>2393 bis</w:t>
        </w:r>
      </w:hyperlink>
      <w:r w:rsidRPr="003923B8">
        <w:rPr>
          <w:rFonts w:ascii="Lato" w:eastAsia="Times New Roman" w:hAnsi="Lato" w:cs="Times New Roman"/>
          <w:color w:val="000000"/>
          <w:spacing w:val="5"/>
          <w:sz w:val="24"/>
          <w:szCs w:val="24"/>
          <w:lang w:eastAsia="it-IT"/>
        </w:rPr>
        <w:t> cod. civ., all'</w:t>
      </w:r>
      <w:hyperlink r:id="rId209" w:history="1">
        <w:r w:rsidRPr="003923B8">
          <w:rPr>
            <w:rFonts w:ascii="Lato" w:eastAsia="Times New Roman" w:hAnsi="Lato" w:cs="Times New Roman"/>
            <w:b/>
            <w:bCs/>
            <w:color w:val="FFA403"/>
            <w:spacing w:val="5"/>
            <w:sz w:val="24"/>
            <w:szCs w:val="24"/>
            <w:u w:val="single"/>
            <w:lang w:eastAsia="it-IT"/>
          </w:rPr>
          <w:t>art. 53, R.D. 12 luglio 1934, n. 1214</w:t>
        </w:r>
      </w:hyperlink>
      <w:r w:rsidRPr="003923B8">
        <w:rPr>
          <w:rFonts w:ascii="Lato" w:eastAsia="Times New Roman" w:hAnsi="Lato" w:cs="Times New Roman"/>
          <w:color w:val="000000"/>
          <w:spacing w:val="5"/>
          <w:sz w:val="24"/>
          <w:szCs w:val="24"/>
          <w:lang w:eastAsia="it-IT"/>
        </w:rPr>
        <w:t> e alla </w:t>
      </w:r>
      <w:hyperlink r:id="rId210" w:history="1">
        <w:r w:rsidRPr="003923B8">
          <w:rPr>
            <w:rFonts w:ascii="Lato" w:eastAsia="Times New Roman" w:hAnsi="Lato" w:cs="Times New Roman"/>
            <w:b/>
            <w:bCs/>
            <w:color w:val="FFA403"/>
            <w:spacing w:val="5"/>
            <w:sz w:val="24"/>
            <w:szCs w:val="24"/>
            <w:u w:val="single"/>
            <w:lang w:eastAsia="it-IT"/>
          </w:rPr>
          <w:t>L. 14 gennaio 1994, n. 20, art. 1</w:t>
        </w:r>
      </w:hyperlink>
      <w:r w:rsidRPr="003923B8">
        <w:rPr>
          <w:rFonts w:ascii="Lato" w:eastAsia="Times New Roman" w:hAnsi="Lato" w:cs="Times New Roman"/>
          <w:color w:val="000000"/>
          <w:spacing w:val="5"/>
          <w:sz w:val="24"/>
          <w:szCs w:val="24"/>
          <w:lang w:eastAsia="it-IT"/>
        </w:rPr>
        <w:t> </w:t>
      </w:r>
      <w:proofErr w:type="spellStart"/>
      <w:r w:rsidRPr="003923B8">
        <w:rPr>
          <w:rFonts w:ascii="Lato" w:eastAsia="Times New Roman" w:hAnsi="Lato" w:cs="Times New Roman"/>
          <w:color w:val="000000"/>
          <w:spacing w:val="5"/>
          <w:sz w:val="24"/>
          <w:szCs w:val="24"/>
          <w:lang w:eastAsia="it-IT"/>
        </w:rPr>
        <w:t>nonchè</w:t>
      </w:r>
      <w:proofErr w:type="spellEnd"/>
      <w:r w:rsidRPr="003923B8">
        <w:rPr>
          <w:rFonts w:ascii="Lato" w:eastAsia="Times New Roman" w:hAnsi="Lato" w:cs="Times New Roman"/>
          <w:color w:val="000000"/>
          <w:spacing w:val="5"/>
          <w:sz w:val="24"/>
          <w:szCs w:val="24"/>
          <w:lang w:eastAsia="it-IT"/>
        </w:rPr>
        <w:t xml:space="preserve"> il principio enunciato da Cass., sez. un., 19 dicembre 2009, n. 26906 (e dalla successiva conforme giurisprudenza) nel senso che "spetta al giudice ordinario la giurisdizione in ordine all'azione di risarcimento dei danni subiti da una società a partecipazione pubblica per effetto di condotte illecite degli amministratori o dei dipendenti (nella specie, consistenti nell'avere accettato indebite dazioni di denaro al fine di favorire determinate imprese nell'aggiudicazione e nella successiva gestione di appalti), non essendo in tal caso configurabile, avuto riguardo </w:t>
      </w:r>
      <w:r w:rsidRPr="003923B8">
        <w:rPr>
          <w:rFonts w:ascii="Lato" w:eastAsia="Times New Roman" w:hAnsi="Lato" w:cs="Times New Roman"/>
          <w:color w:val="000000"/>
          <w:spacing w:val="5"/>
          <w:sz w:val="24"/>
          <w:szCs w:val="24"/>
          <w:lang w:eastAsia="it-IT"/>
        </w:rPr>
        <w:lastRenderedPageBreak/>
        <w:t xml:space="preserve">all'autonoma personalità giuridica della società, </w:t>
      </w:r>
      <w:proofErr w:type="spellStart"/>
      <w:r w:rsidRPr="003923B8">
        <w:rPr>
          <w:rFonts w:ascii="Lato" w:eastAsia="Times New Roman" w:hAnsi="Lato" w:cs="Times New Roman"/>
          <w:color w:val="000000"/>
          <w:spacing w:val="5"/>
          <w:sz w:val="24"/>
          <w:szCs w:val="24"/>
          <w:lang w:eastAsia="it-IT"/>
        </w:rPr>
        <w:t>nè</w:t>
      </w:r>
      <w:proofErr w:type="spellEnd"/>
      <w:r w:rsidRPr="003923B8">
        <w:rPr>
          <w:rFonts w:ascii="Lato" w:eastAsia="Times New Roman" w:hAnsi="Lato" w:cs="Times New Roman"/>
          <w:color w:val="000000"/>
          <w:spacing w:val="5"/>
          <w:sz w:val="24"/>
          <w:szCs w:val="24"/>
          <w:lang w:eastAsia="it-IT"/>
        </w:rPr>
        <w:t xml:space="preserve"> un rapporto di servizio tra l'agente e l'ente pubblico titolare della partecipazione, </w:t>
      </w:r>
      <w:proofErr w:type="spellStart"/>
      <w:r w:rsidRPr="003923B8">
        <w:rPr>
          <w:rFonts w:ascii="Lato" w:eastAsia="Times New Roman" w:hAnsi="Lato" w:cs="Times New Roman"/>
          <w:color w:val="000000"/>
          <w:spacing w:val="5"/>
          <w:sz w:val="24"/>
          <w:szCs w:val="24"/>
          <w:lang w:eastAsia="it-IT"/>
        </w:rPr>
        <w:t>nè</w:t>
      </w:r>
      <w:proofErr w:type="spellEnd"/>
      <w:r w:rsidRPr="003923B8">
        <w:rPr>
          <w:rFonts w:ascii="Lato" w:eastAsia="Times New Roman" w:hAnsi="Lato" w:cs="Times New Roman"/>
          <w:color w:val="000000"/>
          <w:spacing w:val="5"/>
          <w:sz w:val="24"/>
          <w:szCs w:val="24"/>
          <w:lang w:eastAsia="it-IT"/>
        </w:rPr>
        <w:t xml:space="preserve"> un danno direttamente arrecato allo Stato o ad altro ente pubblico, idonei a radicare la giurisdizione della Corte dei conti. Sussiste invece la giurisdizione di quest'ultima quando l'azione di responsabilità trovi fondamento nel comportamento di chi, quale rappresentante dell'ente partecipante o comunque titolare del potere di decidere per esso, abbia colpevolmente trascurato di esercitare i propri diritti di socio, in tal modo pregiudicando il valore della partecipazione, ovvero in comportamenti degli amministratori o dei sindaci tali da compromettere la ragione stessa della partecipazione sociale dell'ente pubblico, strumentale al perseguimento di finalità pubbliche ed implicante l'impiego di risorse pubbliche, o da arrecare direttamente pregiudizio al suo patrimonio".</w:t>
      </w:r>
    </w:p>
    <w:p w14:paraId="2C1558FF"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3.- Il principio è stato reiteratamente ribadito (da Cass., sez. un., </w:t>
      </w:r>
      <w:proofErr w:type="spellStart"/>
      <w:r w:rsidRPr="003923B8">
        <w:rPr>
          <w:rFonts w:ascii="Lato" w:eastAsia="Times New Roman" w:hAnsi="Lato" w:cs="Times New Roman"/>
          <w:color w:val="000000"/>
          <w:spacing w:val="5"/>
          <w:sz w:val="24"/>
          <w:szCs w:val="24"/>
          <w:lang w:eastAsia="it-IT"/>
        </w:rPr>
        <w:t>nn</w:t>
      </w:r>
      <w:proofErr w:type="spellEnd"/>
      <w:r w:rsidRPr="003923B8">
        <w:rPr>
          <w:rFonts w:ascii="Lato" w:eastAsia="Times New Roman" w:hAnsi="Lato" w:cs="Times New Roman"/>
          <w:color w:val="000000"/>
          <w:spacing w:val="5"/>
          <w:sz w:val="24"/>
          <w:szCs w:val="24"/>
          <w:lang w:eastAsia="it-IT"/>
        </w:rPr>
        <w:t>. 519/2010, 4309/2010, 10063/2011, 14655/2011, 14957/2011, 20941/2011, 3692/2012) dando luogo ad un consolidato orientamento del quale la Procura contabile sollecita la revisione.</w:t>
      </w:r>
    </w:p>
    <w:p w14:paraId="4A03E8B5"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Rappresenta come condizionamenti di carattere politico finiscano col rendere altamente improbabili iniziative degli organi societari davanti al giudice ordinario, dando luogo ad un sostanziale esonero da responsabilità di soggetti che pure arrecano danno a società sostanzialmente pubbliche, in quanto totalmente partecipate dai Comuni, di cui costituiscono longa manus per l'attuazione delle relative decisioni strategiche ed operative.</w:t>
      </w:r>
    </w:p>
    <w:p w14:paraId="130338D4"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Richiama tra l'altro:</w:t>
      </w:r>
    </w:p>
    <w:p w14:paraId="7DA7E505"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i riferimenti alle società in house da parte dell'</w:t>
      </w:r>
      <w:hyperlink r:id="rId211" w:history="1">
        <w:r w:rsidRPr="003923B8">
          <w:rPr>
            <w:rFonts w:ascii="Lato" w:eastAsia="Times New Roman" w:hAnsi="Lato" w:cs="Times New Roman"/>
            <w:b/>
            <w:bCs/>
            <w:color w:val="FFA403"/>
            <w:spacing w:val="5"/>
            <w:sz w:val="24"/>
            <w:szCs w:val="24"/>
            <w:u w:val="single"/>
            <w:lang w:eastAsia="it-IT"/>
          </w:rPr>
          <w:t>art. 25, comma 1, D.L. 24 gennaio 2012, n. 1</w:t>
        </w:r>
      </w:hyperlink>
      <w:r w:rsidRPr="003923B8">
        <w:rPr>
          <w:rFonts w:ascii="Lato" w:eastAsia="Times New Roman" w:hAnsi="Lato" w:cs="Times New Roman"/>
          <w:color w:val="000000"/>
          <w:spacing w:val="5"/>
          <w:sz w:val="24"/>
          <w:szCs w:val="24"/>
          <w:lang w:eastAsia="it-IT"/>
        </w:rPr>
        <w:t xml:space="preserve">, </w:t>
      </w:r>
      <w:proofErr w:type="spellStart"/>
      <w:r w:rsidRPr="003923B8">
        <w:rPr>
          <w:rFonts w:ascii="Lato" w:eastAsia="Times New Roman" w:hAnsi="Lato" w:cs="Times New Roman"/>
          <w:color w:val="000000"/>
          <w:spacing w:val="5"/>
          <w:sz w:val="24"/>
          <w:szCs w:val="24"/>
          <w:lang w:eastAsia="it-IT"/>
        </w:rPr>
        <w:t>nn</w:t>
      </w:r>
      <w:proofErr w:type="spellEnd"/>
      <w:r w:rsidRPr="003923B8">
        <w:rPr>
          <w:rFonts w:ascii="Lato" w:eastAsia="Times New Roman" w:hAnsi="Lato" w:cs="Times New Roman"/>
          <w:color w:val="000000"/>
          <w:spacing w:val="5"/>
          <w:sz w:val="24"/>
          <w:szCs w:val="24"/>
          <w:lang w:eastAsia="it-IT"/>
        </w:rPr>
        <w:t>. 5 e 6, (convertito in legge, con modificazioni, dalla </w:t>
      </w:r>
      <w:hyperlink r:id="rId212" w:history="1">
        <w:r w:rsidRPr="003923B8">
          <w:rPr>
            <w:rFonts w:ascii="Lato" w:eastAsia="Times New Roman" w:hAnsi="Lato" w:cs="Times New Roman"/>
            <w:b/>
            <w:bCs/>
            <w:color w:val="FFA403"/>
            <w:spacing w:val="5"/>
            <w:sz w:val="24"/>
            <w:szCs w:val="24"/>
            <w:u w:val="single"/>
            <w:lang w:eastAsia="it-IT"/>
          </w:rPr>
          <w:t>L. 24 marzo 2012, n. 27</w:t>
        </w:r>
      </w:hyperlink>
      <w:r w:rsidRPr="003923B8">
        <w:rPr>
          <w:rFonts w:ascii="Lato" w:eastAsia="Times New Roman" w:hAnsi="Lato" w:cs="Times New Roman"/>
          <w:color w:val="000000"/>
          <w:spacing w:val="5"/>
          <w:sz w:val="24"/>
          <w:szCs w:val="24"/>
          <w:lang w:eastAsia="it-IT"/>
        </w:rPr>
        <w:t>), il cui art. 1 prevede la responsabilità amministrativa in caso di stipulazione, da parte di talune società a totale partecipazione pubblica, di contratti conclusi in violazione delle previste modalità di approvvigionamento;</w:t>
      </w:r>
    </w:p>
    <w:p w14:paraId="2D09E003"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l'</w:t>
      </w:r>
      <w:hyperlink r:id="rId213" w:history="1">
        <w:r w:rsidRPr="003923B8">
          <w:rPr>
            <w:rFonts w:ascii="Lato" w:eastAsia="Times New Roman" w:hAnsi="Lato" w:cs="Times New Roman"/>
            <w:b/>
            <w:bCs/>
            <w:color w:val="FFA403"/>
            <w:spacing w:val="5"/>
            <w:sz w:val="24"/>
            <w:szCs w:val="24"/>
            <w:u w:val="single"/>
            <w:lang w:eastAsia="it-IT"/>
          </w:rPr>
          <w:t>art. 4, comma 12, D.L. 6 luglio 2012, n. 95</w:t>
        </w:r>
      </w:hyperlink>
      <w:r w:rsidRPr="003923B8">
        <w:rPr>
          <w:rFonts w:ascii="Lato" w:eastAsia="Times New Roman" w:hAnsi="Lato" w:cs="Times New Roman"/>
          <w:color w:val="000000"/>
          <w:spacing w:val="5"/>
          <w:sz w:val="24"/>
          <w:szCs w:val="24"/>
          <w:lang w:eastAsia="it-IT"/>
        </w:rPr>
        <w:t>, (convertito in legge, con modificazioni, dalla </w:t>
      </w:r>
      <w:hyperlink r:id="rId214" w:history="1">
        <w:r w:rsidRPr="003923B8">
          <w:rPr>
            <w:rFonts w:ascii="Lato" w:eastAsia="Times New Roman" w:hAnsi="Lato" w:cs="Times New Roman"/>
            <w:b/>
            <w:bCs/>
            <w:color w:val="FFA403"/>
            <w:spacing w:val="5"/>
            <w:sz w:val="24"/>
            <w:szCs w:val="24"/>
            <w:u w:val="single"/>
            <w:lang w:eastAsia="it-IT"/>
          </w:rPr>
          <w:t>L. 7 agosto 2012, n. 135</w:t>
        </w:r>
      </w:hyperlink>
      <w:r w:rsidRPr="003923B8">
        <w:rPr>
          <w:rFonts w:ascii="Lato" w:eastAsia="Times New Roman" w:hAnsi="Lato" w:cs="Times New Roman"/>
          <w:color w:val="000000"/>
          <w:spacing w:val="5"/>
          <w:sz w:val="24"/>
          <w:szCs w:val="24"/>
          <w:lang w:eastAsia="it-IT"/>
        </w:rPr>
        <w:t>, recante:</w:t>
      </w:r>
    </w:p>
    <w:p w14:paraId="6EE39BD8"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"Disposizioni urgenti per la revisione della spesa pubblica..."), laddove stabilisce che "le amministrazioni vigilanti verificano sul rispetto dei vincoli di cui ai commi precedenti; in caso di violazione dei suddetti vincoli gli amministratori esecutivi e i dirigenti responsabili della società rispondono, a titolo di danno erariale, per le retribuzioni ed i compensi erogati in virtù dei contratti stipulati";</w:t>
      </w:r>
    </w:p>
    <w:p w14:paraId="2CDE959F"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il citato </w:t>
      </w:r>
      <w:hyperlink r:id="rId215" w:history="1">
        <w:r w:rsidRPr="003923B8">
          <w:rPr>
            <w:rFonts w:ascii="Lato" w:eastAsia="Times New Roman" w:hAnsi="Lato" w:cs="Times New Roman"/>
            <w:b/>
            <w:bCs/>
            <w:color w:val="FFA403"/>
            <w:spacing w:val="5"/>
            <w:sz w:val="24"/>
            <w:szCs w:val="24"/>
            <w:u w:val="single"/>
            <w:lang w:eastAsia="it-IT"/>
          </w:rPr>
          <w:t>art. 6,D.L. n. 95 del 2012</w:t>
        </w:r>
      </w:hyperlink>
      <w:r w:rsidRPr="003923B8">
        <w:rPr>
          <w:rFonts w:ascii="Lato" w:eastAsia="Times New Roman" w:hAnsi="Lato" w:cs="Times New Roman"/>
          <w:color w:val="000000"/>
          <w:spacing w:val="5"/>
          <w:sz w:val="24"/>
          <w:szCs w:val="24"/>
          <w:lang w:eastAsia="it-IT"/>
        </w:rPr>
        <w:t>, commi 3 e 4, che estende alle società a totale partecipazione pubblica il potere ispettivo attribuito agli organi statali nei confronti delle amministrazioni pubbliche (comma 3) e prevede che comuni e province alleghino al rendiconto della gestione una nota informativa contenente la verifica dei crediti e dei debiti reciproci tra ente e società partecipate e, in caso di discordanze, adottino senza indugio i provvedimenti necessari ai fini della riconciliazione delle partite debitorie e creditorie (comma 4);</w:t>
      </w:r>
    </w:p>
    <w:p w14:paraId="721EBAD1"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l'</w:t>
      </w:r>
      <w:hyperlink r:id="rId216" w:history="1">
        <w:r w:rsidRPr="003923B8">
          <w:rPr>
            <w:rFonts w:ascii="Lato" w:eastAsia="Times New Roman" w:hAnsi="Lato" w:cs="Times New Roman"/>
            <w:b/>
            <w:bCs/>
            <w:color w:val="FFA403"/>
            <w:spacing w:val="5"/>
            <w:sz w:val="24"/>
            <w:szCs w:val="24"/>
            <w:u w:val="single"/>
            <w:lang w:eastAsia="it-IT"/>
          </w:rPr>
          <w:t>art. 3, D.L. 10 ottobre 2012, n. 174</w:t>
        </w:r>
      </w:hyperlink>
      <w:r w:rsidRPr="003923B8">
        <w:rPr>
          <w:rFonts w:ascii="Lato" w:eastAsia="Times New Roman" w:hAnsi="Lato" w:cs="Times New Roman"/>
          <w:color w:val="000000"/>
          <w:spacing w:val="5"/>
          <w:sz w:val="24"/>
          <w:szCs w:val="24"/>
          <w:lang w:eastAsia="it-IT"/>
        </w:rPr>
        <w:t> (convertito in legge dalla L. 7 dicembre 201, n. 213, che ha inserito l'art. 147 ter nel T.U. degli enti locali, prevedendo penetranti controlli da parte dell'ente pubblico partecipante ed un bilancio consolidato riguardante le "aziende non quotate partecipate".</w:t>
      </w:r>
    </w:p>
    <w:p w14:paraId="1FF1DDC3"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Tutto ciò - conclude in memoria la Procura contabile - dovrebbe indurre a ritenere "irragionevole che siano sottoposti alla giurisdizione contabile gli amministratori di un'azienda speciale, quelli di una società concessionaria, la giunta comunale ed i consiglieri comunali che approvano il conto consolidato e controllano la società </w:t>
      </w:r>
      <w:r w:rsidRPr="003923B8">
        <w:rPr>
          <w:rFonts w:ascii="Lato" w:eastAsia="Times New Roman" w:hAnsi="Lato" w:cs="Times New Roman"/>
          <w:color w:val="000000"/>
          <w:spacing w:val="5"/>
          <w:sz w:val="24"/>
          <w:szCs w:val="24"/>
          <w:lang w:eastAsia="it-IT"/>
        </w:rPr>
        <w:lastRenderedPageBreak/>
        <w:t>partecipata e non anche coloro che l'hanno gestita causando direttamente un danno erariale".</w:t>
      </w:r>
    </w:p>
    <w:p w14:paraId="1CD542CE"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4.- Il ricorso, nella misura in cui invoca l'applicazione al caso di specie dei principi già enunciati dalla giurisprudenza di questa corte nelle citate decisioni delle Sezioni unite </w:t>
      </w:r>
      <w:proofErr w:type="spellStart"/>
      <w:r w:rsidRPr="003923B8">
        <w:rPr>
          <w:rFonts w:ascii="Lato" w:eastAsia="Times New Roman" w:hAnsi="Lato" w:cs="Times New Roman"/>
          <w:color w:val="000000"/>
          <w:spacing w:val="5"/>
          <w:sz w:val="24"/>
          <w:szCs w:val="24"/>
          <w:lang w:eastAsia="it-IT"/>
        </w:rPr>
        <w:t>nn</w:t>
      </w:r>
      <w:proofErr w:type="spellEnd"/>
      <w:r w:rsidRPr="003923B8">
        <w:rPr>
          <w:rFonts w:ascii="Lato" w:eastAsia="Times New Roman" w:hAnsi="Lato" w:cs="Times New Roman"/>
          <w:color w:val="000000"/>
          <w:spacing w:val="5"/>
          <w:sz w:val="24"/>
          <w:szCs w:val="24"/>
          <w:lang w:eastAsia="it-IT"/>
        </w:rPr>
        <w:t xml:space="preserve">. 26806/2009, 519/2010, 4609/2010, 10063/2011, 14655/2011, 14957/2011, 20941/2011 e 3692/2012 (cui </w:t>
      </w:r>
      <w:proofErr w:type="spellStart"/>
      <w:r w:rsidRPr="003923B8">
        <w:rPr>
          <w:rFonts w:ascii="Lato" w:eastAsia="Times New Roman" w:hAnsi="Lato" w:cs="Times New Roman"/>
          <w:color w:val="000000"/>
          <w:spacing w:val="5"/>
          <w:sz w:val="24"/>
          <w:szCs w:val="24"/>
          <w:lang w:eastAsia="it-IT"/>
        </w:rPr>
        <w:t>adde</w:t>
      </w:r>
      <w:proofErr w:type="spellEnd"/>
      <w:r w:rsidRPr="003923B8">
        <w:rPr>
          <w:rFonts w:ascii="Lato" w:eastAsia="Times New Roman" w:hAnsi="Lato" w:cs="Times New Roman"/>
          <w:color w:val="000000"/>
          <w:spacing w:val="5"/>
          <w:sz w:val="24"/>
          <w:szCs w:val="24"/>
          <w:lang w:eastAsia="it-IT"/>
        </w:rPr>
        <w:t>, da ultimo, l'ordinanza n. 8352/2013), appare fondato.</w:t>
      </w:r>
    </w:p>
    <w:p w14:paraId="3C709ED2"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Infatti, alla luce di quei principi, che non occorre qui ripetere essendo stati già dianzi richiamati, non è dato ravvisare la giurisdizione della Corte dei conti in controversie che abbiano ad oggetto la responsabilità per mala </w:t>
      </w:r>
      <w:proofErr w:type="spellStart"/>
      <w:r w:rsidRPr="003923B8">
        <w:rPr>
          <w:rFonts w:ascii="Lato" w:eastAsia="Times New Roman" w:hAnsi="Lato" w:cs="Times New Roman"/>
          <w:color w:val="000000"/>
          <w:spacing w:val="5"/>
          <w:sz w:val="24"/>
          <w:szCs w:val="24"/>
          <w:lang w:eastAsia="it-IT"/>
        </w:rPr>
        <w:t>gestio</w:t>
      </w:r>
      <w:proofErr w:type="spellEnd"/>
      <w:r w:rsidRPr="003923B8">
        <w:rPr>
          <w:rFonts w:ascii="Lato" w:eastAsia="Times New Roman" w:hAnsi="Lato" w:cs="Times New Roman"/>
          <w:color w:val="000000"/>
          <w:spacing w:val="5"/>
          <w:sz w:val="24"/>
          <w:szCs w:val="24"/>
          <w:lang w:eastAsia="it-IT"/>
        </w:rPr>
        <w:t xml:space="preserve"> imputabile ad amministratori di società a partecipazione pubblica, ove il danno di cui si pretende il ristoro sia riferito al patrimonio sociale, cioè ad un patrimonio che, non potendosi quello della società confondere con quello dei soci, appartiene alla società medesima, la quale non diviene essa stessa un ente pubblico sol per il fatto di essere partecipata da un ente pubblico.</w:t>
      </w:r>
    </w:p>
    <w:p w14:paraId="0769F2AF" w14:textId="5982AC8C"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La sollecitazione rivolta dalla Procura contabile a questa corte </w:t>
      </w:r>
      <w:proofErr w:type="spellStart"/>
      <w:r w:rsidRPr="003923B8">
        <w:rPr>
          <w:rFonts w:ascii="Lato" w:eastAsia="Times New Roman" w:hAnsi="Lato" w:cs="Times New Roman"/>
          <w:color w:val="000000"/>
          <w:spacing w:val="5"/>
          <w:sz w:val="24"/>
          <w:szCs w:val="24"/>
          <w:lang w:eastAsia="it-IT"/>
        </w:rPr>
        <w:t>affinchè</w:t>
      </w:r>
      <w:proofErr w:type="spellEnd"/>
      <w:r w:rsidRPr="003923B8">
        <w:rPr>
          <w:rFonts w:ascii="Lato" w:eastAsia="Times New Roman" w:hAnsi="Lato" w:cs="Times New Roman"/>
          <w:color w:val="000000"/>
          <w:spacing w:val="5"/>
          <w:sz w:val="24"/>
          <w:szCs w:val="24"/>
          <w:lang w:eastAsia="it-IT"/>
        </w:rPr>
        <w:t xml:space="preserve"> riveda il proprio suaccennato orientamento, quando la società di cui si tratta abbia le caratteristiche della c.d.</w:t>
      </w:r>
      <w:r w:rsidR="00462404">
        <w:rPr>
          <w:rFonts w:ascii="Lato" w:eastAsia="Times New Roman" w:hAnsi="Lato" w:cs="Times New Roman"/>
          <w:color w:val="000000"/>
          <w:spacing w:val="5"/>
          <w:sz w:val="24"/>
          <w:szCs w:val="24"/>
          <w:lang w:eastAsia="it-IT"/>
        </w:rPr>
        <w:t xml:space="preserve"> </w:t>
      </w:r>
      <w:r w:rsidRPr="003923B8">
        <w:rPr>
          <w:rFonts w:ascii="Lato" w:eastAsia="Times New Roman" w:hAnsi="Lato" w:cs="Times New Roman"/>
          <w:color w:val="000000"/>
          <w:spacing w:val="5"/>
          <w:sz w:val="24"/>
          <w:szCs w:val="24"/>
          <w:lang w:eastAsia="it-IT"/>
        </w:rPr>
        <w:t xml:space="preserve">società in house </w:t>
      </w:r>
      <w:proofErr w:type="spellStart"/>
      <w:r w:rsidRPr="003923B8">
        <w:rPr>
          <w:rFonts w:ascii="Lato" w:eastAsia="Times New Roman" w:hAnsi="Lato" w:cs="Times New Roman"/>
          <w:color w:val="000000"/>
          <w:spacing w:val="5"/>
          <w:sz w:val="24"/>
          <w:szCs w:val="24"/>
          <w:lang w:eastAsia="it-IT"/>
        </w:rPr>
        <w:t>providing</w:t>
      </w:r>
      <w:proofErr w:type="spellEnd"/>
      <w:r w:rsidRPr="003923B8">
        <w:rPr>
          <w:rFonts w:ascii="Lato" w:eastAsia="Times New Roman" w:hAnsi="Lato" w:cs="Times New Roman"/>
          <w:color w:val="000000"/>
          <w:spacing w:val="5"/>
          <w:sz w:val="24"/>
          <w:szCs w:val="24"/>
          <w:lang w:eastAsia="it-IT"/>
        </w:rPr>
        <w:t>, non può trovare riscontro in questa sede, per l'assorbente ragione che lo statuto della AMT-Azienda Municipalizzata Trasporti s.p.a., allegato agli atti di causa, non evidenzia caratteristiche di tal genere. +ê vero infatti che, secondo un orientamento da tempo affermatosi (</w:t>
      </w:r>
      <w:proofErr w:type="spellStart"/>
      <w:r w:rsidRPr="003923B8">
        <w:rPr>
          <w:rFonts w:ascii="Lato" w:eastAsia="Times New Roman" w:hAnsi="Lato" w:cs="Times New Roman"/>
          <w:color w:val="000000"/>
          <w:spacing w:val="5"/>
          <w:sz w:val="24"/>
          <w:szCs w:val="24"/>
          <w:lang w:eastAsia="it-IT"/>
        </w:rPr>
        <w:t>benchè</w:t>
      </w:r>
      <w:proofErr w:type="spellEnd"/>
      <w:r w:rsidRPr="003923B8">
        <w:rPr>
          <w:rFonts w:ascii="Lato" w:eastAsia="Times New Roman" w:hAnsi="Lato" w:cs="Times New Roman"/>
          <w:color w:val="000000"/>
          <w:spacing w:val="5"/>
          <w:sz w:val="24"/>
          <w:szCs w:val="24"/>
          <w:lang w:eastAsia="it-IT"/>
        </w:rPr>
        <w:t xml:space="preserve"> a fini diversi da quelli della disciplina del riparto tra giurisdizioni) nella giurisprudenza della Corte di Giustizia Europea, </w:t>
      </w:r>
      <w:r w:rsidRPr="003923B8">
        <w:rPr>
          <w:rFonts w:ascii="Lato" w:eastAsia="Times New Roman" w:hAnsi="Lato" w:cs="Times New Roman"/>
          <w:b/>
          <w:bCs/>
          <w:color w:val="000000"/>
          <w:spacing w:val="5"/>
          <w:sz w:val="24"/>
          <w:szCs w:val="24"/>
          <w:lang w:eastAsia="it-IT"/>
        </w:rPr>
        <w:t>e talora richiamato anche dalla Corte costituzionale (si veda, in particolare, da ultimo, la sentenza n. 46 del 2013), le società in house costituirebbero null'altro che una longa manus dell'amministrazione; ma ciò in quanto vi si ravvisi la contemporanea presenza di tre condizioni: a) l'essere la società a totale partecipazione pubblica, b) la sua destinazione statutaria ad operare in via esclusiva o prevalente in favore dell'amministrazione pubblica partecipante, c) l'esistenza di quello che si è ormai soliti definire come "controllo analogo", ossia una forma di direzione e controllo sulla gestione societaria, da parte della pubblica amministrazione partecipante, analoga a quella che la medesima amministrazione eserciterebbe su una propria articolazione interna</w:t>
      </w:r>
      <w:r w:rsidRPr="003923B8">
        <w:rPr>
          <w:rFonts w:ascii="Lato" w:eastAsia="Times New Roman" w:hAnsi="Lato" w:cs="Times New Roman"/>
          <w:color w:val="000000"/>
          <w:spacing w:val="5"/>
          <w:sz w:val="24"/>
          <w:szCs w:val="24"/>
          <w:lang w:eastAsia="it-IT"/>
        </w:rPr>
        <w:t>.</w:t>
      </w:r>
    </w:p>
    <w:p w14:paraId="068FDB40"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Nel caso in esame lo statuto della società prevede che la partecipazione del Comune di Verona al capitale sociale non possa essere inferiore al 51%, ma non che debba essere totalitaria.</w:t>
      </w:r>
    </w:p>
    <w:p w14:paraId="57DAD827" w14:textId="77777777" w:rsidR="003923B8" w:rsidRPr="003923B8" w:rsidRDefault="003923B8" w:rsidP="003923B8">
      <w:pPr>
        <w:shd w:val="clear" w:color="auto" w:fill="FFFFFF"/>
        <w:spacing w:after="0" w:line="240" w:lineRule="auto"/>
        <w:jc w:val="both"/>
        <w:rPr>
          <w:rFonts w:ascii="Lato" w:eastAsia="Times New Roman" w:hAnsi="Lato" w:cs="Times New Roman"/>
          <w:b/>
          <w:bCs/>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L'oggetto sociale, pur facendo riferimento a "servizi pubblici", non implica che l'impresa possa operare solo nei confronti della pubblica amministrazione partecipante (comprendendo invece, ad esempio, anche l'attività di trasporto turistico privato). </w:t>
      </w:r>
      <w:r w:rsidRPr="003923B8">
        <w:rPr>
          <w:rFonts w:ascii="Lato" w:eastAsia="Times New Roman" w:hAnsi="Lato" w:cs="Times New Roman"/>
          <w:b/>
          <w:bCs/>
          <w:color w:val="000000"/>
          <w:spacing w:val="5"/>
          <w:sz w:val="24"/>
          <w:szCs w:val="24"/>
          <w:lang w:eastAsia="it-IT"/>
        </w:rPr>
        <w:t>I poteri di gestione dell'impresa, al pari di quelli di vigilanza sulla medesima gestione e sulla contabilità, sono attribuiti ai competenti organi sociali secondo criteri del tutto corrispondenti a quelli di regola previsti nelle normali società azionarie di diritto privato, con la sola previsione, quanto ai budgets, ai prezzi ed alle tariffe, di un generico riferimento ad un documento di indirizzo approvato dal Consiglio comunale di Verona; riferimento che evidentemente non vale ad integrare gli estremi del "controllo analogo" cui sopra si è fatto cenno.</w:t>
      </w:r>
    </w:p>
    <w:p w14:paraId="01A328F6"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 xml:space="preserve">Per il resto le argomentazioni svolte nelle difese della Procura contabile non offrono elementi decisivi, tali da indurre a modificare l'indirizzo giurisprudenziale già menzionato, alla stregua del quale, peraltro, non v'è ragione per dubitare della giurisdizione del giudice contabile in ordine all'azione proposta nei confronti del sindaco e dell'assessore comunale, restando evidentemente poi rimessa a quel medesimo giudice, in sede di </w:t>
      </w:r>
      <w:r w:rsidRPr="003923B8">
        <w:rPr>
          <w:rFonts w:ascii="Lato" w:eastAsia="Times New Roman" w:hAnsi="Lato" w:cs="Times New Roman"/>
          <w:color w:val="000000"/>
          <w:spacing w:val="5"/>
          <w:sz w:val="24"/>
          <w:szCs w:val="24"/>
          <w:lang w:eastAsia="it-IT"/>
        </w:rPr>
        <w:lastRenderedPageBreak/>
        <w:t>merito, ogni valutazione circa la possibilità d'individuare nel caso di specie un danno imputabile ad azioni o omissioni di quei soggetti e riferibile (non già al patrimonio della società partecipata, bensì) direttamente all'ente pubblico comunale.</w:t>
      </w:r>
    </w:p>
    <w:p w14:paraId="6B672235"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5. In conclusione, pertanto, va dichiarato il difetto di giurisdizione del giudice contabile nei confronti dei convenuti diversi dal sindaco e dall'assessore sopra menzionati.</w:t>
      </w:r>
    </w:p>
    <w:p w14:paraId="6E9837F9"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Sussistono giusti motivi per compensare tra tutte le parti le spese del regolamento.</w:t>
      </w:r>
    </w:p>
    <w:p w14:paraId="60A8466A" w14:textId="77777777" w:rsidR="003923B8" w:rsidRPr="003923B8" w:rsidRDefault="003923B8" w:rsidP="003923B8">
      <w:pPr>
        <w:shd w:val="clear" w:color="auto" w:fill="FFFFFF"/>
        <w:spacing w:after="0" w:line="240" w:lineRule="auto"/>
        <w:jc w:val="both"/>
        <w:rPr>
          <w:rFonts w:ascii="Lato" w:eastAsia="Times New Roman" w:hAnsi="Lato" w:cs="Times New Roman"/>
          <w:color w:val="000000"/>
          <w:spacing w:val="5"/>
          <w:sz w:val="24"/>
          <w:szCs w:val="24"/>
          <w:lang w:eastAsia="it-IT"/>
        </w:rPr>
      </w:pPr>
      <w:r w:rsidRPr="003923B8">
        <w:rPr>
          <w:rFonts w:ascii="Lato" w:eastAsia="Times New Roman" w:hAnsi="Lato" w:cs="Times New Roman"/>
          <w:color w:val="000000"/>
          <w:spacing w:val="5"/>
          <w:sz w:val="24"/>
          <w:szCs w:val="24"/>
          <w:lang w:eastAsia="it-IT"/>
        </w:rPr>
        <w:t>LA CORTE DI CASSAZIONE, A SEZIONI UNITE, pronunciando sui ricorsi riuniti, dichiara il difetto di giurisdizione della Corte dei conti nei confronti dei convenuti diversi da S.M.M. e D.G.L. compensa le spese del regolamento.</w:t>
      </w:r>
    </w:p>
    <w:p w14:paraId="49659987" w14:textId="77777777" w:rsidR="003923B8" w:rsidRDefault="003923B8"/>
    <w:p w14:paraId="78E31940" w14:textId="77777777" w:rsidR="007D38CD" w:rsidRDefault="007D38CD"/>
    <w:p w14:paraId="09217D10" w14:textId="77777777" w:rsidR="007D38CD" w:rsidRDefault="007D38CD"/>
    <w:p w14:paraId="3DF2F0BE" w14:textId="77777777" w:rsidR="007D38CD" w:rsidRPr="007D38CD" w:rsidRDefault="007D38CD" w:rsidP="007D38CD">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sidRPr="007D38CD">
        <w:rPr>
          <w:rFonts w:ascii="Lato" w:eastAsia="Times New Roman" w:hAnsi="Lato" w:cs="Times New Roman"/>
          <w:color w:val="3E4249"/>
          <w:spacing w:val="5"/>
          <w:kern w:val="36"/>
          <w:sz w:val="45"/>
          <w:szCs w:val="45"/>
          <w:lang w:eastAsia="it-IT"/>
        </w:rPr>
        <w:t xml:space="preserve">Cass. civ., sez. un., </w:t>
      </w:r>
      <w:proofErr w:type="spellStart"/>
      <w:r w:rsidRPr="007D38CD">
        <w:rPr>
          <w:rFonts w:ascii="Lato" w:eastAsia="Times New Roman" w:hAnsi="Lato" w:cs="Times New Roman"/>
          <w:color w:val="3E4249"/>
          <w:spacing w:val="5"/>
          <w:kern w:val="36"/>
          <w:sz w:val="45"/>
          <w:szCs w:val="45"/>
          <w:lang w:eastAsia="it-IT"/>
        </w:rPr>
        <w:t>ord</w:t>
      </w:r>
      <w:proofErr w:type="spellEnd"/>
      <w:r w:rsidRPr="007D38CD">
        <w:rPr>
          <w:rFonts w:ascii="Lato" w:eastAsia="Times New Roman" w:hAnsi="Lato" w:cs="Times New Roman"/>
          <w:color w:val="3E4249"/>
          <w:spacing w:val="5"/>
          <w:kern w:val="36"/>
          <w:sz w:val="45"/>
          <w:szCs w:val="45"/>
          <w:lang w:eastAsia="it-IT"/>
        </w:rPr>
        <w:t>., 27 aprile 2023 n. 11186</w:t>
      </w:r>
    </w:p>
    <w:p w14:paraId="13656729" w14:textId="77777777" w:rsid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p>
    <w:p w14:paraId="60524996" w14:textId="0633FC5E"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tema di società di capitali a partecipazione pubblica, la giurisdizione contabile della Corte dei </w:t>
      </w:r>
      <w:r w:rsidRPr="007D38CD">
        <w:rPr>
          <w:rFonts w:ascii="Lato" w:eastAsia="Times New Roman" w:hAnsi="Lato" w:cs="Times New Roman"/>
          <w:b/>
          <w:bCs/>
          <w:color w:val="000000"/>
          <w:spacing w:val="5"/>
          <w:sz w:val="24"/>
          <w:szCs w:val="24"/>
          <w:lang w:eastAsia="it-IT"/>
        </w:rPr>
        <w:t>conti sussiste qualora sia prospettato un danno cagionato ad una società "in house" attraverso la condotta di un soggetto svolgente la propria attività per conto di altra società "in house", partecipata dallo stesso ente pubblico, di cui la prima si sia avvalsa per la realizzazione dei propri scopi, in quanto l'art. 12 del d.lgs. n. 175 del 2016</w:t>
      </w:r>
      <w:r w:rsidRPr="007D38CD">
        <w:rPr>
          <w:rFonts w:ascii="Lato" w:eastAsia="Times New Roman" w:hAnsi="Lato" w:cs="Times New Roman"/>
          <w:color w:val="000000"/>
          <w:spacing w:val="5"/>
          <w:sz w:val="24"/>
          <w:szCs w:val="24"/>
          <w:lang w:eastAsia="it-IT"/>
        </w:rPr>
        <w:t xml:space="preserve">, nel prevedere la giurisdizione della Corte dei conti per il danno erariale causato dagli amministratori e dai dipendenti delle società "in house", non distingue tra danno diretto e danno "obliquo", incentrandosi sulla natura giuridica pubblica del soggetto danneggiato, indipendentemente dalla forma privatistica, nell'ottica della più ampia tutela del pubblico erario. (Nella specie, la S.C. - con riferimento a vicenda nella quale una società "in house", in qualità di stazione appaltante di lavori, aveva commissionato all'appaltatore una fornitura per un importo palesemente eccessivo </w:t>
      </w:r>
      <w:proofErr w:type="spellStart"/>
      <w:r w:rsidRPr="007D38CD">
        <w:rPr>
          <w:rFonts w:ascii="Lato" w:eastAsia="Times New Roman" w:hAnsi="Lato" w:cs="Times New Roman"/>
          <w:color w:val="000000"/>
          <w:spacing w:val="5"/>
          <w:sz w:val="24"/>
          <w:szCs w:val="24"/>
          <w:lang w:eastAsia="it-IT"/>
        </w:rPr>
        <w:t>nonchè</w:t>
      </w:r>
      <w:proofErr w:type="spellEnd"/>
      <w:r w:rsidRPr="007D38CD">
        <w:rPr>
          <w:rFonts w:ascii="Lato" w:eastAsia="Times New Roman" w:hAnsi="Lato" w:cs="Times New Roman"/>
          <w:color w:val="000000"/>
          <w:spacing w:val="5"/>
          <w:sz w:val="24"/>
          <w:szCs w:val="24"/>
          <w:lang w:eastAsia="it-IT"/>
        </w:rPr>
        <w:t xml:space="preserve"> difforme dalle condizioni di mercato - ha dichiarato sussistente la giurisdizione contabile della Corte dei conti in relazione al danno cagionato a detta società da due dirigenti di società "in house" incaricate, mediante apposite convenzioni, delle prestazioni di assistenza e supporto nonché della predisposizione del progetto esecutivo propedeutico all'affidamento).</w:t>
      </w:r>
    </w:p>
    <w:p w14:paraId="4FDDD79B" w14:textId="77777777" w:rsidR="007D38CD" w:rsidRPr="007D38CD" w:rsidRDefault="007D38CD" w:rsidP="007D38CD">
      <w:pPr>
        <w:shd w:val="clear" w:color="auto" w:fill="FFFFFF"/>
        <w:spacing w:after="0" w:line="240" w:lineRule="auto"/>
        <w:rPr>
          <w:rFonts w:ascii="Lato" w:eastAsia="Times New Roman" w:hAnsi="Lato" w:cs="Times New Roman"/>
          <w:color w:val="000000"/>
          <w:spacing w:val="5"/>
          <w:sz w:val="24"/>
          <w:szCs w:val="24"/>
          <w:lang w:eastAsia="it-IT"/>
        </w:rPr>
      </w:pPr>
    </w:p>
    <w:p w14:paraId="2F12E603" w14:textId="687EF0E7" w:rsidR="007D38CD" w:rsidRPr="007D38CD" w:rsidRDefault="00E63B19" w:rsidP="007D38CD">
      <w:pPr>
        <w:shd w:val="clear" w:color="auto" w:fill="FFFFFF"/>
        <w:spacing w:after="0" w:line="240" w:lineRule="auto"/>
        <w:outlineLvl w:val="0"/>
        <w:rPr>
          <w:rFonts w:ascii="Lato" w:eastAsia="Times New Roman" w:hAnsi="Lato" w:cs="Times New Roman"/>
          <w:color w:val="3E4249"/>
          <w:spacing w:val="5"/>
          <w:kern w:val="36"/>
          <w:sz w:val="45"/>
          <w:szCs w:val="45"/>
          <w:lang w:eastAsia="it-IT"/>
        </w:rPr>
      </w:pPr>
      <w:r>
        <w:rPr>
          <w:rFonts w:ascii="Lato" w:eastAsia="Times New Roman" w:hAnsi="Lato" w:cs="Times New Roman"/>
          <w:color w:val="3E4249"/>
          <w:spacing w:val="5"/>
          <w:kern w:val="36"/>
          <w:sz w:val="45"/>
          <w:szCs w:val="45"/>
          <w:lang w:eastAsia="it-IT"/>
        </w:rPr>
        <w:t>C</w:t>
      </w:r>
      <w:r w:rsidR="007D38CD" w:rsidRPr="007D38CD">
        <w:rPr>
          <w:rFonts w:ascii="Lato" w:eastAsia="Times New Roman" w:hAnsi="Lato" w:cs="Times New Roman"/>
          <w:color w:val="3E4249"/>
          <w:spacing w:val="5"/>
          <w:kern w:val="36"/>
          <w:sz w:val="45"/>
          <w:szCs w:val="45"/>
          <w:lang w:eastAsia="it-IT"/>
        </w:rPr>
        <w:t xml:space="preserve">orte di cassazione civile, sez. un., </w:t>
      </w:r>
      <w:proofErr w:type="spellStart"/>
      <w:r w:rsidR="007D38CD" w:rsidRPr="007D38CD">
        <w:rPr>
          <w:rFonts w:ascii="Lato" w:eastAsia="Times New Roman" w:hAnsi="Lato" w:cs="Times New Roman"/>
          <w:color w:val="3E4249"/>
          <w:spacing w:val="5"/>
          <w:kern w:val="36"/>
          <w:sz w:val="45"/>
          <w:szCs w:val="45"/>
          <w:lang w:eastAsia="it-IT"/>
        </w:rPr>
        <w:t>ord</w:t>
      </w:r>
      <w:proofErr w:type="spellEnd"/>
      <w:r w:rsidR="007D38CD" w:rsidRPr="007D38CD">
        <w:rPr>
          <w:rFonts w:ascii="Lato" w:eastAsia="Times New Roman" w:hAnsi="Lato" w:cs="Times New Roman"/>
          <w:color w:val="3E4249"/>
          <w:spacing w:val="5"/>
          <w:kern w:val="36"/>
          <w:sz w:val="45"/>
          <w:szCs w:val="45"/>
          <w:lang w:eastAsia="it-IT"/>
        </w:rPr>
        <w:t>., 27 aprile 2023 n. 11186</w:t>
      </w:r>
    </w:p>
    <w:p w14:paraId="740AE773" w14:textId="77777777" w:rsidR="007D38CD" w:rsidRPr="007D38CD" w:rsidRDefault="007D38CD" w:rsidP="007D38CD">
      <w:pPr>
        <w:shd w:val="clear" w:color="auto" w:fill="FFFFFF"/>
        <w:spacing w:after="0" w:line="240" w:lineRule="auto"/>
        <w:rPr>
          <w:rFonts w:ascii="Lato" w:eastAsia="Times New Roman" w:hAnsi="Lato" w:cs="Times New Roman"/>
          <w:i/>
          <w:iCs/>
          <w:color w:val="000000"/>
          <w:spacing w:val="5"/>
          <w:sz w:val="24"/>
          <w:szCs w:val="24"/>
          <w:lang w:eastAsia="it-IT"/>
        </w:rPr>
      </w:pPr>
      <w:r w:rsidRPr="007D38CD">
        <w:rPr>
          <w:rFonts w:ascii="Lato" w:eastAsia="Times New Roman" w:hAnsi="Lato" w:cs="Times New Roman"/>
          <w:i/>
          <w:iCs/>
          <w:color w:val="000000"/>
          <w:spacing w:val="5"/>
          <w:sz w:val="24"/>
          <w:szCs w:val="24"/>
          <w:lang w:eastAsia="it-IT"/>
        </w:rPr>
        <w:t>Presidente Amendola Adelaide; Estensore Giusti Alberto; Ricorrente Omissis contro Omissis</w:t>
      </w:r>
    </w:p>
    <w:p w14:paraId="703BC8B2" w14:textId="5B931C23" w:rsidR="007D38CD" w:rsidRPr="007D38CD" w:rsidRDefault="007D38CD" w:rsidP="007D38CD">
      <w:pPr>
        <w:shd w:val="clear" w:color="auto" w:fill="FFFFFF"/>
        <w:spacing w:after="0" w:line="240" w:lineRule="auto"/>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br/>
        <w:t>Corte dei conti, Amministrazione dello Stato e degli enti pubblici in genere</w:t>
      </w:r>
    </w:p>
    <w:p w14:paraId="408F3E03" w14:textId="77777777" w:rsidR="007D38CD" w:rsidRPr="007D38CD" w:rsidRDefault="007D38CD" w:rsidP="007D38CD">
      <w:pPr>
        <w:shd w:val="clear" w:color="auto" w:fill="FFFFFF"/>
        <w:spacing w:after="0" w:line="240" w:lineRule="auto"/>
        <w:rPr>
          <w:rFonts w:ascii="Lato" w:eastAsia="Times New Roman" w:hAnsi="Lato" w:cs="Times New Roman"/>
          <w:color w:val="000000"/>
          <w:spacing w:val="5"/>
          <w:sz w:val="24"/>
          <w:szCs w:val="24"/>
          <w:lang w:eastAsia="it-IT"/>
        </w:rPr>
      </w:pPr>
    </w:p>
    <w:p w14:paraId="524AE1EA" w14:textId="77777777" w:rsidR="007D38CD" w:rsidRPr="007D38CD" w:rsidRDefault="007D38CD" w:rsidP="007D38CD">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7D38CD">
        <w:rPr>
          <w:rFonts w:ascii="Lato" w:eastAsia="Times New Roman" w:hAnsi="Lato" w:cs="Times New Roman"/>
          <w:b/>
          <w:bCs/>
          <w:color w:val="000000"/>
          <w:spacing w:val="5"/>
          <w:sz w:val="26"/>
          <w:szCs w:val="26"/>
          <w:lang w:eastAsia="it-IT"/>
        </w:rPr>
        <w:t>Svolgimento del processo</w:t>
      </w:r>
    </w:p>
    <w:p w14:paraId="1DC9AC4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1. - Con sentenza n. 196 del 2019, la Sezione giurisdizionale della Corte dei conti per la Regione Lombardia, in parziale accoglimento della domanda della Procura regionale, condannava il Dott. P.A.,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xml:space="preserve">. R.A.G. e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xml:space="preserve">. C.D. - rispettivamente, responsabile unico </w:t>
      </w:r>
      <w:r w:rsidRPr="007D38CD">
        <w:rPr>
          <w:rFonts w:ascii="Lato" w:eastAsia="Times New Roman" w:hAnsi="Lato" w:cs="Times New Roman"/>
          <w:color w:val="000000"/>
          <w:spacing w:val="5"/>
          <w:sz w:val="24"/>
          <w:szCs w:val="24"/>
          <w:lang w:eastAsia="it-IT"/>
        </w:rPr>
        <w:lastRenderedPageBreak/>
        <w:t xml:space="preserve">del procedimento, dirigente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della Regione Lombardia Infrastrutture Lombarde s.p.a. e dirigente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del Comune di Milano Metropolitana Milanese s.p.a. - al pagamento, in favore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pubblica Expo 2015, di somme a titolo di danno erariale conseguente alla violazione del principio di </w:t>
      </w:r>
      <w:proofErr w:type="spellStart"/>
      <w:r w:rsidRPr="007D38CD">
        <w:rPr>
          <w:rFonts w:ascii="Lato" w:eastAsia="Times New Roman" w:hAnsi="Lato" w:cs="Times New Roman"/>
          <w:color w:val="000000"/>
          <w:spacing w:val="5"/>
          <w:sz w:val="24"/>
          <w:szCs w:val="24"/>
          <w:lang w:eastAsia="it-IT"/>
        </w:rPr>
        <w:t>economicita'</w:t>
      </w:r>
      <w:proofErr w:type="spellEnd"/>
      <w:r w:rsidRPr="007D38CD">
        <w:rPr>
          <w:rFonts w:ascii="Lato" w:eastAsia="Times New Roman" w:hAnsi="Lato" w:cs="Times New Roman"/>
          <w:color w:val="000000"/>
          <w:spacing w:val="5"/>
          <w:sz w:val="24"/>
          <w:szCs w:val="24"/>
          <w:lang w:eastAsia="it-IT"/>
        </w:rPr>
        <w:t xml:space="preserve"> dei contratti pubblici.</w:t>
      </w:r>
    </w:p>
    <w:p w14:paraId="5CE299DF"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Secondo quanto accertato dalla Sezione territoriale,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Expo 2015, in deroga al </w:t>
      </w:r>
      <w:hyperlink r:id="rId217" w:history="1">
        <w:r w:rsidRPr="007D38CD">
          <w:rPr>
            <w:rFonts w:ascii="Lato" w:eastAsia="Times New Roman" w:hAnsi="Lato" w:cs="Times New Roman"/>
            <w:b/>
            <w:bCs/>
            <w:color w:val="FFA403"/>
            <w:spacing w:val="5"/>
            <w:sz w:val="24"/>
            <w:szCs w:val="24"/>
            <w:lang w:eastAsia="it-IT"/>
          </w:rPr>
          <w:t>D.L.vo n. 163 del 2006</w:t>
        </w:r>
      </w:hyperlink>
      <w:r w:rsidRPr="007D38CD">
        <w:rPr>
          <w:rFonts w:ascii="Lato" w:eastAsia="Times New Roman" w:hAnsi="Lato" w:cs="Times New Roman"/>
          <w:color w:val="000000"/>
          <w:spacing w:val="5"/>
          <w:sz w:val="24"/>
          <w:szCs w:val="24"/>
          <w:lang w:eastAsia="it-IT"/>
        </w:rPr>
        <w:t xml:space="preserve">, art. 57, comma 5, lett. a), con l'atto aggiuntivo n. (Omissis) e in </w:t>
      </w:r>
      <w:proofErr w:type="spellStart"/>
      <w:r w:rsidRPr="007D38CD">
        <w:rPr>
          <w:rFonts w:ascii="Lato" w:eastAsia="Times New Roman" w:hAnsi="Lato" w:cs="Times New Roman"/>
          <w:color w:val="000000"/>
          <w:spacing w:val="5"/>
          <w:sz w:val="24"/>
          <w:szCs w:val="24"/>
          <w:lang w:eastAsia="it-IT"/>
        </w:rPr>
        <w:t>qualita'</w:t>
      </w:r>
      <w:proofErr w:type="spellEnd"/>
      <w:r w:rsidRPr="007D38CD">
        <w:rPr>
          <w:rFonts w:ascii="Lato" w:eastAsia="Times New Roman" w:hAnsi="Lato" w:cs="Times New Roman"/>
          <w:color w:val="000000"/>
          <w:spacing w:val="5"/>
          <w:sz w:val="24"/>
          <w:szCs w:val="24"/>
          <w:lang w:eastAsia="it-IT"/>
        </w:rPr>
        <w:t xml:space="preserve"> di stazione appaltante dei lavori per la realizzazione dell'impianto cosiddetto "(Omissis)" del sito dedicato all'esposizione universale, affidava al RTI M., esecutore dell'opera principale, </w:t>
      </w:r>
      <w:proofErr w:type="spellStart"/>
      <w:r w:rsidRPr="007D38CD">
        <w:rPr>
          <w:rFonts w:ascii="Lato" w:eastAsia="Times New Roman" w:hAnsi="Lato" w:cs="Times New Roman"/>
          <w:color w:val="000000"/>
          <w:spacing w:val="5"/>
          <w:sz w:val="24"/>
          <w:szCs w:val="24"/>
          <w:lang w:eastAsia="it-IT"/>
        </w:rPr>
        <w:t>l'attivita'</w:t>
      </w:r>
      <w:proofErr w:type="spellEnd"/>
      <w:r w:rsidRPr="007D38CD">
        <w:rPr>
          <w:rFonts w:ascii="Lato" w:eastAsia="Times New Roman" w:hAnsi="Lato" w:cs="Times New Roman"/>
          <w:color w:val="000000"/>
          <w:spacing w:val="5"/>
          <w:sz w:val="24"/>
          <w:szCs w:val="24"/>
          <w:lang w:eastAsia="it-IT"/>
        </w:rPr>
        <w:t xml:space="preserve"> di fornitura di essenze arboree. Con determina dell'11 luglio 2013, Expo 2015 commissionava all'appaltatore tale fornitura per l'importo di Euro 4.360.973,20, recante un ribasso del 15 per cento rispetto alla somma del progetto esecutivo predisposto dalla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Metropolitana Milanese (pari, appunto, a Euro 5.130.556,71), nonostante l'aggiudicazione dell'opera principale con il </w:t>
      </w:r>
      <w:proofErr w:type="spellStart"/>
      <w:r w:rsidRPr="007D38CD">
        <w:rPr>
          <w:rFonts w:ascii="Lato" w:eastAsia="Times New Roman" w:hAnsi="Lato" w:cs="Times New Roman"/>
          <w:color w:val="000000"/>
          <w:spacing w:val="5"/>
          <w:sz w:val="24"/>
          <w:szCs w:val="24"/>
          <w:lang w:eastAsia="it-IT"/>
        </w:rPr>
        <w:t>piu'</w:t>
      </w:r>
      <w:proofErr w:type="spellEnd"/>
      <w:r w:rsidRPr="007D38CD">
        <w:rPr>
          <w:rFonts w:ascii="Lato" w:eastAsia="Times New Roman" w:hAnsi="Lato" w:cs="Times New Roman"/>
          <w:color w:val="000000"/>
          <w:spacing w:val="5"/>
          <w:sz w:val="24"/>
          <w:szCs w:val="24"/>
          <w:lang w:eastAsia="it-IT"/>
        </w:rPr>
        <w:t xml:space="preserve"> significativo ribasso del 42 per cento.</w:t>
      </w:r>
    </w:p>
    <w:p w14:paraId="7C35F2CC"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Su incarico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Expo 2015, veniva condotta dalla </w:t>
      </w:r>
      <w:proofErr w:type="spellStart"/>
      <w:r w:rsidRPr="007D38CD">
        <w:rPr>
          <w:rFonts w:ascii="Lato" w:eastAsia="Times New Roman" w:hAnsi="Lato" w:cs="Times New Roman"/>
          <w:color w:val="000000"/>
          <w:spacing w:val="5"/>
          <w:sz w:val="24"/>
          <w:szCs w:val="24"/>
          <w:lang w:eastAsia="it-IT"/>
        </w:rPr>
        <w:t>Sernet</w:t>
      </w:r>
      <w:proofErr w:type="spellEnd"/>
      <w:r w:rsidRPr="007D38CD">
        <w:rPr>
          <w:rFonts w:ascii="Lato" w:eastAsia="Times New Roman" w:hAnsi="Lato" w:cs="Times New Roman"/>
          <w:color w:val="000000"/>
          <w:spacing w:val="5"/>
          <w:sz w:val="24"/>
          <w:szCs w:val="24"/>
          <w:lang w:eastAsia="it-IT"/>
        </w:rPr>
        <w:t xml:space="preserve"> Riqualificazioni s.r.l. </w:t>
      </w:r>
      <w:proofErr w:type="spellStart"/>
      <w:r w:rsidRPr="007D38CD">
        <w:rPr>
          <w:rFonts w:ascii="Lato" w:eastAsia="Times New Roman" w:hAnsi="Lato" w:cs="Times New Roman"/>
          <w:color w:val="000000"/>
          <w:spacing w:val="5"/>
          <w:sz w:val="24"/>
          <w:szCs w:val="24"/>
          <w:lang w:eastAsia="it-IT"/>
        </w:rPr>
        <w:t>un'attivita'</w:t>
      </w:r>
      <w:proofErr w:type="spellEnd"/>
      <w:r w:rsidRPr="007D38CD">
        <w:rPr>
          <w:rFonts w:ascii="Lato" w:eastAsia="Times New Roman" w:hAnsi="Lato" w:cs="Times New Roman"/>
          <w:color w:val="000000"/>
          <w:spacing w:val="5"/>
          <w:sz w:val="24"/>
          <w:szCs w:val="24"/>
          <w:lang w:eastAsia="it-IT"/>
        </w:rPr>
        <w:t xml:space="preserve"> di audit amministrativo, economico e finanziario: dalle risultanze di tale verifica emergeva che l'importo congruo per la fornitura di essenze arboree era da identificarsi nella somma di Euro 2.086.766,77. Di qui, il carattere esorbitante dell'ammontare stabilito nella determina dell'11 luglio 2013 e, </w:t>
      </w:r>
      <w:proofErr w:type="spellStart"/>
      <w:r w:rsidRPr="007D38CD">
        <w:rPr>
          <w:rFonts w:ascii="Lato" w:eastAsia="Times New Roman" w:hAnsi="Lato" w:cs="Times New Roman"/>
          <w:color w:val="000000"/>
          <w:spacing w:val="5"/>
          <w:sz w:val="24"/>
          <w:szCs w:val="24"/>
          <w:lang w:eastAsia="it-IT"/>
        </w:rPr>
        <w:t>piu'</w:t>
      </w:r>
      <w:proofErr w:type="spellEnd"/>
      <w:r w:rsidRPr="007D38CD">
        <w:rPr>
          <w:rFonts w:ascii="Lato" w:eastAsia="Times New Roman" w:hAnsi="Lato" w:cs="Times New Roman"/>
          <w:color w:val="000000"/>
          <w:spacing w:val="5"/>
          <w:sz w:val="24"/>
          <w:szCs w:val="24"/>
          <w:lang w:eastAsia="it-IT"/>
        </w:rPr>
        <w:t xml:space="preserve"> specificamente, il conseguimento, da parte del RTI M., di un extra-margine pari a Euro 2.274.206,43. In via alternativa e subordinata,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incaricata della verifica prospettava una quantificazione dell'extra-margine pari a Euro 1.616.406,43, importo ridotto sulla base di ulteriori oneri economici oggetto di esborso da parte dell'appaltatore.</w:t>
      </w:r>
    </w:p>
    <w:p w14:paraId="3CB086CD"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Sezione giurisdizionale, nel ritenere fondata la pretesa risarcitoria con riferimento all'importo meno elevato emergente all'esito dell'audit, condannava i convenuti alla corresponsione della somma complessiva di Euro 800.000, a titolo di danno erariale. In particolare, il giudice di prime cure condannava il P., in </w:t>
      </w:r>
      <w:proofErr w:type="spellStart"/>
      <w:r w:rsidRPr="007D38CD">
        <w:rPr>
          <w:rFonts w:ascii="Lato" w:eastAsia="Times New Roman" w:hAnsi="Lato" w:cs="Times New Roman"/>
          <w:color w:val="000000"/>
          <w:spacing w:val="5"/>
          <w:sz w:val="24"/>
          <w:szCs w:val="24"/>
          <w:lang w:eastAsia="it-IT"/>
        </w:rPr>
        <w:t>qualita'</w:t>
      </w:r>
      <w:proofErr w:type="spellEnd"/>
      <w:r w:rsidRPr="007D38CD">
        <w:rPr>
          <w:rFonts w:ascii="Lato" w:eastAsia="Times New Roman" w:hAnsi="Lato" w:cs="Times New Roman"/>
          <w:color w:val="000000"/>
          <w:spacing w:val="5"/>
          <w:sz w:val="24"/>
          <w:szCs w:val="24"/>
          <w:lang w:eastAsia="it-IT"/>
        </w:rPr>
        <w:t xml:space="preserve"> di responsabile unico del procedimento, a risarcire a Expo 2015 s.p.a. l'importo di Euro 200.000, e il R. e il C., incaricati, rispettivamente, delle prestazioni di assistenza e supporto al responsabile del procedimento e alla stazione appaltante nonché della predisposizione del progetto esecutivo propedeutico all'affidamento, alla corresponsione di Euro 300.000 ciascuno.</w:t>
      </w:r>
    </w:p>
    <w:p w14:paraId="5B3048B4"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Secondo il giudice contabile di primo grado, configura danno erariale patito dalla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Expo 2015 il prezzo palesemente eccessivo e sproporzionato pagato, nell'ambito di una fornitura complementare senza evidenza pubblica, 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appaltatrice per la fornitura di essenze arboree necessarie per attuare l'importante progetto di Expo 2015.</w:t>
      </w:r>
    </w:p>
    <w:p w14:paraId="6662003F"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Nel rigettare l'eccezione di difetto di giurisdizione, la Sezione giurisdizionale per la Regione Lombardia osservava che, in base all'art. 12 del T.U. in materia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a partecipazione pubblica, approvato con il </w:t>
      </w:r>
      <w:hyperlink r:id="rId218" w:history="1">
        <w:r w:rsidRPr="007D38CD">
          <w:rPr>
            <w:rFonts w:ascii="Lato" w:eastAsia="Times New Roman" w:hAnsi="Lato" w:cs="Times New Roman"/>
            <w:b/>
            <w:bCs/>
            <w:color w:val="FFA403"/>
            <w:spacing w:val="5"/>
            <w:sz w:val="24"/>
            <w:szCs w:val="24"/>
            <w:lang w:eastAsia="it-IT"/>
          </w:rPr>
          <w:t>D.L.vo n. 175 del 2016</w:t>
        </w:r>
      </w:hyperlink>
      <w:r w:rsidRPr="007D38CD">
        <w:rPr>
          <w:rFonts w:ascii="Lato" w:eastAsia="Times New Roman" w:hAnsi="Lato" w:cs="Times New Roman"/>
          <w:color w:val="000000"/>
          <w:spacing w:val="5"/>
          <w:sz w:val="24"/>
          <w:szCs w:val="24"/>
          <w:lang w:eastAsia="it-IT"/>
        </w:rPr>
        <w:t xml:space="preserve">, sono devolute alla giurisdizione della Corte dei conti le controversie per il danno erariale cagionato dagli amministratori e dai dipendenti delle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nozione a cui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riconducibile Expo 2015 s.p.a., sia per danni diretti prodotti da dipendenti della stessa, sia per danni obliqui, ovvero ad altra amministrazione, prodotti da dipendenti di altre distinte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w:t>
      </w:r>
    </w:p>
    <w:p w14:paraId="58B06F70"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2. - Con sentenza resa pubblica mediante deposito in segreteria il 6 maggio 2021, la Corte dei conti, Sezione seconda giurisdizionale centrale d'appello, in parziale accoglimento dei gravami interposti </w:t>
      </w:r>
      <w:proofErr w:type="spellStart"/>
      <w:r w:rsidRPr="007D38CD">
        <w:rPr>
          <w:rFonts w:ascii="Lato" w:eastAsia="Times New Roman" w:hAnsi="Lato" w:cs="Times New Roman"/>
          <w:color w:val="000000"/>
          <w:spacing w:val="5"/>
          <w:sz w:val="24"/>
          <w:szCs w:val="24"/>
          <w:lang w:eastAsia="it-IT"/>
        </w:rPr>
        <w:t>dall'ing</w:t>
      </w:r>
      <w:proofErr w:type="spellEnd"/>
      <w:r w:rsidRPr="007D38CD">
        <w:rPr>
          <w:rFonts w:ascii="Lato" w:eastAsia="Times New Roman" w:hAnsi="Lato" w:cs="Times New Roman"/>
          <w:color w:val="000000"/>
          <w:spacing w:val="5"/>
          <w:sz w:val="24"/>
          <w:szCs w:val="24"/>
          <w:lang w:eastAsia="it-IT"/>
        </w:rPr>
        <w:t xml:space="preserve">. R. e </w:t>
      </w:r>
      <w:proofErr w:type="spellStart"/>
      <w:r w:rsidRPr="007D38CD">
        <w:rPr>
          <w:rFonts w:ascii="Lato" w:eastAsia="Times New Roman" w:hAnsi="Lato" w:cs="Times New Roman"/>
          <w:color w:val="000000"/>
          <w:spacing w:val="5"/>
          <w:sz w:val="24"/>
          <w:szCs w:val="24"/>
          <w:lang w:eastAsia="it-IT"/>
        </w:rPr>
        <w:t>dall'ing</w:t>
      </w:r>
      <w:proofErr w:type="spellEnd"/>
      <w:r w:rsidRPr="007D38CD">
        <w:rPr>
          <w:rFonts w:ascii="Lato" w:eastAsia="Times New Roman" w:hAnsi="Lato" w:cs="Times New Roman"/>
          <w:color w:val="000000"/>
          <w:spacing w:val="5"/>
          <w:sz w:val="24"/>
          <w:szCs w:val="24"/>
          <w:lang w:eastAsia="it-IT"/>
        </w:rPr>
        <w:t xml:space="preserve">. C., ha parzialmente riformato la sentenza di primo grado, per l'effetto riducendo a Euro 180.000 ciascuno </w:t>
      </w:r>
      <w:proofErr w:type="spellStart"/>
      <w:r w:rsidRPr="007D38CD">
        <w:rPr>
          <w:rFonts w:ascii="Lato" w:eastAsia="Times New Roman" w:hAnsi="Lato" w:cs="Times New Roman"/>
          <w:color w:val="000000"/>
          <w:spacing w:val="5"/>
          <w:sz w:val="24"/>
          <w:szCs w:val="24"/>
          <w:lang w:eastAsia="it-IT"/>
        </w:rPr>
        <w:t>l'entita'</w:t>
      </w:r>
      <w:proofErr w:type="spellEnd"/>
      <w:r w:rsidRPr="007D38CD">
        <w:rPr>
          <w:rFonts w:ascii="Lato" w:eastAsia="Times New Roman" w:hAnsi="Lato" w:cs="Times New Roman"/>
          <w:color w:val="000000"/>
          <w:spacing w:val="5"/>
          <w:sz w:val="24"/>
          <w:szCs w:val="24"/>
          <w:lang w:eastAsia="it-IT"/>
        </w:rPr>
        <w:t xml:space="preserve"> della </w:t>
      </w:r>
      <w:r w:rsidRPr="007D38CD">
        <w:rPr>
          <w:rFonts w:ascii="Lato" w:eastAsia="Times New Roman" w:hAnsi="Lato" w:cs="Times New Roman"/>
          <w:color w:val="000000"/>
          <w:spacing w:val="5"/>
          <w:sz w:val="24"/>
          <w:szCs w:val="24"/>
          <w:lang w:eastAsia="it-IT"/>
        </w:rPr>
        <w:lastRenderedPageBreak/>
        <w:t xml:space="preserve">condanna a carico dei dirigenti delle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Infrastrutture Lombarde e Metropolitana Milanese coinvolte nella vicenda; mentre, nel rigettare l'appello spiegato dal Dott. P., ha integralmente confermato la pronuncia nei suoi confronti.</w:t>
      </w:r>
    </w:p>
    <w:p w14:paraId="03B013E0"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Per quanto in questa sede ancora rileva, il giudice contabile di appello ha osservato che la considerazione della peculiare natura delle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quale longa manus dell'amministrazione ha spinto il legislatore ad attribuire alla giurisdizione della Corte dei conti, per il tramite dell'art. 12, comma 1, del T.U. in materia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a partecipazione pubblica (</w:t>
      </w:r>
      <w:hyperlink r:id="rId219" w:history="1">
        <w:r w:rsidRPr="007D38CD">
          <w:rPr>
            <w:rFonts w:ascii="Lato" w:eastAsia="Times New Roman" w:hAnsi="Lato" w:cs="Times New Roman"/>
            <w:b/>
            <w:bCs/>
            <w:color w:val="FFA403"/>
            <w:spacing w:val="5"/>
            <w:sz w:val="24"/>
            <w:szCs w:val="24"/>
            <w:lang w:eastAsia="it-IT"/>
          </w:rPr>
          <w:t>D.L.vo n. 175 del 2016</w:t>
        </w:r>
      </w:hyperlink>
      <w:r w:rsidRPr="007D38CD">
        <w:rPr>
          <w:rFonts w:ascii="Lato" w:eastAsia="Times New Roman" w:hAnsi="Lato" w:cs="Times New Roman"/>
          <w:color w:val="000000"/>
          <w:spacing w:val="5"/>
          <w:sz w:val="24"/>
          <w:szCs w:val="24"/>
          <w:lang w:eastAsia="it-IT"/>
        </w:rPr>
        <w:t xml:space="preserve">), le controversie riguardanti il danno erariale cagionato da amministratori e dipendenti di tali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w:t>
      </w:r>
      <w:proofErr w:type="spellStart"/>
      <w:r w:rsidRPr="007D38CD">
        <w:rPr>
          <w:rFonts w:ascii="Lato" w:eastAsia="Times New Roman" w:hAnsi="Lato" w:cs="Times New Roman"/>
          <w:color w:val="000000"/>
          <w:spacing w:val="5"/>
          <w:sz w:val="24"/>
          <w:szCs w:val="24"/>
          <w:lang w:eastAsia="it-IT"/>
        </w:rPr>
        <w:t>Poiche</w:t>
      </w:r>
      <w:proofErr w:type="spellEnd"/>
      <w:r w:rsidRPr="007D38CD">
        <w:rPr>
          <w:rFonts w:ascii="Lato" w:eastAsia="Times New Roman" w:hAnsi="Lato" w:cs="Times New Roman"/>
          <w:color w:val="000000"/>
          <w:spacing w:val="5"/>
          <w:sz w:val="24"/>
          <w:szCs w:val="24"/>
          <w:lang w:eastAsia="it-IT"/>
        </w:rPr>
        <w:t xml:space="preserv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in un'ottica funzionale, essenzialmente assimilabile ad un'articolazione interna dell'amministrazione controllante - rispetto alla quale non gode di una sostanziale posizione di </w:t>
      </w:r>
      <w:proofErr w:type="spellStart"/>
      <w:r w:rsidRPr="007D38CD">
        <w:rPr>
          <w:rFonts w:ascii="Lato" w:eastAsia="Times New Roman" w:hAnsi="Lato" w:cs="Times New Roman"/>
          <w:color w:val="000000"/>
          <w:spacing w:val="5"/>
          <w:sz w:val="24"/>
          <w:szCs w:val="24"/>
          <w:lang w:eastAsia="it-IT"/>
        </w:rPr>
        <w:t>terzieta'</w:t>
      </w:r>
      <w:proofErr w:type="spellEnd"/>
      <w:r w:rsidRPr="007D38CD">
        <w:rPr>
          <w:rFonts w:ascii="Lato" w:eastAsia="Times New Roman" w:hAnsi="Lato" w:cs="Times New Roman"/>
          <w:color w:val="000000"/>
          <w:spacing w:val="5"/>
          <w:sz w:val="24"/>
          <w:szCs w:val="24"/>
          <w:lang w:eastAsia="it-IT"/>
        </w:rPr>
        <w:t xml:space="preserve">, autonomia ed </w:t>
      </w:r>
      <w:proofErr w:type="spellStart"/>
      <w:r w:rsidRPr="007D38CD">
        <w:rPr>
          <w:rFonts w:ascii="Lato" w:eastAsia="Times New Roman" w:hAnsi="Lato" w:cs="Times New Roman"/>
          <w:color w:val="000000"/>
          <w:spacing w:val="5"/>
          <w:sz w:val="24"/>
          <w:szCs w:val="24"/>
          <w:lang w:eastAsia="it-IT"/>
        </w:rPr>
        <w:t>alterita'</w:t>
      </w:r>
      <w:proofErr w:type="spellEnd"/>
      <w:r w:rsidRPr="007D38CD">
        <w:rPr>
          <w:rFonts w:ascii="Lato" w:eastAsia="Times New Roman" w:hAnsi="Lato" w:cs="Times New Roman"/>
          <w:color w:val="000000"/>
          <w:spacing w:val="5"/>
          <w:sz w:val="24"/>
          <w:szCs w:val="24"/>
          <w:lang w:eastAsia="it-IT"/>
        </w:rPr>
        <w:t xml:space="preserve"> soggettiva e patrimoniale -, il vulnus arrecato al suo patrimonio dalla condotta illegittima dei suoi amministratori e dipendenti si connota come danno erariale, idoneo a radicare la giurisdizione del giudice contabile.</w:t>
      </w:r>
    </w:p>
    <w:p w14:paraId="14F73957"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Sulla scorta di tale premessa, la Sezione giurisdizionale di appello ha disatteso le doglianze avanzate </w:t>
      </w:r>
      <w:proofErr w:type="spellStart"/>
      <w:r w:rsidRPr="007D38CD">
        <w:rPr>
          <w:rFonts w:ascii="Lato" w:eastAsia="Times New Roman" w:hAnsi="Lato" w:cs="Times New Roman"/>
          <w:color w:val="000000"/>
          <w:spacing w:val="5"/>
          <w:sz w:val="24"/>
          <w:szCs w:val="24"/>
          <w:lang w:eastAsia="it-IT"/>
        </w:rPr>
        <w:t>dall'ing</w:t>
      </w:r>
      <w:proofErr w:type="spellEnd"/>
      <w:r w:rsidRPr="007D38CD">
        <w:rPr>
          <w:rFonts w:ascii="Lato" w:eastAsia="Times New Roman" w:hAnsi="Lato" w:cs="Times New Roman"/>
          <w:color w:val="000000"/>
          <w:spacing w:val="5"/>
          <w:sz w:val="24"/>
          <w:szCs w:val="24"/>
          <w:lang w:eastAsia="it-IT"/>
        </w:rPr>
        <w:t xml:space="preserve">. C., volte a sottolineare l'assenza di qualsivoglia relazione fra </w:t>
      </w:r>
      <w:r w:rsidRPr="007D38CD">
        <w:rPr>
          <w:rFonts w:ascii="Lato" w:eastAsia="Times New Roman" w:hAnsi="Lato" w:cs="Times New Roman"/>
          <w:b/>
          <w:bCs/>
          <w:color w:val="000000"/>
          <w:spacing w:val="5"/>
          <w:sz w:val="24"/>
          <w:szCs w:val="24"/>
          <w:lang w:eastAsia="it-IT"/>
        </w:rPr>
        <w:t xml:space="preserve">la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in house Metropolitana Milanese e la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Expo 2015, avendo la prima svolto le </w:t>
      </w:r>
      <w:proofErr w:type="spellStart"/>
      <w:r w:rsidRPr="007D38CD">
        <w:rPr>
          <w:rFonts w:ascii="Lato" w:eastAsia="Times New Roman" w:hAnsi="Lato" w:cs="Times New Roman"/>
          <w:b/>
          <w:bCs/>
          <w:color w:val="000000"/>
          <w:spacing w:val="5"/>
          <w:sz w:val="24"/>
          <w:szCs w:val="24"/>
          <w:lang w:eastAsia="it-IT"/>
        </w:rPr>
        <w:t>attivita'</w:t>
      </w:r>
      <w:proofErr w:type="spellEnd"/>
      <w:r w:rsidRPr="007D38CD">
        <w:rPr>
          <w:rFonts w:ascii="Lato" w:eastAsia="Times New Roman" w:hAnsi="Lato" w:cs="Times New Roman"/>
          <w:b/>
          <w:bCs/>
          <w:color w:val="000000"/>
          <w:spacing w:val="5"/>
          <w:sz w:val="24"/>
          <w:szCs w:val="24"/>
          <w:lang w:eastAsia="it-IT"/>
        </w:rPr>
        <w:t xml:space="preserve"> di progettazione richieste esclusivamente in virtu' di un contratto di servizio stipulato con il Comune di Milano</w:t>
      </w:r>
      <w:r w:rsidRPr="007D38CD">
        <w:rPr>
          <w:rFonts w:ascii="Lato" w:eastAsia="Times New Roman" w:hAnsi="Lato" w:cs="Times New Roman"/>
          <w:color w:val="000000"/>
          <w:spacing w:val="5"/>
          <w:sz w:val="24"/>
          <w:szCs w:val="24"/>
          <w:lang w:eastAsia="it-IT"/>
        </w:rPr>
        <w:t xml:space="preserve"> (</w:t>
      </w:r>
      <w:proofErr w:type="spellStart"/>
      <w:r w:rsidRPr="007D38CD">
        <w:rPr>
          <w:rFonts w:ascii="Lato" w:eastAsia="Times New Roman" w:hAnsi="Lato" w:cs="Times New Roman"/>
          <w:color w:val="000000"/>
          <w:spacing w:val="5"/>
          <w:sz w:val="24"/>
          <w:szCs w:val="24"/>
          <w:lang w:eastAsia="it-IT"/>
        </w:rPr>
        <w:t>cio'</w:t>
      </w:r>
      <w:proofErr w:type="spellEnd"/>
      <w:r w:rsidRPr="007D38CD">
        <w:rPr>
          <w:rFonts w:ascii="Lato" w:eastAsia="Times New Roman" w:hAnsi="Lato" w:cs="Times New Roman"/>
          <w:color w:val="000000"/>
          <w:spacing w:val="5"/>
          <w:sz w:val="24"/>
          <w:szCs w:val="24"/>
          <w:lang w:eastAsia="it-IT"/>
        </w:rPr>
        <w:t xml:space="preserve"> che farebbe venir meno l'esistenza di una relazione funzionale suscettibile di radicare la giurisdizione del giudice contabile). La Corte dei conti, al riguardo, ha richiamato l'esistenza di apposita convenzione, dedicata alla regolamentazione dei rapporti fra 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Metropolitana Milanese ed Expo 2015, e ha evidenziato i compiti di assistenza e supporto al responsabile unico del procedimento demandati alla prima.</w:t>
      </w:r>
    </w:p>
    <w:p w14:paraId="6B5F8496"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ordine alla posizione </w:t>
      </w:r>
      <w:proofErr w:type="spellStart"/>
      <w:r w:rsidRPr="007D38CD">
        <w:rPr>
          <w:rFonts w:ascii="Lato" w:eastAsia="Times New Roman" w:hAnsi="Lato" w:cs="Times New Roman"/>
          <w:color w:val="000000"/>
          <w:spacing w:val="5"/>
          <w:sz w:val="24"/>
          <w:szCs w:val="24"/>
          <w:lang w:eastAsia="it-IT"/>
        </w:rPr>
        <w:t>dell'ing</w:t>
      </w:r>
      <w:proofErr w:type="spellEnd"/>
      <w:r w:rsidRPr="007D38CD">
        <w:rPr>
          <w:rFonts w:ascii="Lato" w:eastAsia="Times New Roman" w:hAnsi="Lato" w:cs="Times New Roman"/>
          <w:color w:val="000000"/>
          <w:spacing w:val="5"/>
          <w:sz w:val="24"/>
          <w:szCs w:val="24"/>
          <w:lang w:eastAsia="it-IT"/>
        </w:rPr>
        <w:t xml:space="preserve">. R., la Sezione giurisdizionale, per un verso, ha evidenziato l'esistenza, in ragione delle convenzioni stipulate, di un rapporto di servizio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Infrastrutture Lombarde s.p.a. - </w:t>
      </w:r>
      <w:proofErr w:type="spellStart"/>
      <w:r w:rsidRPr="007D38CD">
        <w:rPr>
          <w:rFonts w:ascii="Lato" w:eastAsia="Times New Roman" w:hAnsi="Lato" w:cs="Times New Roman"/>
          <w:color w:val="000000"/>
          <w:spacing w:val="5"/>
          <w:sz w:val="24"/>
          <w:szCs w:val="24"/>
          <w:lang w:eastAsia="it-IT"/>
        </w:rPr>
        <w:t>Ilspa</w:t>
      </w:r>
      <w:proofErr w:type="spellEnd"/>
      <w:r w:rsidRPr="007D38CD">
        <w:rPr>
          <w:rFonts w:ascii="Lato" w:eastAsia="Times New Roman" w:hAnsi="Lato" w:cs="Times New Roman"/>
          <w:color w:val="000000"/>
          <w:spacing w:val="5"/>
          <w:sz w:val="24"/>
          <w:szCs w:val="24"/>
          <w:lang w:eastAsia="it-IT"/>
        </w:rPr>
        <w:t xml:space="preserve"> nei confronti di Expo 2015 s.p.a., idoneo a radicare la giurisdizione contabile e, per altro verso, ha rilevato la </w:t>
      </w:r>
      <w:proofErr w:type="spellStart"/>
      <w:r w:rsidRPr="007D38CD">
        <w:rPr>
          <w:rFonts w:ascii="Lato" w:eastAsia="Times New Roman" w:hAnsi="Lato" w:cs="Times New Roman"/>
          <w:color w:val="000000"/>
          <w:spacing w:val="5"/>
          <w:sz w:val="24"/>
          <w:szCs w:val="24"/>
          <w:lang w:eastAsia="it-IT"/>
        </w:rPr>
        <w:t>riconducibilita'</w:t>
      </w:r>
      <w:proofErr w:type="spellEnd"/>
      <w:r w:rsidRPr="007D38CD">
        <w:rPr>
          <w:rFonts w:ascii="Lato" w:eastAsia="Times New Roman" w:hAnsi="Lato" w:cs="Times New Roman"/>
          <w:color w:val="000000"/>
          <w:spacing w:val="5"/>
          <w:sz w:val="24"/>
          <w:szCs w:val="24"/>
          <w:lang w:eastAsia="it-IT"/>
        </w:rPr>
        <w:t xml:space="preserve"> della posizione di vertice ricoperta dall'appellante, quale direttore generale di </w:t>
      </w:r>
      <w:proofErr w:type="spellStart"/>
      <w:r w:rsidRPr="007D38CD">
        <w:rPr>
          <w:rFonts w:ascii="Lato" w:eastAsia="Times New Roman" w:hAnsi="Lato" w:cs="Times New Roman"/>
          <w:color w:val="000000"/>
          <w:spacing w:val="5"/>
          <w:sz w:val="24"/>
          <w:szCs w:val="24"/>
          <w:lang w:eastAsia="it-IT"/>
        </w:rPr>
        <w:t>Ilspa</w:t>
      </w:r>
      <w:proofErr w:type="spellEnd"/>
      <w:r w:rsidRPr="007D38CD">
        <w:rPr>
          <w:rFonts w:ascii="Lato" w:eastAsia="Times New Roman" w:hAnsi="Lato" w:cs="Times New Roman"/>
          <w:color w:val="000000"/>
          <w:spacing w:val="5"/>
          <w:sz w:val="24"/>
          <w:szCs w:val="24"/>
          <w:lang w:eastAsia="it-IT"/>
        </w:rPr>
        <w:t>, ad un rapporto di lavoro dipendente.</w:t>
      </w:r>
    </w:p>
    <w:p w14:paraId="4A6E615B"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3. - Per la cassazione della sentenza della Sezione seconda giurisdizionale centrale d'appello della Corte dei conti,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C. ha proposto ricorso, con atto notificato il 12 novembre 2021, sulla base di quattro motivi.</w:t>
      </w:r>
    </w:p>
    <w:p w14:paraId="0799CB6F"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R. ha proposto, a sua volta, ricorso incidentale affidato ad un unico motivo.</w:t>
      </w:r>
    </w:p>
    <w:p w14:paraId="321E1FF7"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All'uno e all'altro ricorso ha resistito, con separati atti di controricorso, il Procuratore Generale, rappresentante il pubblico ministero presso la Corte dei conti.</w:t>
      </w:r>
    </w:p>
    <w:p w14:paraId="48BD1AE0"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4. - I ricorsi sono stati avviati alla trattazione camerale ai sensi dell'art. 380-bis.1 c.p.c.</w:t>
      </w:r>
    </w:p>
    <w:p w14:paraId="19BCDC8B"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w:t>
      </w:r>
      <w:proofErr w:type="spellStart"/>
      <w:r w:rsidRPr="007D38CD">
        <w:rPr>
          <w:rFonts w:ascii="Lato" w:eastAsia="Times New Roman" w:hAnsi="Lato" w:cs="Times New Roman"/>
          <w:color w:val="000000"/>
          <w:spacing w:val="5"/>
          <w:sz w:val="24"/>
          <w:szCs w:val="24"/>
          <w:lang w:eastAsia="it-IT"/>
        </w:rPr>
        <w:t>prossimita'</w:t>
      </w:r>
      <w:proofErr w:type="spellEnd"/>
      <w:r w:rsidRPr="007D38CD">
        <w:rPr>
          <w:rFonts w:ascii="Lato" w:eastAsia="Times New Roman" w:hAnsi="Lato" w:cs="Times New Roman"/>
          <w:color w:val="000000"/>
          <w:spacing w:val="5"/>
          <w:sz w:val="24"/>
          <w:szCs w:val="24"/>
          <w:lang w:eastAsia="it-IT"/>
        </w:rPr>
        <w:t xml:space="preserve"> della camera di consiglio entrambi i ricorrenti hanno depositato memorie illustrative.</w:t>
      </w:r>
    </w:p>
    <w:p w14:paraId="7D6579D0" w14:textId="77777777" w:rsidR="007D38CD" w:rsidRPr="007D38CD" w:rsidRDefault="007D38CD" w:rsidP="007D38CD">
      <w:pPr>
        <w:shd w:val="clear" w:color="auto" w:fill="FFFFFF"/>
        <w:spacing w:after="0" w:line="240" w:lineRule="auto"/>
        <w:rPr>
          <w:rFonts w:ascii="Lato" w:eastAsia="Times New Roman" w:hAnsi="Lato" w:cs="Times New Roman"/>
          <w:color w:val="000000"/>
          <w:spacing w:val="5"/>
          <w:sz w:val="24"/>
          <w:szCs w:val="24"/>
          <w:lang w:eastAsia="it-IT"/>
        </w:rPr>
      </w:pPr>
    </w:p>
    <w:p w14:paraId="38FF1F0B" w14:textId="77777777" w:rsidR="007D38CD" w:rsidRPr="007D38CD" w:rsidRDefault="007D38CD" w:rsidP="007D38CD">
      <w:pPr>
        <w:shd w:val="clear" w:color="auto" w:fill="FFFFFF"/>
        <w:spacing w:after="0" w:line="240" w:lineRule="auto"/>
        <w:jc w:val="both"/>
        <w:rPr>
          <w:rFonts w:ascii="Lato" w:eastAsia="Times New Roman" w:hAnsi="Lato" w:cs="Times New Roman"/>
          <w:b/>
          <w:bCs/>
          <w:color w:val="000000"/>
          <w:spacing w:val="5"/>
          <w:sz w:val="26"/>
          <w:szCs w:val="26"/>
          <w:lang w:eastAsia="it-IT"/>
        </w:rPr>
      </w:pPr>
      <w:r w:rsidRPr="007D38CD">
        <w:rPr>
          <w:rFonts w:ascii="Lato" w:eastAsia="Times New Roman" w:hAnsi="Lato" w:cs="Times New Roman"/>
          <w:b/>
          <w:bCs/>
          <w:color w:val="000000"/>
          <w:spacing w:val="5"/>
          <w:sz w:val="26"/>
          <w:szCs w:val="26"/>
          <w:lang w:eastAsia="it-IT"/>
        </w:rPr>
        <w:t>Motivi della decisione</w:t>
      </w:r>
    </w:p>
    <w:p w14:paraId="2E56B3DA"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1. - Con il primo motivo di ricorso proposto dal C., viene denunciata la violazione dei limiti esterni della giurisdizione in relazione agli </w:t>
      </w:r>
      <w:hyperlink r:id="rId220" w:history="1">
        <w:r w:rsidRPr="007D38CD">
          <w:rPr>
            <w:rFonts w:ascii="Lato" w:eastAsia="Times New Roman" w:hAnsi="Lato" w:cs="Times New Roman"/>
            <w:b/>
            <w:bCs/>
            <w:color w:val="FFA403"/>
            <w:spacing w:val="5"/>
            <w:sz w:val="24"/>
            <w:szCs w:val="24"/>
            <w:lang w:eastAsia="it-IT"/>
          </w:rPr>
          <w:t>artt. 103 Cost.</w:t>
        </w:r>
      </w:hyperlink>
      <w:r w:rsidRPr="007D38CD">
        <w:rPr>
          <w:rFonts w:ascii="Lato" w:eastAsia="Times New Roman" w:hAnsi="Lato" w:cs="Times New Roman"/>
          <w:color w:val="000000"/>
          <w:spacing w:val="5"/>
          <w:sz w:val="24"/>
          <w:szCs w:val="24"/>
          <w:lang w:eastAsia="it-IT"/>
        </w:rPr>
        <w:t xml:space="preserve"> e art. 12 del T.U. in materia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a partecipazione pubblica, approvato con il </w:t>
      </w:r>
      <w:hyperlink r:id="rId221" w:history="1">
        <w:r w:rsidRPr="007D38CD">
          <w:rPr>
            <w:rFonts w:ascii="Lato" w:eastAsia="Times New Roman" w:hAnsi="Lato" w:cs="Times New Roman"/>
            <w:b/>
            <w:bCs/>
            <w:color w:val="FFA403"/>
            <w:spacing w:val="5"/>
            <w:sz w:val="24"/>
            <w:szCs w:val="24"/>
            <w:lang w:eastAsia="it-IT"/>
          </w:rPr>
          <w:t>D.L.vo n. 175 del 2016</w:t>
        </w:r>
      </w:hyperlink>
      <w:r w:rsidRPr="007D38CD">
        <w:rPr>
          <w:rFonts w:ascii="Lato" w:eastAsia="Times New Roman" w:hAnsi="Lato" w:cs="Times New Roman"/>
          <w:color w:val="000000"/>
          <w:spacing w:val="5"/>
          <w:sz w:val="24"/>
          <w:szCs w:val="24"/>
          <w:lang w:eastAsia="it-IT"/>
        </w:rPr>
        <w:t>, per avere la sentenza impugnata erroneamente ritenuto sussistente la giurisdizione del giudice contabile sulla base del citato art. 12.</w:t>
      </w:r>
    </w:p>
    <w:p w14:paraId="4F3E7747"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particolare, il ricorrente lamenta che la Corte dei conti abbia omesso di tenere in debita considerazione il carattere eccezionale che la giurisdizione del giudice contabile riveste nell'impianto dispositivo del T.U.: l'art. 12, infatti, nel ribadire l'imprescindibile </w:t>
      </w:r>
      <w:r w:rsidRPr="007D38CD">
        <w:rPr>
          <w:rFonts w:ascii="Lato" w:eastAsia="Times New Roman" w:hAnsi="Lato" w:cs="Times New Roman"/>
          <w:color w:val="000000"/>
          <w:spacing w:val="5"/>
          <w:sz w:val="24"/>
          <w:szCs w:val="24"/>
          <w:lang w:eastAsia="it-IT"/>
        </w:rPr>
        <w:lastRenderedPageBreak/>
        <w:t xml:space="preserve">soggezione degli organi di amministrazione e controllo delle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partecipate da enti pubblici alla </w:t>
      </w:r>
      <w:proofErr w:type="spellStart"/>
      <w:r w:rsidRPr="007D38CD">
        <w:rPr>
          <w:rFonts w:ascii="Lato" w:eastAsia="Times New Roman" w:hAnsi="Lato" w:cs="Times New Roman"/>
          <w:color w:val="000000"/>
          <w:spacing w:val="5"/>
          <w:sz w:val="24"/>
          <w:szCs w:val="24"/>
          <w:lang w:eastAsia="it-IT"/>
        </w:rPr>
        <w:t>responsabilita'</w:t>
      </w:r>
      <w:proofErr w:type="spellEnd"/>
      <w:r w:rsidRPr="007D38CD">
        <w:rPr>
          <w:rFonts w:ascii="Lato" w:eastAsia="Times New Roman" w:hAnsi="Lato" w:cs="Times New Roman"/>
          <w:color w:val="000000"/>
          <w:spacing w:val="5"/>
          <w:sz w:val="24"/>
          <w:szCs w:val="24"/>
          <w:lang w:eastAsia="it-IT"/>
        </w:rPr>
        <w:t xml:space="preserve"> civile, farebbe salva la giurisdizione della Corte dei conti per il solo danno erariale causato dagli amministratori e dai dipendenti delle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w:t>
      </w:r>
      <w:proofErr w:type="spellStart"/>
      <w:r w:rsidRPr="007D38CD">
        <w:rPr>
          <w:rFonts w:ascii="Lato" w:eastAsia="Times New Roman" w:hAnsi="Lato" w:cs="Times New Roman"/>
          <w:color w:val="000000"/>
          <w:spacing w:val="5"/>
          <w:sz w:val="24"/>
          <w:szCs w:val="24"/>
          <w:lang w:eastAsia="it-IT"/>
        </w:rPr>
        <w:t>Cio'</w:t>
      </w:r>
      <w:proofErr w:type="spellEnd"/>
      <w:r w:rsidRPr="007D38CD">
        <w:rPr>
          <w:rFonts w:ascii="Lato" w:eastAsia="Times New Roman" w:hAnsi="Lato" w:cs="Times New Roman"/>
          <w:color w:val="000000"/>
          <w:spacing w:val="5"/>
          <w:sz w:val="24"/>
          <w:szCs w:val="24"/>
          <w:lang w:eastAsia="it-IT"/>
        </w:rPr>
        <w:t xml:space="preserve"> in ragione della peculiare configurazione di queste ultime, congegnate, a livello funzionale, quale mera articolazione interna o longa manus dell'ente pubblico socio. </w:t>
      </w:r>
      <w:r w:rsidRPr="007D38CD">
        <w:rPr>
          <w:rFonts w:ascii="Lato" w:eastAsia="Times New Roman" w:hAnsi="Lato" w:cs="Times New Roman"/>
          <w:b/>
          <w:bCs/>
          <w:color w:val="000000"/>
          <w:spacing w:val="5"/>
          <w:sz w:val="24"/>
          <w:szCs w:val="24"/>
          <w:lang w:eastAsia="it-IT"/>
        </w:rPr>
        <w:t xml:space="preserve">Di qui, </w:t>
      </w:r>
      <w:proofErr w:type="spellStart"/>
      <w:r w:rsidRPr="007D38CD">
        <w:rPr>
          <w:rFonts w:ascii="Lato" w:eastAsia="Times New Roman" w:hAnsi="Lato" w:cs="Times New Roman"/>
          <w:b/>
          <w:bCs/>
          <w:color w:val="000000"/>
          <w:spacing w:val="5"/>
          <w:sz w:val="24"/>
          <w:szCs w:val="24"/>
          <w:lang w:eastAsia="it-IT"/>
        </w:rPr>
        <w:t>l'idoneita'</w:t>
      </w:r>
      <w:proofErr w:type="spellEnd"/>
      <w:r w:rsidRPr="007D38CD">
        <w:rPr>
          <w:rFonts w:ascii="Lato" w:eastAsia="Times New Roman" w:hAnsi="Lato" w:cs="Times New Roman"/>
          <w:b/>
          <w:bCs/>
          <w:color w:val="000000"/>
          <w:spacing w:val="5"/>
          <w:sz w:val="24"/>
          <w:szCs w:val="24"/>
          <w:lang w:eastAsia="it-IT"/>
        </w:rPr>
        <w:t xml:space="preserve"> del danno arrecato al patrimonio della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operante in regime di in house </w:t>
      </w:r>
      <w:proofErr w:type="spellStart"/>
      <w:r w:rsidRPr="007D38CD">
        <w:rPr>
          <w:rFonts w:ascii="Lato" w:eastAsia="Times New Roman" w:hAnsi="Lato" w:cs="Times New Roman"/>
          <w:b/>
          <w:bCs/>
          <w:color w:val="000000"/>
          <w:spacing w:val="5"/>
          <w:sz w:val="24"/>
          <w:szCs w:val="24"/>
          <w:lang w:eastAsia="it-IT"/>
        </w:rPr>
        <w:t>providing</w:t>
      </w:r>
      <w:proofErr w:type="spellEnd"/>
      <w:r w:rsidRPr="007D38CD">
        <w:rPr>
          <w:rFonts w:ascii="Lato" w:eastAsia="Times New Roman" w:hAnsi="Lato" w:cs="Times New Roman"/>
          <w:b/>
          <w:bCs/>
          <w:color w:val="000000"/>
          <w:spacing w:val="5"/>
          <w:sz w:val="24"/>
          <w:szCs w:val="24"/>
          <w:lang w:eastAsia="it-IT"/>
        </w:rPr>
        <w:t xml:space="preserve"> a trasformarsi in danno al patrimonio dell'amministrazione controllante.</w:t>
      </w:r>
    </w:p>
    <w:p w14:paraId="2A72CAC4"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Ad avviso del ricorrente, la Corte dei conti avrebbe erroneamente fondato la propria </w:t>
      </w:r>
      <w:proofErr w:type="spellStart"/>
      <w:r w:rsidRPr="007D38CD">
        <w:rPr>
          <w:rFonts w:ascii="Lato" w:eastAsia="Times New Roman" w:hAnsi="Lato" w:cs="Times New Roman"/>
          <w:color w:val="000000"/>
          <w:spacing w:val="5"/>
          <w:sz w:val="24"/>
          <w:szCs w:val="24"/>
          <w:lang w:eastAsia="it-IT"/>
        </w:rPr>
        <w:t>potestas</w:t>
      </w:r>
      <w:proofErr w:type="spellEnd"/>
      <w:r w:rsidRPr="007D38CD">
        <w:rPr>
          <w:rFonts w:ascii="Lato" w:eastAsia="Times New Roman" w:hAnsi="Lato" w:cs="Times New Roman"/>
          <w:color w:val="000000"/>
          <w:spacing w:val="5"/>
          <w:sz w:val="24"/>
          <w:szCs w:val="24"/>
          <w:lang w:eastAsia="it-IT"/>
        </w:rPr>
        <w:t xml:space="preserve"> </w:t>
      </w:r>
      <w:proofErr w:type="spellStart"/>
      <w:r w:rsidRPr="007D38CD">
        <w:rPr>
          <w:rFonts w:ascii="Lato" w:eastAsia="Times New Roman" w:hAnsi="Lato" w:cs="Times New Roman"/>
          <w:color w:val="000000"/>
          <w:spacing w:val="5"/>
          <w:sz w:val="24"/>
          <w:szCs w:val="24"/>
          <w:lang w:eastAsia="it-IT"/>
        </w:rPr>
        <w:t>iudicandi</w:t>
      </w:r>
      <w:proofErr w:type="spellEnd"/>
      <w:r w:rsidRPr="007D38CD">
        <w:rPr>
          <w:rFonts w:ascii="Lato" w:eastAsia="Times New Roman" w:hAnsi="Lato" w:cs="Times New Roman"/>
          <w:color w:val="000000"/>
          <w:spacing w:val="5"/>
          <w:sz w:val="24"/>
          <w:szCs w:val="24"/>
          <w:lang w:eastAsia="it-IT"/>
        </w:rPr>
        <w:t xml:space="preserve"> sull'art. 12 richiamato, poiché </w:t>
      </w:r>
      <w:proofErr w:type="gramStart"/>
      <w:r w:rsidRPr="007D38CD">
        <w:rPr>
          <w:rFonts w:ascii="Lato" w:eastAsia="Times New Roman" w:hAnsi="Lato" w:cs="Times New Roman"/>
          <w:color w:val="000000"/>
          <w:spacing w:val="5"/>
          <w:sz w:val="24"/>
          <w:szCs w:val="24"/>
          <w:lang w:eastAsia="it-IT"/>
        </w:rPr>
        <w:t>ne'</w:t>
      </w:r>
      <w:proofErr w:type="gramEnd"/>
      <w:r w:rsidRPr="007D38CD">
        <w:rPr>
          <w:rFonts w:ascii="Lato" w:eastAsia="Times New Roman" w:hAnsi="Lato" w:cs="Times New Roman"/>
          <w:color w:val="000000"/>
          <w:spacing w:val="5"/>
          <w:sz w:val="24"/>
          <w:szCs w:val="24"/>
          <w:lang w:eastAsia="it-IT"/>
        </w:rPr>
        <w:t xml:space="preserv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Metropolitana Milanese - presso la quale il ricorrente operava - ne' il Comune di Milano, suo unico socio, avrebbero patito un danno patrimoniale. </w:t>
      </w:r>
      <w:r w:rsidRPr="007D38CD">
        <w:rPr>
          <w:rFonts w:ascii="Lato" w:eastAsia="Times New Roman" w:hAnsi="Lato" w:cs="Times New Roman"/>
          <w:b/>
          <w:bCs/>
          <w:color w:val="000000"/>
          <w:spacing w:val="5"/>
          <w:sz w:val="24"/>
          <w:szCs w:val="24"/>
          <w:lang w:eastAsia="it-IT"/>
        </w:rPr>
        <w:t xml:space="preserve">La mera appartenenza ad una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in house non sarebbe, di per </w:t>
      </w:r>
      <w:proofErr w:type="gramStart"/>
      <w:r w:rsidRPr="007D38CD">
        <w:rPr>
          <w:rFonts w:ascii="Lato" w:eastAsia="Times New Roman" w:hAnsi="Lato" w:cs="Times New Roman"/>
          <w:b/>
          <w:bCs/>
          <w:color w:val="000000"/>
          <w:spacing w:val="5"/>
          <w:sz w:val="24"/>
          <w:szCs w:val="24"/>
          <w:lang w:eastAsia="it-IT"/>
        </w:rPr>
        <w:t>se'</w:t>
      </w:r>
      <w:proofErr w:type="gramEnd"/>
      <w:r w:rsidRPr="007D38CD">
        <w:rPr>
          <w:rFonts w:ascii="Lato" w:eastAsia="Times New Roman" w:hAnsi="Lato" w:cs="Times New Roman"/>
          <w:b/>
          <w:bCs/>
          <w:color w:val="000000"/>
          <w:spacing w:val="5"/>
          <w:sz w:val="24"/>
          <w:szCs w:val="24"/>
          <w:lang w:eastAsia="it-IT"/>
        </w:rPr>
        <w:t xml:space="preserve">, sufficiente a radicare la giurisdizione contabile, occorrendo </w:t>
      </w:r>
      <w:proofErr w:type="spellStart"/>
      <w:r w:rsidRPr="007D38CD">
        <w:rPr>
          <w:rFonts w:ascii="Lato" w:eastAsia="Times New Roman" w:hAnsi="Lato" w:cs="Times New Roman"/>
          <w:b/>
          <w:bCs/>
          <w:color w:val="000000"/>
          <w:spacing w:val="5"/>
          <w:sz w:val="24"/>
          <w:szCs w:val="24"/>
          <w:lang w:eastAsia="it-IT"/>
        </w:rPr>
        <w:t>altresi'</w:t>
      </w:r>
      <w:proofErr w:type="spellEnd"/>
      <w:r w:rsidRPr="007D38CD">
        <w:rPr>
          <w:rFonts w:ascii="Lato" w:eastAsia="Times New Roman" w:hAnsi="Lato" w:cs="Times New Roman"/>
          <w:b/>
          <w:bCs/>
          <w:color w:val="000000"/>
          <w:spacing w:val="5"/>
          <w:sz w:val="24"/>
          <w:szCs w:val="24"/>
          <w:lang w:eastAsia="it-IT"/>
        </w:rPr>
        <w:t xml:space="preserve">, ai sensi della disposizione contenuta nel citato art. 12, che il danno imputato all'amministratore o al dipendente venga arrecato al patrimonio della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partecipata o all'ente pubblico controllante.</w:t>
      </w:r>
    </w:p>
    <w:p w14:paraId="10D9913B"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1.1. - Il motivo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infondato.</w:t>
      </w:r>
    </w:p>
    <w:p w14:paraId="05A5379D"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Corte dei conti ha giurisdizione sull'azione di </w:t>
      </w:r>
      <w:proofErr w:type="spellStart"/>
      <w:r w:rsidRPr="007D38CD">
        <w:rPr>
          <w:rFonts w:ascii="Lato" w:eastAsia="Times New Roman" w:hAnsi="Lato" w:cs="Times New Roman"/>
          <w:color w:val="000000"/>
          <w:spacing w:val="5"/>
          <w:sz w:val="24"/>
          <w:szCs w:val="24"/>
          <w:lang w:eastAsia="it-IT"/>
        </w:rPr>
        <w:t>responsabilita'</w:t>
      </w:r>
      <w:proofErr w:type="spellEnd"/>
      <w:r w:rsidRPr="007D38CD">
        <w:rPr>
          <w:rFonts w:ascii="Lato" w:eastAsia="Times New Roman" w:hAnsi="Lato" w:cs="Times New Roman"/>
          <w:color w:val="000000"/>
          <w:spacing w:val="5"/>
          <w:sz w:val="24"/>
          <w:szCs w:val="24"/>
          <w:lang w:eastAsia="it-IT"/>
        </w:rPr>
        <w:t xml:space="preserve"> esercitata dalla Procura contabile quando tale azione sia diretta a far valere la </w:t>
      </w:r>
      <w:proofErr w:type="spellStart"/>
      <w:r w:rsidRPr="007D38CD">
        <w:rPr>
          <w:rFonts w:ascii="Lato" w:eastAsia="Times New Roman" w:hAnsi="Lato" w:cs="Times New Roman"/>
          <w:color w:val="000000"/>
          <w:spacing w:val="5"/>
          <w:sz w:val="24"/>
          <w:szCs w:val="24"/>
          <w:lang w:eastAsia="it-IT"/>
        </w:rPr>
        <w:t>responsabilita'</w:t>
      </w:r>
      <w:proofErr w:type="spellEnd"/>
      <w:r w:rsidRPr="007D38CD">
        <w:rPr>
          <w:rFonts w:ascii="Lato" w:eastAsia="Times New Roman" w:hAnsi="Lato" w:cs="Times New Roman"/>
          <w:color w:val="000000"/>
          <w:spacing w:val="5"/>
          <w:sz w:val="24"/>
          <w:szCs w:val="24"/>
          <w:lang w:eastAsia="it-IT"/>
        </w:rPr>
        <w:t xml:space="preserve"> degli organi sociali o dei dipendenti per i danni da essi cagionati al patrimonio di una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w:t>
      </w:r>
      <w:proofErr w:type="spellStart"/>
      <w:r w:rsidRPr="007D38CD">
        <w:rPr>
          <w:rFonts w:ascii="Lato" w:eastAsia="Times New Roman" w:hAnsi="Lato" w:cs="Times New Roman"/>
          <w:color w:val="000000"/>
          <w:spacing w:val="5"/>
          <w:sz w:val="24"/>
          <w:szCs w:val="24"/>
          <w:lang w:eastAsia="it-IT"/>
        </w:rPr>
        <w:t>cosi'</w:t>
      </w:r>
      <w:proofErr w:type="spellEnd"/>
      <w:r w:rsidRPr="007D38CD">
        <w:rPr>
          <w:rFonts w:ascii="Lato" w:eastAsia="Times New Roman" w:hAnsi="Lato" w:cs="Times New Roman"/>
          <w:color w:val="000000"/>
          <w:spacing w:val="5"/>
          <w:sz w:val="24"/>
          <w:szCs w:val="24"/>
          <w:lang w:eastAsia="it-IT"/>
        </w:rPr>
        <w:t xml:space="preserve"> dovendosi intendere quella costituita da uno o </w:t>
      </w:r>
      <w:proofErr w:type="spellStart"/>
      <w:r w:rsidRPr="007D38CD">
        <w:rPr>
          <w:rFonts w:ascii="Lato" w:eastAsia="Times New Roman" w:hAnsi="Lato" w:cs="Times New Roman"/>
          <w:color w:val="000000"/>
          <w:spacing w:val="5"/>
          <w:sz w:val="24"/>
          <w:szCs w:val="24"/>
          <w:lang w:eastAsia="it-IT"/>
        </w:rPr>
        <w:t>piu'</w:t>
      </w:r>
      <w:proofErr w:type="spellEnd"/>
      <w:r w:rsidRPr="007D38CD">
        <w:rPr>
          <w:rFonts w:ascii="Lato" w:eastAsia="Times New Roman" w:hAnsi="Lato" w:cs="Times New Roman"/>
          <w:color w:val="000000"/>
          <w:spacing w:val="5"/>
          <w:sz w:val="24"/>
          <w:szCs w:val="24"/>
          <w:lang w:eastAsia="it-IT"/>
        </w:rPr>
        <w:t xml:space="preserve"> enti pubblici per l'esercizio di pubblici servizi, di cui esclusivamente i medesimi enti possano essere soci, che statutariamente esplichi la propria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prevalente in favore degli enti partecipanti e la cui gestione sia per statuto assoggettata a forme di controllo analoghe a quello esercitato dagli enti pubblici sui propri uffici.</w:t>
      </w:r>
    </w:p>
    <w:p w14:paraId="2E5337D6"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non si colloca come </w:t>
      </w:r>
      <w:proofErr w:type="spellStart"/>
      <w:r w:rsidRPr="007D38CD">
        <w:rPr>
          <w:rFonts w:ascii="Lato" w:eastAsia="Times New Roman" w:hAnsi="Lato" w:cs="Times New Roman"/>
          <w:color w:val="000000"/>
          <w:spacing w:val="5"/>
          <w:sz w:val="24"/>
          <w:szCs w:val="24"/>
          <w:lang w:eastAsia="it-IT"/>
        </w:rPr>
        <w:t>un'entita'</w:t>
      </w:r>
      <w:proofErr w:type="spellEnd"/>
      <w:r w:rsidRPr="007D38CD">
        <w:rPr>
          <w:rFonts w:ascii="Lato" w:eastAsia="Times New Roman" w:hAnsi="Lato" w:cs="Times New Roman"/>
          <w:color w:val="000000"/>
          <w:spacing w:val="5"/>
          <w:sz w:val="24"/>
          <w:szCs w:val="24"/>
          <w:lang w:eastAsia="it-IT"/>
        </w:rPr>
        <w:t xml:space="preserve"> posta al di fuori dell'ente pubblico: la distinzione tra socio (pubblico) 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non si realizza in termini di </w:t>
      </w:r>
      <w:proofErr w:type="spellStart"/>
      <w:r w:rsidRPr="007D38CD">
        <w:rPr>
          <w:rFonts w:ascii="Lato" w:eastAsia="Times New Roman" w:hAnsi="Lato" w:cs="Times New Roman"/>
          <w:color w:val="000000"/>
          <w:spacing w:val="5"/>
          <w:sz w:val="24"/>
          <w:szCs w:val="24"/>
          <w:lang w:eastAsia="it-IT"/>
        </w:rPr>
        <w:t>alterita'</w:t>
      </w:r>
      <w:proofErr w:type="spellEnd"/>
      <w:r w:rsidRPr="007D38CD">
        <w:rPr>
          <w:rFonts w:ascii="Lato" w:eastAsia="Times New Roman" w:hAnsi="Lato" w:cs="Times New Roman"/>
          <w:color w:val="000000"/>
          <w:spacing w:val="5"/>
          <w:sz w:val="24"/>
          <w:szCs w:val="24"/>
          <w:lang w:eastAsia="it-IT"/>
        </w:rPr>
        <w:t xml:space="preserve"> soggettiva.</w:t>
      </w:r>
    </w:p>
    <w:p w14:paraId="4991D041"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Nella specie,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pacifica la natura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sia di Metropolitana Milanese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di appartenenza del ricorrente ing. C.), sia di Expo 2015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per azioni di scopo e di diritto speciale, costituita per la realizzazione di una </w:t>
      </w:r>
      <w:proofErr w:type="spellStart"/>
      <w:r w:rsidRPr="007D38CD">
        <w:rPr>
          <w:rFonts w:ascii="Lato" w:eastAsia="Times New Roman" w:hAnsi="Lato" w:cs="Times New Roman"/>
          <w:color w:val="000000"/>
          <w:spacing w:val="5"/>
          <w:sz w:val="24"/>
          <w:szCs w:val="24"/>
          <w:lang w:eastAsia="it-IT"/>
        </w:rPr>
        <w:t>finalita'</w:t>
      </w:r>
      <w:proofErr w:type="spellEnd"/>
      <w:r w:rsidRPr="007D38CD">
        <w:rPr>
          <w:rFonts w:ascii="Lato" w:eastAsia="Times New Roman" w:hAnsi="Lato" w:cs="Times New Roman"/>
          <w:color w:val="000000"/>
          <w:spacing w:val="5"/>
          <w:sz w:val="24"/>
          <w:szCs w:val="24"/>
          <w:lang w:eastAsia="it-IT"/>
        </w:rPr>
        <w:t xml:space="preserve">, l'esposizione universale, di rilevante interesse pubblico, a totale partecipazione pubblica, al cui capitale partecipano il Comune di Milano e la Regione Lombardia, con una quota del 20 per cento ciascuno); ed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del pari, incontestata l'esistenza di un rapporto convenzionale in forza del quale 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dei soci di Expo che principalmente erano chiamati a concorrere alla realizza-zione dell'evento (vale a dire Infrastrutture Lombarde per la Regione Lombardia e Metropolitana Milanese per il Comune di Milano) sono state incaricate di svolgere le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inerenti all'ambito amministrativo, alla direzione dei lavori e alla progettazione.</w:t>
      </w:r>
    </w:p>
    <w:p w14:paraId="79EF1A56"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La convenzione stipulata, con l'affidamento a Metropolitana Milanese, costola del Comune, dei compiti di supporto e di assistenza al responsabile unico del procedimento, ha costituito la base per l'inserimento di Metropolitana nell'iter procedimentale volto alla realizzazione degli scopi di Expo 2015.</w:t>
      </w:r>
    </w:p>
    <w:p w14:paraId="64D25571"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b/>
          <w:bCs/>
          <w:color w:val="000000"/>
          <w:spacing w:val="5"/>
          <w:sz w:val="24"/>
          <w:szCs w:val="24"/>
          <w:lang w:eastAsia="it-IT"/>
        </w:rPr>
        <w:t xml:space="preserve">Ricade nella giurisdizione contabile il danno cagionato ad una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in house attraverso la condotta di un soggetto svolgente la propria </w:t>
      </w:r>
      <w:proofErr w:type="spellStart"/>
      <w:r w:rsidRPr="007D38CD">
        <w:rPr>
          <w:rFonts w:ascii="Lato" w:eastAsia="Times New Roman" w:hAnsi="Lato" w:cs="Times New Roman"/>
          <w:b/>
          <w:bCs/>
          <w:color w:val="000000"/>
          <w:spacing w:val="5"/>
          <w:sz w:val="24"/>
          <w:szCs w:val="24"/>
          <w:lang w:eastAsia="it-IT"/>
        </w:rPr>
        <w:t>attivita'</w:t>
      </w:r>
      <w:proofErr w:type="spellEnd"/>
      <w:r w:rsidRPr="007D38CD">
        <w:rPr>
          <w:rFonts w:ascii="Lato" w:eastAsia="Times New Roman" w:hAnsi="Lato" w:cs="Times New Roman"/>
          <w:b/>
          <w:bCs/>
          <w:color w:val="000000"/>
          <w:spacing w:val="5"/>
          <w:sz w:val="24"/>
          <w:szCs w:val="24"/>
          <w:lang w:eastAsia="it-IT"/>
        </w:rPr>
        <w:t xml:space="preserve"> per conto di altra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in house, partecipata dallo stesso Comune, di cui la prima si sia avvalsa per la realizzazione dei propri scopi</w:t>
      </w:r>
      <w:r w:rsidRPr="007D38CD">
        <w:rPr>
          <w:rFonts w:ascii="Lato" w:eastAsia="Times New Roman" w:hAnsi="Lato" w:cs="Times New Roman"/>
          <w:color w:val="000000"/>
          <w:spacing w:val="5"/>
          <w:sz w:val="24"/>
          <w:szCs w:val="24"/>
          <w:lang w:eastAsia="it-IT"/>
        </w:rPr>
        <w:t>.</w:t>
      </w:r>
    </w:p>
    <w:p w14:paraId="7424C828"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b/>
          <w:bCs/>
          <w:color w:val="000000"/>
          <w:spacing w:val="5"/>
          <w:sz w:val="24"/>
          <w:szCs w:val="24"/>
          <w:lang w:eastAsia="it-IT"/>
        </w:rPr>
        <w:t xml:space="preserve">L'art. 12 del T.U. sulle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a partecipazione pubblica, infatti, nel prevedere la giurisdizione della Corte dei conti per il danno erariale causato dagli amministratori e </w:t>
      </w:r>
      <w:r w:rsidRPr="007D38CD">
        <w:rPr>
          <w:rFonts w:ascii="Lato" w:eastAsia="Times New Roman" w:hAnsi="Lato" w:cs="Times New Roman"/>
          <w:b/>
          <w:bCs/>
          <w:color w:val="000000"/>
          <w:spacing w:val="5"/>
          <w:sz w:val="24"/>
          <w:szCs w:val="24"/>
          <w:lang w:eastAsia="it-IT"/>
        </w:rPr>
        <w:lastRenderedPageBreak/>
        <w:t xml:space="preserve">dai dipendenti delle </w:t>
      </w:r>
      <w:proofErr w:type="spellStart"/>
      <w:r w:rsidRPr="007D38CD">
        <w:rPr>
          <w:rFonts w:ascii="Lato" w:eastAsia="Times New Roman" w:hAnsi="Lato" w:cs="Times New Roman"/>
          <w:b/>
          <w:bCs/>
          <w:color w:val="000000"/>
          <w:spacing w:val="5"/>
          <w:sz w:val="24"/>
          <w:szCs w:val="24"/>
          <w:lang w:eastAsia="it-IT"/>
        </w:rPr>
        <w:t>societa'</w:t>
      </w:r>
      <w:proofErr w:type="spellEnd"/>
      <w:r w:rsidRPr="007D38CD">
        <w:rPr>
          <w:rFonts w:ascii="Lato" w:eastAsia="Times New Roman" w:hAnsi="Lato" w:cs="Times New Roman"/>
          <w:b/>
          <w:bCs/>
          <w:color w:val="000000"/>
          <w:spacing w:val="5"/>
          <w:sz w:val="24"/>
          <w:szCs w:val="24"/>
          <w:lang w:eastAsia="it-IT"/>
        </w:rPr>
        <w:t xml:space="preserve"> in house, non distingue tra danno diretto e danno obliquo, incentrandosi sulla natura giuridica pubblica del soggetto danneggiato, indipendentemente dalla forma privatistica</w:t>
      </w:r>
      <w:r w:rsidRPr="007D38CD">
        <w:rPr>
          <w:rFonts w:ascii="Lato" w:eastAsia="Times New Roman" w:hAnsi="Lato" w:cs="Times New Roman"/>
          <w:color w:val="000000"/>
          <w:spacing w:val="5"/>
          <w:sz w:val="24"/>
          <w:szCs w:val="24"/>
          <w:lang w:eastAsia="it-IT"/>
        </w:rPr>
        <w:t>.</w:t>
      </w:r>
    </w:p>
    <w:p w14:paraId="421FAD41"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Tale disposizione si inserisce in un sistema che attribuisce alla Corte dei conti il potere di giudicare </w:t>
      </w:r>
      <w:r w:rsidRPr="007D38CD">
        <w:rPr>
          <w:rFonts w:ascii="Lato" w:eastAsia="Times New Roman" w:hAnsi="Lato" w:cs="Times New Roman"/>
          <w:b/>
          <w:bCs/>
          <w:color w:val="000000"/>
          <w:spacing w:val="5"/>
          <w:sz w:val="24"/>
          <w:szCs w:val="24"/>
          <w:lang w:eastAsia="it-IT"/>
        </w:rPr>
        <w:t xml:space="preserve">sulla </w:t>
      </w:r>
      <w:proofErr w:type="spellStart"/>
      <w:r w:rsidRPr="007D38CD">
        <w:rPr>
          <w:rFonts w:ascii="Lato" w:eastAsia="Times New Roman" w:hAnsi="Lato" w:cs="Times New Roman"/>
          <w:b/>
          <w:bCs/>
          <w:color w:val="000000"/>
          <w:spacing w:val="5"/>
          <w:sz w:val="24"/>
          <w:szCs w:val="24"/>
          <w:lang w:eastAsia="it-IT"/>
        </w:rPr>
        <w:t>responsabilita'</w:t>
      </w:r>
      <w:proofErr w:type="spellEnd"/>
      <w:r w:rsidRPr="007D38CD">
        <w:rPr>
          <w:rFonts w:ascii="Lato" w:eastAsia="Times New Roman" w:hAnsi="Lato" w:cs="Times New Roman"/>
          <w:b/>
          <w:bCs/>
          <w:color w:val="000000"/>
          <w:spacing w:val="5"/>
          <w:sz w:val="24"/>
          <w:szCs w:val="24"/>
          <w:lang w:eastAsia="it-IT"/>
        </w:rPr>
        <w:t> amministrativa degli amministratori e dipendenti pubblici anche quando il danno sia stato cagionato ad amministrazioni o enti pubblici diversi da quelli di appartenenza (</w:t>
      </w:r>
      <w:hyperlink r:id="rId222" w:history="1">
        <w:r w:rsidRPr="007D38CD">
          <w:rPr>
            <w:rFonts w:ascii="Lato" w:eastAsia="Times New Roman" w:hAnsi="Lato" w:cs="Times New Roman"/>
            <w:b/>
            <w:bCs/>
            <w:color w:val="FFA403"/>
            <w:spacing w:val="5"/>
            <w:sz w:val="24"/>
            <w:szCs w:val="24"/>
            <w:lang w:eastAsia="it-IT"/>
          </w:rPr>
          <w:t>L. n. 20 del 1994</w:t>
        </w:r>
      </w:hyperlink>
      <w:r w:rsidRPr="007D38CD">
        <w:rPr>
          <w:rFonts w:ascii="Lato" w:eastAsia="Times New Roman" w:hAnsi="Lato" w:cs="Times New Roman"/>
          <w:b/>
          <w:bCs/>
          <w:color w:val="000000"/>
          <w:spacing w:val="5"/>
          <w:sz w:val="24"/>
          <w:szCs w:val="24"/>
          <w:lang w:eastAsia="it-IT"/>
        </w:rPr>
        <w:t>, art. 1, comma 4).</w:t>
      </w:r>
    </w:p>
    <w:p w14:paraId="544660DE"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b/>
          <w:bCs/>
          <w:color w:val="000000"/>
          <w:spacing w:val="5"/>
          <w:sz w:val="24"/>
          <w:szCs w:val="24"/>
          <w:lang w:eastAsia="it-IT"/>
        </w:rPr>
        <w:t xml:space="preserve">Il danno </w:t>
      </w:r>
      <w:proofErr w:type="spellStart"/>
      <w:proofErr w:type="gramStart"/>
      <w:r w:rsidRPr="007D38CD">
        <w:rPr>
          <w:rFonts w:ascii="Lato" w:eastAsia="Times New Roman" w:hAnsi="Lato" w:cs="Times New Roman"/>
          <w:b/>
          <w:bCs/>
          <w:color w:val="000000"/>
          <w:spacing w:val="5"/>
          <w:sz w:val="24"/>
          <w:szCs w:val="24"/>
          <w:lang w:eastAsia="it-IT"/>
        </w:rPr>
        <w:t>e'</w:t>
      </w:r>
      <w:proofErr w:type="spellEnd"/>
      <w:proofErr w:type="gramEnd"/>
      <w:r w:rsidRPr="007D38CD">
        <w:rPr>
          <w:rFonts w:ascii="Lato" w:eastAsia="Times New Roman" w:hAnsi="Lato" w:cs="Times New Roman"/>
          <w:b/>
          <w:bCs/>
          <w:color w:val="000000"/>
          <w:spacing w:val="5"/>
          <w:sz w:val="24"/>
          <w:szCs w:val="24"/>
          <w:lang w:eastAsia="it-IT"/>
        </w:rPr>
        <w:t xml:space="preserve"> da definirsi obliquo, siccome cagionato a un'amministrazione diversa da quella di appartenenza del dipendente</w:t>
      </w:r>
      <w:r w:rsidRPr="007D38CD">
        <w:rPr>
          <w:rFonts w:ascii="Lato" w:eastAsia="Times New Roman" w:hAnsi="Lato" w:cs="Times New Roman"/>
          <w:color w:val="000000"/>
          <w:spacing w:val="5"/>
          <w:sz w:val="24"/>
          <w:szCs w:val="24"/>
          <w:lang w:eastAsia="it-IT"/>
        </w:rPr>
        <w:t>.</w:t>
      </w:r>
    </w:p>
    <w:p w14:paraId="2AFEFEB7"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Oltre a trovare suffragio nel dettato positivo della </w:t>
      </w:r>
      <w:hyperlink r:id="rId223" w:history="1">
        <w:r w:rsidRPr="007D38CD">
          <w:rPr>
            <w:rFonts w:ascii="Lato" w:eastAsia="Times New Roman" w:hAnsi="Lato" w:cs="Times New Roman"/>
            <w:b/>
            <w:bCs/>
            <w:color w:val="FFA403"/>
            <w:spacing w:val="5"/>
            <w:sz w:val="24"/>
            <w:szCs w:val="24"/>
            <w:lang w:eastAsia="it-IT"/>
          </w:rPr>
          <w:t>L. n. 20 del 1994</w:t>
        </w:r>
      </w:hyperlink>
      <w:r w:rsidRPr="007D38CD">
        <w:rPr>
          <w:rFonts w:ascii="Lato" w:eastAsia="Times New Roman" w:hAnsi="Lato" w:cs="Times New Roman"/>
          <w:color w:val="000000"/>
          <w:spacing w:val="5"/>
          <w:sz w:val="24"/>
          <w:szCs w:val="24"/>
          <w:lang w:eastAsia="it-IT"/>
        </w:rPr>
        <w:t xml:space="preserve">, art. 1, comma 4, l'estensione della cerchia dei soggetti perseguibili si giustifica, nell'ottica della </w:t>
      </w:r>
      <w:proofErr w:type="spellStart"/>
      <w:r w:rsidRPr="007D38CD">
        <w:rPr>
          <w:rFonts w:ascii="Lato" w:eastAsia="Times New Roman" w:hAnsi="Lato" w:cs="Times New Roman"/>
          <w:color w:val="000000"/>
          <w:spacing w:val="5"/>
          <w:sz w:val="24"/>
          <w:szCs w:val="24"/>
          <w:lang w:eastAsia="it-IT"/>
        </w:rPr>
        <w:t>piu'</w:t>
      </w:r>
      <w:proofErr w:type="spellEnd"/>
      <w:r w:rsidRPr="007D38CD">
        <w:rPr>
          <w:rFonts w:ascii="Lato" w:eastAsia="Times New Roman" w:hAnsi="Lato" w:cs="Times New Roman"/>
          <w:color w:val="000000"/>
          <w:spacing w:val="5"/>
          <w:sz w:val="24"/>
          <w:szCs w:val="24"/>
          <w:lang w:eastAsia="it-IT"/>
        </w:rPr>
        <w:t xml:space="preserve"> ampia tutela del pubblico erario, in relazione al concetto di </w:t>
      </w:r>
      <w:proofErr w:type="spellStart"/>
      <w:r w:rsidRPr="007D38CD">
        <w:rPr>
          <w:rFonts w:ascii="Lato" w:eastAsia="Times New Roman" w:hAnsi="Lato" w:cs="Times New Roman"/>
          <w:color w:val="000000"/>
          <w:spacing w:val="5"/>
          <w:sz w:val="24"/>
          <w:szCs w:val="24"/>
          <w:lang w:eastAsia="it-IT"/>
        </w:rPr>
        <w:t>unitarieta'</w:t>
      </w:r>
      <w:proofErr w:type="spellEnd"/>
      <w:r w:rsidRPr="007D38CD">
        <w:rPr>
          <w:rFonts w:ascii="Lato" w:eastAsia="Times New Roman" w:hAnsi="Lato" w:cs="Times New Roman"/>
          <w:color w:val="000000"/>
          <w:spacing w:val="5"/>
          <w:sz w:val="24"/>
          <w:szCs w:val="24"/>
          <w:lang w:eastAsia="it-IT"/>
        </w:rPr>
        <w:t xml:space="preserve"> della finanza pubblica, in sintonia con le </w:t>
      </w:r>
      <w:proofErr w:type="spellStart"/>
      <w:r w:rsidRPr="007D38CD">
        <w:rPr>
          <w:rFonts w:ascii="Lato" w:eastAsia="Times New Roman" w:hAnsi="Lato" w:cs="Times New Roman"/>
          <w:color w:val="000000"/>
          <w:spacing w:val="5"/>
          <w:sz w:val="24"/>
          <w:szCs w:val="24"/>
          <w:lang w:eastAsia="it-IT"/>
        </w:rPr>
        <w:t>piu'</w:t>
      </w:r>
      <w:proofErr w:type="spellEnd"/>
      <w:r w:rsidRPr="007D38CD">
        <w:rPr>
          <w:rFonts w:ascii="Lato" w:eastAsia="Times New Roman" w:hAnsi="Lato" w:cs="Times New Roman"/>
          <w:color w:val="000000"/>
          <w:spacing w:val="5"/>
          <w:sz w:val="24"/>
          <w:szCs w:val="24"/>
          <w:lang w:eastAsia="it-IT"/>
        </w:rPr>
        <w:t xml:space="preserve"> recenti dinamiche della </w:t>
      </w:r>
      <w:proofErr w:type="spellStart"/>
      <w:r w:rsidRPr="007D38CD">
        <w:rPr>
          <w:rFonts w:ascii="Lato" w:eastAsia="Times New Roman" w:hAnsi="Lato" w:cs="Times New Roman"/>
          <w:color w:val="000000"/>
          <w:spacing w:val="5"/>
          <w:sz w:val="24"/>
          <w:szCs w:val="24"/>
          <w:lang w:eastAsia="it-IT"/>
        </w:rPr>
        <w:t>contabilita'</w:t>
      </w:r>
      <w:proofErr w:type="spellEnd"/>
      <w:r w:rsidRPr="007D38CD">
        <w:rPr>
          <w:rFonts w:ascii="Lato" w:eastAsia="Times New Roman" w:hAnsi="Lato" w:cs="Times New Roman"/>
          <w:color w:val="000000"/>
          <w:spacing w:val="5"/>
          <w:sz w:val="24"/>
          <w:szCs w:val="24"/>
          <w:lang w:eastAsia="it-IT"/>
        </w:rPr>
        <w:t xml:space="preserve"> di Stato e degli enti pubblici.</w:t>
      </w:r>
    </w:p>
    <w:p w14:paraId="137E72B2"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questo contesto, sono assoggettati alla giurisdizione della Corte dei conti anche coloro che, nell'ambito del rapporto di servizio e nell'esercizio delle proprie funzioni, abbiano cagionato un danno erariale - consistente nella fissazione di valori economici maggiorati e palesemente difformi dalle condizioni di mercato per una fornitura di piante da utilizzare nella realizzazione del sito per il grande evento della esposizione universale - ad altra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partecipata dallo stesso ente pubblico, che a quella di appartenenza dell'autore del danno abbia fatto ricorso per il raggiungimento dei propri scopi, utilizzando per la determinazione dei prezzi della fornitura complementare di essenze arboree le valutazioni tecniche, risultate erronee e deficitarie nei profili di stima, compiute dal dirigente.</w:t>
      </w:r>
    </w:p>
    <w:p w14:paraId="7502E3B0"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2. - Con il secondo motivo, il C. censura la violazione della </w:t>
      </w:r>
      <w:hyperlink r:id="rId224" w:history="1">
        <w:r w:rsidRPr="007D38CD">
          <w:rPr>
            <w:rFonts w:ascii="Lato" w:eastAsia="Times New Roman" w:hAnsi="Lato" w:cs="Times New Roman"/>
            <w:b/>
            <w:bCs/>
            <w:color w:val="FFA403"/>
            <w:spacing w:val="5"/>
            <w:sz w:val="24"/>
            <w:szCs w:val="24"/>
            <w:lang w:eastAsia="it-IT"/>
          </w:rPr>
          <w:t>L. n. 20 del 1994</w:t>
        </w:r>
      </w:hyperlink>
      <w:r w:rsidRPr="007D38CD">
        <w:rPr>
          <w:rFonts w:ascii="Lato" w:eastAsia="Times New Roman" w:hAnsi="Lato" w:cs="Times New Roman"/>
          <w:color w:val="000000"/>
          <w:spacing w:val="5"/>
          <w:sz w:val="24"/>
          <w:szCs w:val="24"/>
          <w:lang w:eastAsia="it-IT"/>
        </w:rPr>
        <w:t xml:space="preserve">, art. 1, comma 4. Il giudice contabile si sarebbe pronunciato in una materia in </w:t>
      </w:r>
      <w:proofErr w:type="spellStart"/>
      <w:r w:rsidRPr="007D38CD">
        <w:rPr>
          <w:rFonts w:ascii="Lato" w:eastAsia="Times New Roman" w:hAnsi="Lato" w:cs="Times New Roman"/>
          <w:color w:val="000000"/>
          <w:spacing w:val="5"/>
          <w:sz w:val="24"/>
          <w:szCs w:val="24"/>
          <w:lang w:eastAsia="it-IT"/>
        </w:rPr>
        <w:t>realta'</w:t>
      </w:r>
      <w:proofErr w:type="spellEnd"/>
      <w:r w:rsidRPr="007D38CD">
        <w:rPr>
          <w:rFonts w:ascii="Lato" w:eastAsia="Times New Roman" w:hAnsi="Lato" w:cs="Times New Roman"/>
          <w:color w:val="000000"/>
          <w:spacing w:val="5"/>
          <w:sz w:val="24"/>
          <w:szCs w:val="24"/>
          <w:lang w:eastAsia="it-IT"/>
        </w:rPr>
        <w:t xml:space="preserve"> attribuita alla giurisdizione ordinaria. In particolare, la Sezione giurisdizionale di appello della Corte dei conti avrebbe omesso di considerare la circostanza che, all'epoca dei fatti, il C., lungi dal rivestire l'incarico di amministratore o dipendente pubblico (necessario, ai sensi della </w:t>
      </w:r>
      <w:hyperlink r:id="rId225" w:history="1">
        <w:r w:rsidRPr="007D38CD">
          <w:rPr>
            <w:rFonts w:ascii="Lato" w:eastAsia="Times New Roman" w:hAnsi="Lato" w:cs="Times New Roman"/>
            <w:b/>
            <w:bCs/>
            <w:color w:val="FFA403"/>
            <w:spacing w:val="5"/>
            <w:sz w:val="24"/>
            <w:szCs w:val="24"/>
            <w:lang w:eastAsia="it-IT"/>
          </w:rPr>
          <w:t>L. n. 20 del 1994</w:t>
        </w:r>
      </w:hyperlink>
      <w:r w:rsidRPr="007D38CD">
        <w:rPr>
          <w:rFonts w:ascii="Lato" w:eastAsia="Times New Roman" w:hAnsi="Lato" w:cs="Times New Roman"/>
          <w:color w:val="000000"/>
          <w:spacing w:val="5"/>
          <w:sz w:val="24"/>
          <w:szCs w:val="24"/>
          <w:lang w:eastAsia="it-IT"/>
        </w:rPr>
        <w:t>, art. 1, comma 4, a radicare la giurisdizione contabile in simili fattispecie), intratteneva con la Metropolitana Milanese s.p.a. un rapporto di lavoro di natura privatistica, disciplinato dal contratto collettivo nazionale di lavoro Dirigenti di aziende produttrici di beni e servizi.</w:t>
      </w:r>
    </w:p>
    <w:p w14:paraId="0AE5CCA7"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2.1. - Il motivo deve essere disatteso.</w:t>
      </w:r>
    </w:p>
    <w:p w14:paraId="2CE8E3EF"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censura, infatti, fa leva su un dato non rilevante, ossia sulla natura privatistica, disciplinata dal CCNL Dirigenti di aziende produttrici di beni e servizi, del rapporto di lavoro </w:t>
      </w:r>
      <w:proofErr w:type="spellStart"/>
      <w:r w:rsidRPr="007D38CD">
        <w:rPr>
          <w:rFonts w:ascii="Lato" w:eastAsia="Times New Roman" w:hAnsi="Lato" w:cs="Times New Roman"/>
          <w:color w:val="000000"/>
          <w:spacing w:val="5"/>
          <w:sz w:val="24"/>
          <w:szCs w:val="24"/>
          <w:lang w:eastAsia="it-IT"/>
        </w:rPr>
        <w:t>dell'ing</w:t>
      </w:r>
      <w:proofErr w:type="spellEnd"/>
      <w:r w:rsidRPr="007D38CD">
        <w:rPr>
          <w:rFonts w:ascii="Lato" w:eastAsia="Times New Roman" w:hAnsi="Lato" w:cs="Times New Roman"/>
          <w:color w:val="000000"/>
          <w:spacing w:val="5"/>
          <w:sz w:val="24"/>
          <w:szCs w:val="24"/>
          <w:lang w:eastAsia="it-IT"/>
        </w:rPr>
        <w:t>. C. con Metropolitana Milanese.</w:t>
      </w:r>
    </w:p>
    <w:p w14:paraId="7D7D0350"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Anche il dirigente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in quanto inserito nell'apparato organizzativo della stessa, assume particolari vincoli ed obblighi funzionali ad assicurare il perseguimento delle esigenze generali.</w:t>
      </w:r>
    </w:p>
    <w:p w14:paraId="3FF51CCF"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E tanto basta ad integrare e a qualificare la relazione, tra l'autore dell'illecito 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danneggiata, in termini di rapporto di servizio, secondo movenze necessarie, ma anche sufficienti, per l'affermazione della giurisdizione contabile, a nulla rilevando che il rapporto di lavoro non fosse di pubblico impiego, ma avesse natura privatistica.</w:t>
      </w:r>
    </w:p>
    <w:p w14:paraId="395EF7B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3. - Con il terzo motivo del medesimo ricorso, la sentenza di appello viene censurata per aver ritenuto sussistente un rapporto di servizio fra il ricorrente 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Expo 2015, giungendo, per l'effetto, ad affermare erroneamente la giurisdizione contabile sulla fattispecie in esame.</w:t>
      </w:r>
    </w:p>
    <w:p w14:paraId="0B51B1AD"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primo luogo, l'affermazione della Sezione giurisdizionale di appello, secondo cui il C. avrebbe contribuito a ratificare un progetto con valori economici esorbitanti rispetto alle </w:t>
      </w:r>
      <w:r w:rsidRPr="007D38CD">
        <w:rPr>
          <w:rFonts w:ascii="Lato" w:eastAsia="Times New Roman" w:hAnsi="Lato" w:cs="Times New Roman"/>
          <w:color w:val="000000"/>
          <w:spacing w:val="5"/>
          <w:sz w:val="24"/>
          <w:szCs w:val="24"/>
          <w:lang w:eastAsia="it-IT"/>
        </w:rPr>
        <w:lastRenderedPageBreak/>
        <w:t xml:space="preserve">reali condizioni di mercato, contrasterebbe con l'effettivo inquadramento del medesimo nell'ambito della vicenda: egli, infatti, lungi dal ricoprire il ruolo di progettista responsabile, in </w:t>
      </w:r>
      <w:proofErr w:type="spellStart"/>
      <w:r w:rsidRPr="007D38CD">
        <w:rPr>
          <w:rFonts w:ascii="Lato" w:eastAsia="Times New Roman" w:hAnsi="Lato" w:cs="Times New Roman"/>
          <w:color w:val="000000"/>
          <w:spacing w:val="5"/>
          <w:sz w:val="24"/>
          <w:szCs w:val="24"/>
          <w:lang w:eastAsia="it-IT"/>
        </w:rPr>
        <w:t>realta'</w:t>
      </w:r>
      <w:proofErr w:type="spellEnd"/>
      <w:r w:rsidRPr="007D38CD">
        <w:rPr>
          <w:rFonts w:ascii="Lato" w:eastAsia="Times New Roman" w:hAnsi="Lato" w:cs="Times New Roman"/>
          <w:color w:val="000000"/>
          <w:spacing w:val="5"/>
          <w:sz w:val="24"/>
          <w:szCs w:val="24"/>
          <w:lang w:eastAsia="it-IT"/>
        </w:rPr>
        <w:t xml:space="preserve"> rivestito </w:t>
      </w:r>
      <w:proofErr w:type="spellStart"/>
      <w:r w:rsidRPr="007D38CD">
        <w:rPr>
          <w:rFonts w:ascii="Lato" w:eastAsia="Times New Roman" w:hAnsi="Lato" w:cs="Times New Roman"/>
          <w:color w:val="000000"/>
          <w:spacing w:val="5"/>
          <w:sz w:val="24"/>
          <w:szCs w:val="24"/>
          <w:lang w:eastAsia="it-IT"/>
        </w:rPr>
        <w:t>dall'ing</w:t>
      </w:r>
      <w:proofErr w:type="spellEnd"/>
      <w:r w:rsidRPr="007D38CD">
        <w:rPr>
          <w:rFonts w:ascii="Lato" w:eastAsia="Times New Roman" w:hAnsi="Lato" w:cs="Times New Roman"/>
          <w:color w:val="000000"/>
          <w:spacing w:val="5"/>
          <w:sz w:val="24"/>
          <w:szCs w:val="24"/>
          <w:lang w:eastAsia="it-IT"/>
        </w:rPr>
        <w:t xml:space="preserve">. T.R., avrebbe assunto, a far data dal 1 gennaio 2013, il ruolo di direttore tecnico di Metropolitana Milanese. Mentre tale ultima figura avrebbe </w:t>
      </w:r>
      <w:proofErr w:type="spellStart"/>
      <w:r w:rsidRPr="007D38CD">
        <w:rPr>
          <w:rFonts w:ascii="Lato" w:eastAsia="Times New Roman" w:hAnsi="Lato" w:cs="Times New Roman"/>
          <w:color w:val="000000"/>
          <w:spacing w:val="5"/>
          <w:sz w:val="24"/>
          <w:szCs w:val="24"/>
          <w:lang w:eastAsia="it-IT"/>
        </w:rPr>
        <w:t>avuto</w:t>
      </w:r>
      <w:proofErr w:type="spellEnd"/>
      <w:r w:rsidRPr="007D38CD">
        <w:rPr>
          <w:rFonts w:ascii="Lato" w:eastAsia="Times New Roman" w:hAnsi="Lato" w:cs="Times New Roman"/>
          <w:color w:val="000000"/>
          <w:spacing w:val="5"/>
          <w:sz w:val="24"/>
          <w:szCs w:val="24"/>
          <w:lang w:eastAsia="it-IT"/>
        </w:rPr>
        <w:t xml:space="preserve"> essenzialmente il compito di valutare la correttezza procedurale nello sviluppo dei progetti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Metropolitana Milanese in relazione agli standard aziendali e alle normative vigenti,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al responsabile tecnico, ossia </w:t>
      </w:r>
      <w:proofErr w:type="spellStart"/>
      <w:r w:rsidRPr="007D38CD">
        <w:rPr>
          <w:rFonts w:ascii="Lato" w:eastAsia="Times New Roman" w:hAnsi="Lato" w:cs="Times New Roman"/>
          <w:color w:val="000000"/>
          <w:spacing w:val="5"/>
          <w:sz w:val="24"/>
          <w:szCs w:val="24"/>
          <w:lang w:eastAsia="it-IT"/>
        </w:rPr>
        <w:t>all'ing</w:t>
      </w:r>
      <w:proofErr w:type="spellEnd"/>
      <w:r w:rsidRPr="007D38CD">
        <w:rPr>
          <w:rFonts w:ascii="Lato" w:eastAsia="Times New Roman" w:hAnsi="Lato" w:cs="Times New Roman"/>
          <w:color w:val="000000"/>
          <w:spacing w:val="5"/>
          <w:sz w:val="24"/>
          <w:szCs w:val="24"/>
          <w:lang w:eastAsia="it-IT"/>
        </w:rPr>
        <w:t>. T., che sarebbe riconducibile la redazione del progetto esecutivo e del computo metrico riferiti alla fornitura delle essenze arboree all'appaltatore del sito "(Omissis)".</w:t>
      </w:r>
    </w:p>
    <w:p w14:paraId="5819E1EF"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secondo luogo, dal punto di vista dei rapporti fra gli enti coinvolti nella vicenda, si rileva che, poiché il rapporto contrattuale sarebbe comunque intercorso fra il Comune di Milano 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Metropolitana Milanese, il ricorrente, dipendente di quest'ultima, non avrebbe mai avuto un rapporto diretto con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Expo 2015.</w:t>
      </w:r>
    </w:p>
    <w:p w14:paraId="73FD6E7B"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Il ricorrente sostiene che la sua posizione sarebbe sovrapponibile a quella del progettista di opere pubbliche che, agendo ai sensi dell'</w:t>
      </w:r>
      <w:hyperlink r:id="rId226" w:history="1">
        <w:r w:rsidRPr="007D38CD">
          <w:rPr>
            <w:rFonts w:ascii="Lato" w:eastAsia="Times New Roman" w:hAnsi="Lato" w:cs="Times New Roman"/>
            <w:b/>
            <w:bCs/>
            <w:color w:val="FFA403"/>
            <w:spacing w:val="5"/>
            <w:sz w:val="24"/>
            <w:szCs w:val="24"/>
            <w:lang w:eastAsia="it-IT"/>
          </w:rPr>
          <w:t>art. 2222 c.c.</w:t>
        </w:r>
      </w:hyperlink>
      <w:r w:rsidRPr="007D38CD">
        <w:rPr>
          <w:rFonts w:ascii="Lato" w:eastAsia="Times New Roman" w:hAnsi="Lato" w:cs="Times New Roman"/>
          <w:color w:val="000000"/>
          <w:spacing w:val="5"/>
          <w:sz w:val="24"/>
          <w:szCs w:val="24"/>
          <w:lang w:eastAsia="it-IT"/>
        </w:rPr>
        <w:t xml:space="preserve">, si pone quale mera controparte contrattuale dell'ente pubblico, e non </w:t>
      </w:r>
      <w:proofErr w:type="spellStart"/>
      <w:r w:rsidRPr="007D38CD">
        <w:rPr>
          <w:rFonts w:ascii="Lato" w:eastAsia="Times New Roman" w:hAnsi="Lato" w:cs="Times New Roman"/>
          <w:color w:val="000000"/>
          <w:spacing w:val="5"/>
          <w:sz w:val="24"/>
          <w:szCs w:val="24"/>
          <w:lang w:eastAsia="it-IT"/>
        </w:rPr>
        <w:t>gia'</w:t>
      </w:r>
      <w:proofErr w:type="spellEnd"/>
      <w:r w:rsidRPr="007D38CD">
        <w:rPr>
          <w:rFonts w:ascii="Lato" w:eastAsia="Times New Roman" w:hAnsi="Lato" w:cs="Times New Roman"/>
          <w:color w:val="000000"/>
          <w:spacing w:val="5"/>
          <w:sz w:val="24"/>
          <w:szCs w:val="24"/>
          <w:lang w:eastAsia="it-IT"/>
        </w:rPr>
        <w:t xml:space="preserve"> quale soggetto inserito nell'apparato dell'amministrazione.</w:t>
      </w:r>
    </w:p>
    <w:p w14:paraId="5C844AA9"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3.1. - La doglianza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infondata e, in parte, inammissibile.</w:t>
      </w:r>
    </w:p>
    <w:p w14:paraId="5A311779"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3.2. - </w:t>
      </w:r>
      <w:proofErr w:type="gramStart"/>
      <w:r w:rsidRPr="007D38CD">
        <w:rPr>
          <w:rFonts w:ascii="Lato" w:eastAsia="Times New Roman" w:hAnsi="Lato" w:cs="Times New Roman"/>
          <w:color w:val="000000"/>
          <w:spacing w:val="5"/>
          <w:sz w:val="24"/>
          <w:szCs w:val="24"/>
          <w:lang w:eastAsia="it-IT"/>
        </w:rPr>
        <w:t>E'</w:t>
      </w:r>
      <w:proofErr w:type="gramEnd"/>
      <w:r w:rsidRPr="007D38CD">
        <w:rPr>
          <w:rFonts w:ascii="Lato" w:eastAsia="Times New Roman" w:hAnsi="Lato" w:cs="Times New Roman"/>
          <w:color w:val="000000"/>
          <w:spacing w:val="5"/>
          <w:sz w:val="24"/>
          <w:szCs w:val="24"/>
          <w:lang w:eastAsia="it-IT"/>
        </w:rPr>
        <w:t xml:space="preserve"> infondata </w:t>
      </w:r>
      <w:proofErr w:type="spellStart"/>
      <w:r w:rsidRPr="007D38CD">
        <w:rPr>
          <w:rFonts w:ascii="Lato" w:eastAsia="Times New Roman" w:hAnsi="Lato" w:cs="Times New Roman"/>
          <w:color w:val="000000"/>
          <w:spacing w:val="5"/>
          <w:sz w:val="24"/>
          <w:szCs w:val="24"/>
          <w:lang w:eastAsia="it-IT"/>
        </w:rPr>
        <w:t>la'</w:t>
      </w:r>
      <w:proofErr w:type="spellEnd"/>
      <w:r w:rsidRPr="007D38CD">
        <w:rPr>
          <w:rFonts w:ascii="Lato" w:eastAsia="Times New Roman" w:hAnsi="Lato" w:cs="Times New Roman"/>
          <w:color w:val="000000"/>
          <w:spacing w:val="5"/>
          <w:sz w:val="24"/>
          <w:szCs w:val="24"/>
          <w:lang w:eastAsia="it-IT"/>
        </w:rPr>
        <w:t xml:space="preserve"> dove contesta la </w:t>
      </w:r>
      <w:proofErr w:type="spellStart"/>
      <w:r w:rsidRPr="007D38CD">
        <w:rPr>
          <w:rFonts w:ascii="Lato" w:eastAsia="Times New Roman" w:hAnsi="Lato" w:cs="Times New Roman"/>
          <w:color w:val="000000"/>
          <w:spacing w:val="5"/>
          <w:sz w:val="24"/>
          <w:szCs w:val="24"/>
          <w:lang w:eastAsia="it-IT"/>
        </w:rPr>
        <w:t>configurabilita'</w:t>
      </w:r>
      <w:proofErr w:type="spellEnd"/>
      <w:r w:rsidRPr="007D38CD">
        <w:rPr>
          <w:rFonts w:ascii="Lato" w:eastAsia="Times New Roman" w:hAnsi="Lato" w:cs="Times New Roman"/>
          <w:color w:val="000000"/>
          <w:spacing w:val="5"/>
          <w:sz w:val="24"/>
          <w:szCs w:val="24"/>
          <w:lang w:eastAsia="it-IT"/>
        </w:rPr>
        <w:t xml:space="preserve"> del rapporto di servizio per non essere mai stato, il C., alle dipendenze di Expo 2015 e per non avere mai fatto parte dell'apparato organizzativo di detta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w:t>
      </w:r>
    </w:p>
    <w:p w14:paraId="285E743F"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Il rapporto di servizio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stato, infatti, correttamente riconosciuto in considerazione sia dei rapporti tra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di cui il convenuto era dirigente (Metropolitana Milanese) 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danneggiata (Expo 2015), sia delle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che Metropolitana Milanese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stata incaricata di svolgere.</w:t>
      </w:r>
    </w:p>
    <w:p w14:paraId="4A9E4EF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Vale la pena di ribadire che Metropolitana Milanese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rispetto al Comune di Milano, socio di Expo 2015, anch'essa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e realizzatore del grande evento esposizione universale; e che Metropolitana Milanese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stata incaricata, su base convenzionale, di svolgere compiti di progettazione, necessari 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Expo per l'affidamento diretto di servizi, in tal modo concorrendo alla realizzazione di una </w:t>
      </w:r>
      <w:proofErr w:type="spellStart"/>
      <w:r w:rsidRPr="007D38CD">
        <w:rPr>
          <w:rFonts w:ascii="Lato" w:eastAsia="Times New Roman" w:hAnsi="Lato" w:cs="Times New Roman"/>
          <w:color w:val="000000"/>
          <w:spacing w:val="5"/>
          <w:sz w:val="24"/>
          <w:szCs w:val="24"/>
          <w:lang w:eastAsia="it-IT"/>
        </w:rPr>
        <w:t>finalita'</w:t>
      </w:r>
      <w:proofErr w:type="spellEnd"/>
      <w:r w:rsidRPr="007D38CD">
        <w:rPr>
          <w:rFonts w:ascii="Lato" w:eastAsia="Times New Roman" w:hAnsi="Lato" w:cs="Times New Roman"/>
          <w:color w:val="000000"/>
          <w:spacing w:val="5"/>
          <w:sz w:val="24"/>
          <w:szCs w:val="24"/>
          <w:lang w:eastAsia="it-IT"/>
        </w:rPr>
        <w:t xml:space="preserve"> di rilevante interesse pubblico.</w:t>
      </w:r>
    </w:p>
    <w:p w14:paraId="3647DE14"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questo contesto,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configurabile il rapporto di servizio, rilevante ai fini della giurisdizione della Corte dei conti, tra il dirigente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 incaricato della determinazione del computo metrico estimativo e del valore di mercato di una fornitura arborea nell'ambito di un appalto per la realizzazione di un impianto del sito per l'esposizione universale - e la stazione appaltante, costituita da altra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partecipata dallo stesso Comune, essendo sufficiente a configurare quel rapporto anche la relazione funzionale caratterizzata dall'inserimento del soggetto nell'iter procedimentale dell'ente committente, tale da rendere il primo compartecipe </w:t>
      </w:r>
      <w:proofErr w:type="spellStart"/>
      <w:r w:rsidRPr="007D38CD">
        <w:rPr>
          <w:rFonts w:ascii="Lato" w:eastAsia="Times New Roman" w:hAnsi="Lato" w:cs="Times New Roman"/>
          <w:color w:val="000000"/>
          <w:spacing w:val="5"/>
          <w:sz w:val="24"/>
          <w:szCs w:val="24"/>
          <w:lang w:eastAsia="it-IT"/>
        </w:rPr>
        <w:t>dell'attivita'</w:t>
      </w:r>
      <w:proofErr w:type="spellEnd"/>
      <w:r w:rsidRPr="007D38CD">
        <w:rPr>
          <w:rFonts w:ascii="Lato" w:eastAsia="Times New Roman" w:hAnsi="Lato" w:cs="Times New Roman"/>
          <w:color w:val="000000"/>
          <w:spacing w:val="5"/>
          <w:sz w:val="24"/>
          <w:szCs w:val="24"/>
          <w:lang w:eastAsia="it-IT"/>
        </w:rPr>
        <w:t xml:space="preserve"> del secondo; relazione, questa, senz'altro riscontrabile in fattispecie nella quale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del Comune che ha concorso alla realizzazione dell'evento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stata incaricata di svolgere le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inerenti alla progettazione, fungendo </w:t>
      </w:r>
      <w:proofErr w:type="spellStart"/>
      <w:r w:rsidRPr="007D38CD">
        <w:rPr>
          <w:rFonts w:ascii="Lato" w:eastAsia="Times New Roman" w:hAnsi="Lato" w:cs="Times New Roman"/>
          <w:color w:val="000000"/>
          <w:spacing w:val="5"/>
          <w:sz w:val="24"/>
          <w:szCs w:val="24"/>
          <w:lang w:eastAsia="it-IT"/>
        </w:rPr>
        <w:t>cosi'</w:t>
      </w:r>
      <w:proofErr w:type="spellEnd"/>
      <w:r w:rsidRPr="007D38CD">
        <w:rPr>
          <w:rFonts w:ascii="Lato" w:eastAsia="Times New Roman" w:hAnsi="Lato" w:cs="Times New Roman"/>
          <w:color w:val="000000"/>
          <w:spacing w:val="5"/>
          <w:sz w:val="24"/>
          <w:szCs w:val="24"/>
          <w:lang w:eastAsia="it-IT"/>
        </w:rPr>
        <w:t xml:space="preserve"> da supporto tecnico necessario alla stazione appaltante per l'affidamento diretto dell'opera complementare.</w:t>
      </w:r>
    </w:p>
    <w:p w14:paraId="7E1F6D4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3.3. - Il motivo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poi, inammissibile </w:t>
      </w:r>
      <w:proofErr w:type="spellStart"/>
      <w:r w:rsidRPr="007D38CD">
        <w:rPr>
          <w:rFonts w:ascii="Lato" w:eastAsia="Times New Roman" w:hAnsi="Lato" w:cs="Times New Roman"/>
          <w:color w:val="000000"/>
          <w:spacing w:val="5"/>
          <w:sz w:val="24"/>
          <w:szCs w:val="24"/>
          <w:lang w:eastAsia="it-IT"/>
        </w:rPr>
        <w:t>la'</w:t>
      </w:r>
      <w:proofErr w:type="spellEnd"/>
      <w:r w:rsidRPr="007D38CD">
        <w:rPr>
          <w:rFonts w:ascii="Lato" w:eastAsia="Times New Roman" w:hAnsi="Lato" w:cs="Times New Roman"/>
          <w:color w:val="000000"/>
          <w:spacing w:val="5"/>
          <w:sz w:val="24"/>
          <w:szCs w:val="24"/>
          <w:lang w:eastAsia="it-IT"/>
        </w:rPr>
        <w:t xml:space="preserve"> dove contesta che il giudice contabile d'appello non abbia delineato, con sufficiente precisione, il ruolo </w:t>
      </w:r>
      <w:proofErr w:type="spellStart"/>
      <w:r w:rsidRPr="007D38CD">
        <w:rPr>
          <w:rFonts w:ascii="Lato" w:eastAsia="Times New Roman" w:hAnsi="Lato" w:cs="Times New Roman"/>
          <w:color w:val="000000"/>
          <w:spacing w:val="5"/>
          <w:sz w:val="24"/>
          <w:szCs w:val="24"/>
          <w:lang w:eastAsia="it-IT"/>
        </w:rPr>
        <w:t>dell'ing</w:t>
      </w:r>
      <w:proofErr w:type="spellEnd"/>
      <w:r w:rsidRPr="007D38CD">
        <w:rPr>
          <w:rFonts w:ascii="Lato" w:eastAsia="Times New Roman" w:hAnsi="Lato" w:cs="Times New Roman"/>
          <w:color w:val="000000"/>
          <w:spacing w:val="5"/>
          <w:sz w:val="24"/>
          <w:szCs w:val="24"/>
          <w:lang w:eastAsia="it-IT"/>
        </w:rPr>
        <w:t xml:space="preserve">. C. all'interno di Metropolitana Milanese: trascurando di considerare che il progetto esecutivo e il computo metrico sarebbero stati in </w:t>
      </w:r>
      <w:proofErr w:type="spellStart"/>
      <w:r w:rsidRPr="007D38CD">
        <w:rPr>
          <w:rFonts w:ascii="Lato" w:eastAsia="Times New Roman" w:hAnsi="Lato" w:cs="Times New Roman"/>
          <w:color w:val="000000"/>
          <w:spacing w:val="5"/>
          <w:sz w:val="24"/>
          <w:szCs w:val="24"/>
          <w:lang w:eastAsia="it-IT"/>
        </w:rPr>
        <w:t>realta'</w:t>
      </w:r>
      <w:proofErr w:type="spellEnd"/>
      <w:r w:rsidRPr="007D38CD">
        <w:rPr>
          <w:rFonts w:ascii="Lato" w:eastAsia="Times New Roman" w:hAnsi="Lato" w:cs="Times New Roman"/>
          <w:color w:val="000000"/>
          <w:spacing w:val="5"/>
          <w:sz w:val="24"/>
          <w:szCs w:val="24"/>
          <w:lang w:eastAsia="it-IT"/>
        </w:rPr>
        <w:t xml:space="preserve"> redatti, non dal ricorrente, ma in via autonoma ed esclusiva </w:t>
      </w:r>
      <w:proofErr w:type="spellStart"/>
      <w:r w:rsidRPr="007D38CD">
        <w:rPr>
          <w:rFonts w:ascii="Lato" w:eastAsia="Times New Roman" w:hAnsi="Lato" w:cs="Times New Roman"/>
          <w:color w:val="000000"/>
          <w:spacing w:val="5"/>
          <w:sz w:val="24"/>
          <w:szCs w:val="24"/>
          <w:lang w:eastAsia="it-IT"/>
        </w:rPr>
        <w:t>dall'ing</w:t>
      </w:r>
      <w:proofErr w:type="spellEnd"/>
      <w:r w:rsidRPr="007D38CD">
        <w:rPr>
          <w:rFonts w:ascii="Lato" w:eastAsia="Times New Roman" w:hAnsi="Lato" w:cs="Times New Roman"/>
          <w:color w:val="000000"/>
          <w:spacing w:val="5"/>
          <w:sz w:val="24"/>
          <w:szCs w:val="24"/>
          <w:lang w:eastAsia="it-IT"/>
        </w:rPr>
        <w:t xml:space="preserve">. T., in </w:t>
      </w:r>
      <w:proofErr w:type="spellStart"/>
      <w:r w:rsidRPr="007D38CD">
        <w:rPr>
          <w:rFonts w:ascii="Lato" w:eastAsia="Times New Roman" w:hAnsi="Lato" w:cs="Times New Roman"/>
          <w:color w:val="000000"/>
          <w:spacing w:val="5"/>
          <w:sz w:val="24"/>
          <w:szCs w:val="24"/>
          <w:lang w:eastAsia="it-IT"/>
        </w:rPr>
        <w:t>qualita'</w:t>
      </w:r>
      <w:proofErr w:type="spellEnd"/>
      <w:r w:rsidRPr="007D38CD">
        <w:rPr>
          <w:rFonts w:ascii="Lato" w:eastAsia="Times New Roman" w:hAnsi="Lato" w:cs="Times New Roman"/>
          <w:color w:val="000000"/>
          <w:spacing w:val="5"/>
          <w:sz w:val="24"/>
          <w:szCs w:val="24"/>
          <w:lang w:eastAsia="it-IT"/>
        </w:rPr>
        <w:t xml:space="preserve"> di progettista responsabile, di cui il C. non sarebbe stato neppure sovraordinato dirigente; cadendo in un "palese travisamento", giacché la </w:t>
      </w:r>
      <w:r w:rsidRPr="007D38CD">
        <w:rPr>
          <w:rFonts w:ascii="Lato" w:eastAsia="Times New Roman" w:hAnsi="Lato" w:cs="Times New Roman"/>
          <w:color w:val="000000"/>
          <w:spacing w:val="5"/>
          <w:sz w:val="24"/>
          <w:szCs w:val="24"/>
          <w:lang w:eastAsia="it-IT"/>
        </w:rPr>
        <w:lastRenderedPageBreak/>
        <w:t xml:space="preserve">verifica e la validazione dei prezzi sarebbero state affidate da Expo 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w:t>
      </w:r>
      <w:proofErr w:type="spellStart"/>
      <w:r w:rsidRPr="007D38CD">
        <w:rPr>
          <w:rFonts w:ascii="Lato" w:eastAsia="Times New Roman" w:hAnsi="Lato" w:cs="Times New Roman"/>
          <w:color w:val="000000"/>
          <w:spacing w:val="5"/>
          <w:sz w:val="24"/>
          <w:szCs w:val="24"/>
          <w:lang w:eastAsia="it-IT"/>
        </w:rPr>
        <w:t>Conteco</w:t>
      </w:r>
      <w:proofErr w:type="spellEnd"/>
      <w:r w:rsidRPr="007D38CD">
        <w:rPr>
          <w:rFonts w:ascii="Lato" w:eastAsia="Times New Roman" w:hAnsi="Lato" w:cs="Times New Roman"/>
          <w:color w:val="000000"/>
          <w:spacing w:val="5"/>
          <w:sz w:val="24"/>
          <w:szCs w:val="24"/>
          <w:lang w:eastAsia="it-IT"/>
        </w:rPr>
        <w:t xml:space="preserve">; ancora, omettendo di rilevare che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C. non ha partecipato alla progettazione definitiva ed esecutiva del "Contratto Interferenze'".</w:t>
      </w:r>
    </w:p>
    <w:p w14:paraId="16AFDF43"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censura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inammissibile perché le questioni con essa sollevate incidono sui soli limiti interni della giurisdizione del giudice contabile e non ricadono nel sindacato per motivi di giurisdizione. Ad incardinare la giurisdizione della Corte dei conti, infatti,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necessaria e sufficiente l'allegazione di una fattispecie oggettivamente riconducibile allo schema del rapporto d'impiego o di servizio del suo preteso autore, mentre afferisce al merito ogni problema relativo alla sua effettiva esistenza (Cass., Sez. Un., 7 giugno 2012, n. 9188; Cass., Sez. Un., 7 dicembre 2016, n. 25042).</w:t>
      </w:r>
    </w:p>
    <w:p w14:paraId="7414D618"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4. - Con il quarto motivo, il ricorrente lamenta che il giudice contabile di appello abbia omesso di considerare </w:t>
      </w:r>
      <w:proofErr w:type="spellStart"/>
      <w:r w:rsidRPr="007D38CD">
        <w:rPr>
          <w:rFonts w:ascii="Lato" w:eastAsia="Times New Roman" w:hAnsi="Lato" w:cs="Times New Roman"/>
          <w:color w:val="000000"/>
          <w:spacing w:val="5"/>
          <w:sz w:val="24"/>
          <w:szCs w:val="24"/>
          <w:lang w:eastAsia="it-IT"/>
        </w:rPr>
        <w:t>l'impossibilita'</w:t>
      </w:r>
      <w:proofErr w:type="spellEnd"/>
      <w:r w:rsidRPr="007D38CD">
        <w:rPr>
          <w:rFonts w:ascii="Lato" w:eastAsia="Times New Roman" w:hAnsi="Lato" w:cs="Times New Roman"/>
          <w:color w:val="000000"/>
          <w:spacing w:val="5"/>
          <w:sz w:val="24"/>
          <w:szCs w:val="24"/>
          <w:lang w:eastAsia="it-IT"/>
        </w:rPr>
        <w:t xml:space="preserve"> di applicare il </w:t>
      </w:r>
      <w:hyperlink r:id="rId227" w:history="1">
        <w:r w:rsidRPr="007D38CD">
          <w:rPr>
            <w:rFonts w:ascii="Lato" w:eastAsia="Times New Roman" w:hAnsi="Lato" w:cs="Times New Roman"/>
            <w:b/>
            <w:bCs/>
            <w:color w:val="FFA403"/>
            <w:spacing w:val="5"/>
            <w:sz w:val="24"/>
            <w:szCs w:val="24"/>
            <w:lang w:eastAsia="it-IT"/>
          </w:rPr>
          <w:t>D.L.vo n. 175 del 2016</w:t>
        </w:r>
      </w:hyperlink>
      <w:r w:rsidRPr="007D38CD">
        <w:rPr>
          <w:rFonts w:ascii="Lato" w:eastAsia="Times New Roman" w:hAnsi="Lato" w:cs="Times New Roman"/>
          <w:color w:val="000000"/>
          <w:spacing w:val="5"/>
          <w:sz w:val="24"/>
          <w:szCs w:val="24"/>
          <w:lang w:eastAsia="it-IT"/>
        </w:rPr>
        <w:t xml:space="preserve">, art. 12 alle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che abbiano concluso il processo di quotazione in borsa entro il 23 settembre 2017, erroneamente ritenendo, per l'effetto, la propria giurisdizione sulla vicenda.</w:t>
      </w:r>
    </w:p>
    <w:p w14:paraId="5E663EDE"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particolare, si duole il C., la Corte dei conti avrebbe trascurato di considerare il combinato disposto dell'art. 2, comma 1, lett. p), e dell'art. 26, comma 5, del T.U. in materia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pubbliche, per effetto del quale tale normativa non sarebbe applicabile alle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che abbiano adottato gli atti volti all'emissione di strumenti finanziari entro il 30 giugno 2016 e concluso il processo di quotazione entro il 23 settembre 2017 (salvo, ai sensi dell'art. 1, comma 5 medesimo D.L.vo, le disposizioni per esse espressamente previste, fra cui non rientrerebbe l'art. 12). Il ricorrente deduce che Metropolitana Milanese avrebbe emesso un prestito obbligazionario, quotato sul listino della Borsa di Dublino, nel dicembre 2016, </w:t>
      </w:r>
      <w:proofErr w:type="spellStart"/>
      <w:r w:rsidRPr="007D38CD">
        <w:rPr>
          <w:rFonts w:ascii="Lato" w:eastAsia="Times New Roman" w:hAnsi="Lato" w:cs="Times New Roman"/>
          <w:color w:val="000000"/>
          <w:spacing w:val="5"/>
          <w:sz w:val="24"/>
          <w:szCs w:val="24"/>
          <w:lang w:eastAsia="it-IT"/>
        </w:rPr>
        <w:t>cio'</w:t>
      </w:r>
      <w:proofErr w:type="spellEnd"/>
      <w:r w:rsidRPr="007D38CD">
        <w:rPr>
          <w:rFonts w:ascii="Lato" w:eastAsia="Times New Roman" w:hAnsi="Lato" w:cs="Times New Roman"/>
          <w:color w:val="000000"/>
          <w:spacing w:val="5"/>
          <w:sz w:val="24"/>
          <w:szCs w:val="24"/>
          <w:lang w:eastAsia="it-IT"/>
        </w:rPr>
        <w:t xml:space="preserve"> che la renderebbe esente dall'applicazione dell'art. 12 in tema di </w:t>
      </w:r>
      <w:proofErr w:type="spellStart"/>
      <w:r w:rsidRPr="007D38CD">
        <w:rPr>
          <w:rFonts w:ascii="Lato" w:eastAsia="Times New Roman" w:hAnsi="Lato" w:cs="Times New Roman"/>
          <w:color w:val="000000"/>
          <w:spacing w:val="5"/>
          <w:sz w:val="24"/>
          <w:szCs w:val="24"/>
          <w:lang w:eastAsia="it-IT"/>
        </w:rPr>
        <w:t>responsabilita'</w:t>
      </w:r>
      <w:proofErr w:type="spellEnd"/>
      <w:r w:rsidRPr="007D38CD">
        <w:rPr>
          <w:rFonts w:ascii="Lato" w:eastAsia="Times New Roman" w:hAnsi="Lato" w:cs="Times New Roman"/>
          <w:color w:val="000000"/>
          <w:spacing w:val="5"/>
          <w:sz w:val="24"/>
          <w:szCs w:val="24"/>
          <w:lang w:eastAsia="it-IT"/>
        </w:rPr>
        <w:t xml:space="preserve"> dei componenti degli organi delle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partecipate.</w:t>
      </w:r>
    </w:p>
    <w:p w14:paraId="1386B713"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4.1. - Il motivo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inammissibile.</w:t>
      </w:r>
    </w:p>
    <w:p w14:paraId="322A0103"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censura muove dal presupposto che Metropolitana Milanese rientrerebbe nella nozione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quotata, ai fini dell'applicazione del T.U. approvato con il </w:t>
      </w:r>
      <w:hyperlink r:id="rId228" w:history="1">
        <w:r w:rsidRPr="007D38CD">
          <w:rPr>
            <w:rFonts w:ascii="Lato" w:eastAsia="Times New Roman" w:hAnsi="Lato" w:cs="Times New Roman"/>
            <w:b/>
            <w:bCs/>
            <w:color w:val="FFA403"/>
            <w:spacing w:val="5"/>
            <w:sz w:val="24"/>
            <w:szCs w:val="24"/>
            <w:lang w:eastAsia="it-IT"/>
          </w:rPr>
          <w:t>D.L.vo n. 175 del 2016</w:t>
        </w:r>
      </w:hyperlink>
      <w:r w:rsidRPr="007D38CD">
        <w:rPr>
          <w:rFonts w:ascii="Lato" w:eastAsia="Times New Roman" w:hAnsi="Lato" w:cs="Times New Roman"/>
          <w:color w:val="000000"/>
          <w:spacing w:val="5"/>
          <w:sz w:val="24"/>
          <w:szCs w:val="24"/>
          <w:lang w:eastAsia="it-IT"/>
        </w:rPr>
        <w:t xml:space="preserve">, sicché a tale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si applicherebbero solo le disposizioni del T.U. espressamente riferite a tale categoria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tra le quali non sarebbe compreso l'art. 12.</w:t>
      </w:r>
    </w:p>
    <w:p w14:paraId="107590E8"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Sennonché, il presupposto di fatto al quale si collega la censura - l'avere Metropolitana Milanese adottato atti volti all'emissione di strumenti finanziari quotati in mercati regolamentati - non risulta accertato dalla sentenza impugnata; ne' il testo del ricorso per cassazione - che richiama indistintamente le deduzioni difensive articolate da Metropolitana Milanese nel rispondere all'invito a dedurre della Procura regionale - consente di ritenere raggiunta con evidenza la dimostrazione della ricorrenza di tale presupposto di fatto.</w:t>
      </w:r>
    </w:p>
    <w:p w14:paraId="0944CC5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ogni caso,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decisiva la considerazione che la giurisdizione contabile nei confronti del ricorrente sussiste in relazione al danno arrecato 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pubblica Expo 2015.</w:t>
      </w:r>
    </w:p>
    <w:p w14:paraId="2F5F8743"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5. - Con un unico motivo di ricorso incidentale, articolato in due profili,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xml:space="preserve">. R. censura la sentenza d'appello per difetto di giurisdizione della Corte dei conti in relazione all'azione di </w:t>
      </w:r>
      <w:proofErr w:type="spellStart"/>
      <w:r w:rsidRPr="007D38CD">
        <w:rPr>
          <w:rFonts w:ascii="Lato" w:eastAsia="Times New Roman" w:hAnsi="Lato" w:cs="Times New Roman"/>
          <w:color w:val="000000"/>
          <w:spacing w:val="5"/>
          <w:sz w:val="24"/>
          <w:szCs w:val="24"/>
          <w:lang w:eastAsia="it-IT"/>
        </w:rPr>
        <w:t>responsabilita'</w:t>
      </w:r>
      <w:proofErr w:type="spellEnd"/>
      <w:r w:rsidRPr="007D38CD">
        <w:rPr>
          <w:rFonts w:ascii="Lato" w:eastAsia="Times New Roman" w:hAnsi="Lato" w:cs="Times New Roman"/>
          <w:color w:val="000000"/>
          <w:spacing w:val="5"/>
          <w:sz w:val="24"/>
          <w:szCs w:val="24"/>
          <w:lang w:eastAsia="it-IT"/>
        </w:rPr>
        <w:t xml:space="preserve"> per danno erariale contro di lui promossa.</w:t>
      </w:r>
    </w:p>
    <w:p w14:paraId="7ED4D98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primo luogo, in considerazione dell'inquadramento del R., quale direttore generale di Infrastrutture Lombarde s.p.a.,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distinta e separata da Expo 2015, nonché della natura non pubblicistica del suo ruolo e </w:t>
      </w:r>
      <w:proofErr w:type="spellStart"/>
      <w:r w:rsidRPr="007D38CD">
        <w:rPr>
          <w:rFonts w:ascii="Lato" w:eastAsia="Times New Roman" w:hAnsi="Lato" w:cs="Times New Roman"/>
          <w:color w:val="000000"/>
          <w:spacing w:val="5"/>
          <w:sz w:val="24"/>
          <w:szCs w:val="24"/>
          <w:lang w:eastAsia="it-IT"/>
        </w:rPr>
        <w:t>dell'attivita'</w:t>
      </w:r>
      <w:proofErr w:type="spellEnd"/>
      <w:r w:rsidRPr="007D38CD">
        <w:rPr>
          <w:rFonts w:ascii="Lato" w:eastAsia="Times New Roman" w:hAnsi="Lato" w:cs="Times New Roman"/>
          <w:color w:val="000000"/>
          <w:spacing w:val="5"/>
          <w:sz w:val="24"/>
          <w:szCs w:val="24"/>
          <w:lang w:eastAsia="it-IT"/>
        </w:rPr>
        <w:t xml:space="preserve"> svolta (di supporto ed assistenza al RUP P.A.), la Corte dei conti avrebbe dovuto ritenere insussistente qualsivoglia rapporto di servizio fra il ricorrente incidentale 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pubblica danneggiata.</w:t>
      </w:r>
    </w:p>
    <w:p w14:paraId="46A9CEC2"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secondo luogo, si duole il ricorrente in via incidentale, il giudice di appello contabile, nell'invocare l'art. 12 del T.U. in materia di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a partecipazione pubblica, che </w:t>
      </w:r>
      <w:r w:rsidRPr="007D38CD">
        <w:rPr>
          <w:rFonts w:ascii="Lato" w:eastAsia="Times New Roman" w:hAnsi="Lato" w:cs="Times New Roman"/>
          <w:color w:val="000000"/>
          <w:spacing w:val="5"/>
          <w:sz w:val="24"/>
          <w:szCs w:val="24"/>
          <w:lang w:eastAsia="it-IT"/>
        </w:rPr>
        <w:lastRenderedPageBreak/>
        <w:t xml:space="preserve">attribuisce alla giurisdizione della Corte dei conti le controversie aventi ad oggetto il danno erariale causato dagli amministratori e dai dipendenti delle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avrebbe omesso di considerare che </w:t>
      </w:r>
      <w:proofErr w:type="spellStart"/>
      <w:r w:rsidRPr="007D38CD">
        <w:rPr>
          <w:rFonts w:ascii="Lato" w:eastAsia="Times New Roman" w:hAnsi="Lato" w:cs="Times New Roman"/>
          <w:color w:val="000000"/>
          <w:spacing w:val="5"/>
          <w:sz w:val="24"/>
          <w:szCs w:val="24"/>
          <w:lang w:eastAsia="it-IT"/>
        </w:rPr>
        <w:t>l'eccezionalita'</w:t>
      </w:r>
      <w:proofErr w:type="spellEnd"/>
      <w:r w:rsidRPr="007D38CD">
        <w:rPr>
          <w:rFonts w:ascii="Lato" w:eastAsia="Times New Roman" w:hAnsi="Lato" w:cs="Times New Roman"/>
          <w:color w:val="000000"/>
          <w:spacing w:val="5"/>
          <w:sz w:val="24"/>
          <w:szCs w:val="24"/>
          <w:lang w:eastAsia="it-IT"/>
        </w:rPr>
        <w:t xml:space="preserve"> della deroga alla </w:t>
      </w:r>
      <w:proofErr w:type="spellStart"/>
      <w:r w:rsidRPr="007D38CD">
        <w:rPr>
          <w:rFonts w:ascii="Lato" w:eastAsia="Times New Roman" w:hAnsi="Lato" w:cs="Times New Roman"/>
          <w:color w:val="000000"/>
          <w:spacing w:val="5"/>
          <w:sz w:val="24"/>
          <w:szCs w:val="24"/>
          <w:lang w:eastAsia="it-IT"/>
        </w:rPr>
        <w:t>potestas</w:t>
      </w:r>
      <w:proofErr w:type="spellEnd"/>
      <w:r w:rsidRPr="007D38CD">
        <w:rPr>
          <w:rFonts w:ascii="Lato" w:eastAsia="Times New Roman" w:hAnsi="Lato" w:cs="Times New Roman"/>
          <w:color w:val="000000"/>
          <w:spacing w:val="5"/>
          <w:sz w:val="24"/>
          <w:szCs w:val="24"/>
          <w:lang w:eastAsia="it-IT"/>
        </w:rPr>
        <w:t xml:space="preserve"> </w:t>
      </w:r>
      <w:proofErr w:type="spellStart"/>
      <w:r w:rsidRPr="007D38CD">
        <w:rPr>
          <w:rFonts w:ascii="Lato" w:eastAsia="Times New Roman" w:hAnsi="Lato" w:cs="Times New Roman"/>
          <w:color w:val="000000"/>
          <w:spacing w:val="5"/>
          <w:sz w:val="24"/>
          <w:szCs w:val="24"/>
          <w:lang w:eastAsia="it-IT"/>
        </w:rPr>
        <w:t>iudicandi</w:t>
      </w:r>
      <w:proofErr w:type="spellEnd"/>
      <w:r w:rsidRPr="007D38CD">
        <w:rPr>
          <w:rFonts w:ascii="Lato" w:eastAsia="Times New Roman" w:hAnsi="Lato" w:cs="Times New Roman"/>
          <w:color w:val="000000"/>
          <w:spacing w:val="5"/>
          <w:sz w:val="24"/>
          <w:szCs w:val="24"/>
          <w:lang w:eastAsia="it-IT"/>
        </w:rPr>
        <w:t xml:space="preserve"> del giudice ordinario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destinata ad operare solo in presenza di due ulteriori elementi: la </w:t>
      </w:r>
      <w:proofErr w:type="spellStart"/>
      <w:r w:rsidRPr="007D38CD">
        <w:rPr>
          <w:rFonts w:ascii="Lato" w:eastAsia="Times New Roman" w:hAnsi="Lato" w:cs="Times New Roman"/>
          <w:color w:val="000000"/>
          <w:spacing w:val="5"/>
          <w:sz w:val="24"/>
          <w:szCs w:val="24"/>
          <w:lang w:eastAsia="it-IT"/>
        </w:rPr>
        <w:t>riferibilita'</w:t>
      </w:r>
      <w:proofErr w:type="spellEnd"/>
      <w:r w:rsidRPr="007D38CD">
        <w:rPr>
          <w:rFonts w:ascii="Lato" w:eastAsia="Times New Roman" w:hAnsi="Lato" w:cs="Times New Roman"/>
          <w:color w:val="000000"/>
          <w:spacing w:val="5"/>
          <w:sz w:val="24"/>
          <w:szCs w:val="24"/>
          <w:lang w:eastAsia="it-IT"/>
        </w:rPr>
        <w:t xml:space="preserve"> del danno 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stessa e la sua pertinenza a servizi affidati a tale organismo specificamente nell'ambito del paradigma in house. Quanto al primo requisito,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xml:space="preserve">. R. avrebbe potuto essere soggetto alla giurisdizione della Corte dei conti solo in ipotesi di danno da lui arrecato alla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di cui era dirigente, ossia Infrastrutture Lombarde s.p.a., e non </w:t>
      </w:r>
      <w:proofErr w:type="spellStart"/>
      <w:r w:rsidRPr="007D38CD">
        <w:rPr>
          <w:rFonts w:ascii="Lato" w:eastAsia="Times New Roman" w:hAnsi="Lato" w:cs="Times New Roman"/>
          <w:color w:val="000000"/>
          <w:spacing w:val="5"/>
          <w:sz w:val="24"/>
          <w:szCs w:val="24"/>
          <w:lang w:eastAsia="it-IT"/>
        </w:rPr>
        <w:t>gia'</w:t>
      </w:r>
      <w:proofErr w:type="spellEnd"/>
      <w:r w:rsidRPr="007D38CD">
        <w:rPr>
          <w:rFonts w:ascii="Lato" w:eastAsia="Times New Roman" w:hAnsi="Lato" w:cs="Times New Roman"/>
          <w:color w:val="000000"/>
          <w:spacing w:val="5"/>
          <w:sz w:val="24"/>
          <w:szCs w:val="24"/>
          <w:lang w:eastAsia="it-IT"/>
        </w:rPr>
        <w:t xml:space="preserve"> ad Expo 2015 s.p.a., con la quale egli non avrebbe avuto alcun rapporto di lavoro. Quanto al secondo requisito, poi, le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rese dal R. ricadrebbero al di fuori del perimetro dell'affidamento in house, in virtu' della posizione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Infrastrutture Lombarde, operante al servizio della Regione Lombardia: per tale ragione, egli non potrebbe essere ritenuto responsabile per una vicenda, quale l'esposizione universale 2015, avente rilievo nazionale, estranea agli scopi precipui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della quale era dirigente.</w:t>
      </w:r>
    </w:p>
    <w:p w14:paraId="7B6DC3A9"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5.1. - Il motivo deve essere disatteso.</w:t>
      </w:r>
    </w:p>
    <w:p w14:paraId="3CF82CC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sentenza impugnata ha affermato la giurisdizione della Corte dei conti muovendo dalla natura pubblica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Infrastrutture Lombarde, di cui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xml:space="preserve">. R. era dirigente, e considerando il rapporto di servizio con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danneggiata, Expo 2015, per effetto di una convenzione idonea a determinare l'inserimento di Infrastrutture nell'iter procedimentale finalizzato all'esposizione universale. In forza della suddetta convenzione, rinnovata nel 2012, ad </w:t>
      </w:r>
      <w:proofErr w:type="spellStart"/>
      <w:r w:rsidRPr="007D38CD">
        <w:rPr>
          <w:rFonts w:ascii="Lato" w:eastAsia="Times New Roman" w:hAnsi="Lato" w:cs="Times New Roman"/>
          <w:color w:val="000000"/>
          <w:spacing w:val="5"/>
          <w:sz w:val="24"/>
          <w:szCs w:val="24"/>
          <w:lang w:eastAsia="it-IT"/>
        </w:rPr>
        <w:t>Ilspa</w:t>
      </w:r>
      <w:proofErr w:type="spellEnd"/>
      <w:r w:rsidRPr="007D38CD">
        <w:rPr>
          <w:rFonts w:ascii="Lato" w:eastAsia="Times New Roman" w:hAnsi="Lato" w:cs="Times New Roman"/>
          <w:color w:val="000000"/>
          <w:spacing w:val="5"/>
          <w:sz w:val="24"/>
          <w:szCs w:val="24"/>
          <w:lang w:eastAsia="it-IT"/>
        </w:rPr>
        <w:t xml:space="preserve"> era infatti demandata </w:t>
      </w:r>
      <w:proofErr w:type="spellStart"/>
      <w:r w:rsidRPr="007D38CD">
        <w:rPr>
          <w:rFonts w:ascii="Lato" w:eastAsia="Times New Roman" w:hAnsi="Lato" w:cs="Times New Roman"/>
          <w:color w:val="000000"/>
          <w:spacing w:val="5"/>
          <w:sz w:val="24"/>
          <w:szCs w:val="24"/>
          <w:lang w:eastAsia="it-IT"/>
        </w:rPr>
        <w:t>l'attivita'</w:t>
      </w:r>
      <w:proofErr w:type="spellEnd"/>
      <w:r w:rsidRPr="007D38CD">
        <w:rPr>
          <w:rFonts w:ascii="Lato" w:eastAsia="Times New Roman" w:hAnsi="Lato" w:cs="Times New Roman"/>
          <w:color w:val="000000"/>
          <w:spacing w:val="5"/>
          <w:sz w:val="24"/>
          <w:szCs w:val="24"/>
          <w:lang w:eastAsia="it-IT"/>
        </w:rPr>
        <w:t xml:space="preserve"> di assistenza e supporto al responsabile del procedimento e alla stazione appaltante sotto il profilo tecnico amministrativo e di gestione dei processi, al fine di valutare e verificare tempi, risorse e costi relativamente alla realizzazione delle opere.</w:t>
      </w:r>
    </w:p>
    <w:p w14:paraId="17DA5D82"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Tanto premesso, deve essere ribadito che ricade nella giurisdizione contabile il danno cagionato ad Expo,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partecipata anche dalla Regione Lombardia, tramite la condotta di un soggetto, il direttore generale di altra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della Regione Lombardia, Infrastrutture, incaricata di svolgere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di assistenza e supporto al responsabile del procedimento e alla stazione appaltante sotto il profilo tecnico amministrativo, verificando anche i costi relativi alla realizzazione delle opere.</w:t>
      </w:r>
    </w:p>
    <w:p w14:paraId="2F41F2D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Sussiste la giurisdizione contabile, sia perché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danneggiata dalla non </w:t>
      </w:r>
      <w:proofErr w:type="spellStart"/>
      <w:r w:rsidRPr="007D38CD">
        <w:rPr>
          <w:rFonts w:ascii="Lato" w:eastAsia="Times New Roman" w:hAnsi="Lato" w:cs="Times New Roman"/>
          <w:color w:val="000000"/>
          <w:spacing w:val="5"/>
          <w:sz w:val="24"/>
          <w:szCs w:val="24"/>
          <w:lang w:eastAsia="it-IT"/>
        </w:rPr>
        <w:t>congruita'</w:t>
      </w:r>
      <w:proofErr w:type="spellEnd"/>
      <w:r w:rsidRPr="007D38CD">
        <w:rPr>
          <w:rFonts w:ascii="Lato" w:eastAsia="Times New Roman" w:hAnsi="Lato" w:cs="Times New Roman"/>
          <w:color w:val="000000"/>
          <w:spacing w:val="5"/>
          <w:sz w:val="24"/>
          <w:szCs w:val="24"/>
          <w:lang w:eastAsia="it-IT"/>
        </w:rPr>
        <w:t xml:space="preserve"> economica della fornitura delle piante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una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sia perché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configurabile il rapporto di servizio tra Infrastrutture Lombarde, in nome e per conto della quale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xml:space="preserve">. R. ha agito, ed Expo, in considerazione dell'inserimento di Infrastrutture nell'iter procedimentale volto alla realizzazione degli scopi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Expo, in quanto, in base al rapporto convenzionale intervenuto fra le due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le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di assistenza e di supporto al responsabile del procedimento e alla stazione appaltante, anche sotto il profilo della valutazione e della verifica dei costi di realizzazione delle opere, sono state affidate ad </w:t>
      </w:r>
      <w:proofErr w:type="spellStart"/>
      <w:r w:rsidRPr="007D38CD">
        <w:rPr>
          <w:rFonts w:ascii="Lato" w:eastAsia="Times New Roman" w:hAnsi="Lato" w:cs="Times New Roman"/>
          <w:color w:val="000000"/>
          <w:spacing w:val="5"/>
          <w:sz w:val="24"/>
          <w:szCs w:val="24"/>
          <w:lang w:eastAsia="it-IT"/>
        </w:rPr>
        <w:t>Ilspa</w:t>
      </w:r>
      <w:proofErr w:type="spellEnd"/>
      <w:r w:rsidRPr="007D38CD">
        <w:rPr>
          <w:rFonts w:ascii="Lato" w:eastAsia="Times New Roman" w:hAnsi="Lato" w:cs="Times New Roman"/>
          <w:color w:val="000000"/>
          <w:spacing w:val="5"/>
          <w:sz w:val="24"/>
          <w:szCs w:val="24"/>
          <w:lang w:eastAsia="it-IT"/>
        </w:rPr>
        <w:t>.</w:t>
      </w:r>
    </w:p>
    <w:p w14:paraId="100DAE79"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In concreto, dalla sentenza impugnata risulta che </w:t>
      </w:r>
      <w:proofErr w:type="spellStart"/>
      <w:r w:rsidRPr="007D38CD">
        <w:rPr>
          <w:rFonts w:ascii="Lato" w:eastAsia="Times New Roman" w:hAnsi="Lato" w:cs="Times New Roman"/>
          <w:color w:val="000000"/>
          <w:spacing w:val="5"/>
          <w:sz w:val="24"/>
          <w:szCs w:val="24"/>
          <w:lang w:eastAsia="it-IT"/>
        </w:rPr>
        <w:t>l'ing</w:t>
      </w:r>
      <w:proofErr w:type="spellEnd"/>
      <w:r w:rsidRPr="007D38CD">
        <w:rPr>
          <w:rFonts w:ascii="Lato" w:eastAsia="Times New Roman" w:hAnsi="Lato" w:cs="Times New Roman"/>
          <w:color w:val="000000"/>
          <w:spacing w:val="5"/>
          <w:sz w:val="24"/>
          <w:szCs w:val="24"/>
          <w:lang w:eastAsia="it-IT"/>
        </w:rPr>
        <w:t xml:space="preserve">. R. ha assunto un ruolo preminente e decisivo per l'affidamento diretto della fornitura al raggruppamento temporaneo di imprese M., in violazione del principio di </w:t>
      </w:r>
      <w:proofErr w:type="spellStart"/>
      <w:r w:rsidRPr="007D38CD">
        <w:rPr>
          <w:rFonts w:ascii="Lato" w:eastAsia="Times New Roman" w:hAnsi="Lato" w:cs="Times New Roman"/>
          <w:color w:val="000000"/>
          <w:spacing w:val="5"/>
          <w:sz w:val="24"/>
          <w:szCs w:val="24"/>
          <w:lang w:eastAsia="it-IT"/>
        </w:rPr>
        <w:t>economicita'</w:t>
      </w:r>
      <w:proofErr w:type="spellEnd"/>
      <w:r w:rsidRPr="007D38CD">
        <w:rPr>
          <w:rFonts w:ascii="Lato" w:eastAsia="Times New Roman" w:hAnsi="Lato" w:cs="Times New Roman"/>
          <w:color w:val="000000"/>
          <w:spacing w:val="5"/>
          <w:sz w:val="24"/>
          <w:szCs w:val="24"/>
          <w:lang w:eastAsia="it-IT"/>
        </w:rPr>
        <w:t xml:space="preserve"> nella conclusione dei contratti pubblici.</w:t>
      </w:r>
    </w:p>
    <w:p w14:paraId="77EB0A4E"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Non rileva, pertanto, la </w:t>
      </w:r>
      <w:proofErr w:type="spellStart"/>
      <w:r w:rsidRPr="007D38CD">
        <w:rPr>
          <w:rFonts w:ascii="Lato" w:eastAsia="Times New Roman" w:hAnsi="Lato" w:cs="Times New Roman"/>
          <w:color w:val="000000"/>
          <w:spacing w:val="5"/>
          <w:sz w:val="24"/>
          <w:szCs w:val="24"/>
          <w:lang w:eastAsia="it-IT"/>
        </w:rPr>
        <w:t>diversita'</w:t>
      </w:r>
      <w:proofErr w:type="spellEnd"/>
      <w:r w:rsidRPr="007D38CD">
        <w:rPr>
          <w:rFonts w:ascii="Lato" w:eastAsia="Times New Roman" w:hAnsi="Lato" w:cs="Times New Roman"/>
          <w:color w:val="000000"/>
          <w:spacing w:val="5"/>
          <w:sz w:val="24"/>
          <w:szCs w:val="24"/>
          <w:lang w:eastAsia="it-IT"/>
        </w:rPr>
        <w:t xml:space="preserve"> soggettiva tra Expo e </w:t>
      </w:r>
      <w:proofErr w:type="spellStart"/>
      <w:r w:rsidRPr="007D38CD">
        <w:rPr>
          <w:rFonts w:ascii="Lato" w:eastAsia="Times New Roman" w:hAnsi="Lato" w:cs="Times New Roman"/>
          <w:color w:val="000000"/>
          <w:spacing w:val="5"/>
          <w:sz w:val="24"/>
          <w:szCs w:val="24"/>
          <w:lang w:eastAsia="it-IT"/>
        </w:rPr>
        <w:t>Ilspa</w:t>
      </w:r>
      <w:proofErr w:type="spellEnd"/>
      <w:r w:rsidRPr="007D38CD">
        <w:rPr>
          <w:rFonts w:ascii="Lato" w:eastAsia="Times New Roman" w:hAnsi="Lato" w:cs="Times New Roman"/>
          <w:color w:val="000000"/>
          <w:spacing w:val="5"/>
          <w:sz w:val="24"/>
          <w:szCs w:val="24"/>
          <w:lang w:eastAsia="it-IT"/>
        </w:rPr>
        <w:t xml:space="preserve">, dato che il danno cagionato alla prima deriva dalla condotta di un soggetto, direttore generale della seconda, inseritosi nell'iter procedimentale volto alla realizzazione degli scopi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Expo, avallando l'importo non congruo della fornitura e interloquendo </w:t>
      </w:r>
      <w:proofErr w:type="spellStart"/>
      <w:r w:rsidRPr="007D38CD">
        <w:rPr>
          <w:rFonts w:ascii="Lato" w:eastAsia="Times New Roman" w:hAnsi="Lato" w:cs="Times New Roman"/>
          <w:color w:val="000000"/>
          <w:spacing w:val="5"/>
          <w:sz w:val="24"/>
          <w:szCs w:val="24"/>
          <w:lang w:eastAsia="it-IT"/>
        </w:rPr>
        <w:t>sull'entita'</w:t>
      </w:r>
      <w:proofErr w:type="spellEnd"/>
      <w:r w:rsidRPr="007D38CD">
        <w:rPr>
          <w:rFonts w:ascii="Lato" w:eastAsia="Times New Roman" w:hAnsi="Lato" w:cs="Times New Roman"/>
          <w:color w:val="000000"/>
          <w:spacing w:val="5"/>
          <w:sz w:val="24"/>
          <w:szCs w:val="24"/>
          <w:lang w:eastAsia="it-IT"/>
        </w:rPr>
        <w:t xml:space="preserve"> dello sconto.</w:t>
      </w:r>
    </w:p>
    <w:p w14:paraId="0EF754F0"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lastRenderedPageBreak/>
        <w:t xml:space="preserve">Deve essere data </w:t>
      </w:r>
      <w:proofErr w:type="spellStart"/>
      <w:r w:rsidRPr="007D38CD">
        <w:rPr>
          <w:rFonts w:ascii="Lato" w:eastAsia="Times New Roman" w:hAnsi="Lato" w:cs="Times New Roman"/>
          <w:color w:val="000000"/>
          <w:spacing w:val="5"/>
          <w:sz w:val="24"/>
          <w:szCs w:val="24"/>
          <w:lang w:eastAsia="it-IT"/>
        </w:rPr>
        <w:t>continuita'</w:t>
      </w:r>
      <w:proofErr w:type="spellEnd"/>
      <w:r w:rsidRPr="007D38CD">
        <w:rPr>
          <w:rFonts w:ascii="Lato" w:eastAsia="Times New Roman" w:hAnsi="Lato" w:cs="Times New Roman"/>
          <w:color w:val="000000"/>
          <w:spacing w:val="5"/>
          <w:sz w:val="24"/>
          <w:szCs w:val="24"/>
          <w:lang w:eastAsia="it-IT"/>
        </w:rPr>
        <w:t xml:space="preserve"> al principio, costante nella giurisprudenza di questa Corte (v., tra le tante, Cass., Sez. Un., 20 gennaio 2022, n. 1782), secondo cui l'esistenza di una relazione funzionale tra l'ente pubblico danneggiato e l'autore dell'illecito causativo di un danno patrimoniale, che </w:t>
      </w:r>
      <w:proofErr w:type="spellStart"/>
      <w:r w:rsidRPr="007D38CD">
        <w:rPr>
          <w:rFonts w:ascii="Lato" w:eastAsia="Times New Roman" w:hAnsi="Lato" w:cs="Times New Roman"/>
          <w:color w:val="000000"/>
          <w:spacing w:val="5"/>
          <w:sz w:val="24"/>
          <w:szCs w:val="24"/>
          <w:lang w:eastAsia="it-IT"/>
        </w:rPr>
        <w:t>puo'</w:t>
      </w:r>
      <w:proofErr w:type="spellEnd"/>
      <w:r w:rsidRPr="007D38CD">
        <w:rPr>
          <w:rFonts w:ascii="Lato" w:eastAsia="Times New Roman" w:hAnsi="Lato" w:cs="Times New Roman"/>
          <w:color w:val="000000"/>
          <w:spacing w:val="5"/>
          <w:sz w:val="24"/>
          <w:szCs w:val="24"/>
          <w:lang w:eastAsia="it-IT"/>
        </w:rPr>
        <w:t xml:space="preserve"> anche essere un soggetto privato, risulta idonea a radicare la </w:t>
      </w:r>
      <w:proofErr w:type="spellStart"/>
      <w:r w:rsidRPr="007D38CD">
        <w:rPr>
          <w:rFonts w:ascii="Lato" w:eastAsia="Times New Roman" w:hAnsi="Lato" w:cs="Times New Roman"/>
          <w:color w:val="000000"/>
          <w:spacing w:val="5"/>
          <w:sz w:val="24"/>
          <w:szCs w:val="24"/>
          <w:lang w:eastAsia="it-IT"/>
        </w:rPr>
        <w:t>responsabilita'</w:t>
      </w:r>
      <w:proofErr w:type="spellEnd"/>
      <w:r w:rsidRPr="007D38CD">
        <w:rPr>
          <w:rFonts w:ascii="Lato" w:eastAsia="Times New Roman" w:hAnsi="Lato" w:cs="Times New Roman"/>
          <w:color w:val="000000"/>
          <w:spacing w:val="5"/>
          <w:sz w:val="24"/>
          <w:szCs w:val="24"/>
          <w:lang w:eastAsia="it-IT"/>
        </w:rPr>
        <w:t xml:space="preserve"> contabile, e tale relazione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configurabile non solo in costanza di un rapporto d'impiego in senso proprio e ristretto, ma anche in presenza di un rapporto di servizio, per tale intendendosi una relazione funzionale in virtu' della quale tale soggetto debba ritenersi inserito - in considerazione </w:t>
      </w:r>
      <w:proofErr w:type="spellStart"/>
      <w:r w:rsidRPr="007D38CD">
        <w:rPr>
          <w:rFonts w:ascii="Lato" w:eastAsia="Times New Roman" w:hAnsi="Lato" w:cs="Times New Roman"/>
          <w:color w:val="000000"/>
          <w:spacing w:val="5"/>
          <w:sz w:val="24"/>
          <w:szCs w:val="24"/>
          <w:lang w:eastAsia="it-IT"/>
        </w:rPr>
        <w:t>dell'attivita'</w:t>
      </w:r>
      <w:proofErr w:type="spellEnd"/>
      <w:r w:rsidRPr="007D38CD">
        <w:rPr>
          <w:rFonts w:ascii="Lato" w:eastAsia="Times New Roman" w:hAnsi="Lato" w:cs="Times New Roman"/>
          <w:color w:val="000000"/>
          <w:spacing w:val="5"/>
          <w:sz w:val="24"/>
          <w:szCs w:val="24"/>
          <w:lang w:eastAsia="it-IT"/>
        </w:rPr>
        <w:t xml:space="preserve"> svolta, ancorché temporaneamente o solo in via di fatto - nell'apparato organizzativo e nell'iter procedimentale dell'ente, </w:t>
      </w:r>
      <w:proofErr w:type="spellStart"/>
      <w:r w:rsidRPr="007D38CD">
        <w:rPr>
          <w:rFonts w:ascii="Lato" w:eastAsia="Times New Roman" w:hAnsi="Lato" w:cs="Times New Roman"/>
          <w:color w:val="000000"/>
          <w:spacing w:val="5"/>
          <w:sz w:val="24"/>
          <w:szCs w:val="24"/>
          <w:lang w:eastAsia="it-IT"/>
        </w:rPr>
        <w:t>si'</w:t>
      </w:r>
      <w:proofErr w:type="spellEnd"/>
      <w:r w:rsidRPr="007D38CD">
        <w:rPr>
          <w:rFonts w:ascii="Lato" w:eastAsia="Times New Roman" w:hAnsi="Lato" w:cs="Times New Roman"/>
          <w:color w:val="000000"/>
          <w:spacing w:val="5"/>
          <w:sz w:val="24"/>
          <w:szCs w:val="24"/>
          <w:lang w:eastAsia="it-IT"/>
        </w:rPr>
        <w:t xml:space="preserve"> da rendere il primo compartecipe dell'operato del secondo.</w:t>
      </w:r>
    </w:p>
    <w:p w14:paraId="418245BE"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La giurisprudenza di </w:t>
      </w:r>
      <w:proofErr w:type="spellStart"/>
      <w:r w:rsidRPr="007D38CD">
        <w:rPr>
          <w:rFonts w:ascii="Lato" w:eastAsia="Times New Roman" w:hAnsi="Lato" w:cs="Times New Roman"/>
          <w:color w:val="000000"/>
          <w:spacing w:val="5"/>
          <w:sz w:val="24"/>
          <w:szCs w:val="24"/>
          <w:lang w:eastAsia="it-IT"/>
        </w:rPr>
        <w:t>legittimita'</w:t>
      </w:r>
      <w:proofErr w:type="spellEnd"/>
      <w:r w:rsidRPr="007D38CD">
        <w:rPr>
          <w:rFonts w:ascii="Lato" w:eastAsia="Times New Roman" w:hAnsi="Lato" w:cs="Times New Roman"/>
          <w:color w:val="000000"/>
          <w:spacing w:val="5"/>
          <w:sz w:val="24"/>
          <w:szCs w:val="24"/>
          <w:lang w:eastAsia="it-IT"/>
        </w:rPr>
        <w:t xml:space="preserve"> ha definito con chiarezza i contorni della relazione di servizio costituente presupposto indefettibile della giurisdizione contabile su soggetti esterni alla P.A., costantemente individuandoli (Cass., Sez. Un., </w:t>
      </w:r>
      <w:proofErr w:type="gramStart"/>
      <w:r w:rsidRPr="007D38CD">
        <w:rPr>
          <w:rFonts w:ascii="Lato" w:eastAsia="Times New Roman" w:hAnsi="Lato" w:cs="Times New Roman"/>
          <w:color w:val="000000"/>
          <w:spacing w:val="5"/>
          <w:sz w:val="24"/>
          <w:szCs w:val="24"/>
          <w:lang w:eastAsia="it-IT"/>
        </w:rPr>
        <w:t>1 aprile</w:t>
      </w:r>
      <w:proofErr w:type="gramEnd"/>
      <w:r w:rsidRPr="007D38CD">
        <w:rPr>
          <w:rFonts w:ascii="Lato" w:eastAsia="Times New Roman" w:hAnsi="Lato" w:cs="Times New Roman"/>
          <w:color w:val="000000"/>
          <w:spacing w:val="5"/>
          <w:sz w:val="24"/>
          <w:szCs w:val="24"/>
          <w:lang w:eastAsia="it-IT"/>
        </w:rPr>
        <w:t xml:space="preserve"> 2020, n. 7640; Cass., Sez. Un., 14 settembre 2020, n. 19086):</w:t>
      </w:r>
    </w:p>
    <w:p w14:paraId="3DBA5999"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 nell'attribuzione al soggetto privato esterno dell'incarico di svolgere, nell'interesse e con le risorse della P.A., </w:t>
      </w:r>
      <w:proofErr w:type="spellStart"/>
      <w:r w:rsidRPr="007D38CD">
        <w:rPr>
          <w:rFonts w:ascii="Lato" w:eastAsia="Times New Roman" w:hAnsi="Lato" w:cs="Times New Roman"/>
          <w:color w:val="000000"/>
          <w:spacing w:val="5"/>
          <w:sz w:val="24"/>
          <w:szCs w:val="24"/>
          <w:lang w:eastAsia="it-IT"/>
        </w:rPr>
        <w:t>un'attivita'</w:t>
      </w:r>
      <w:proofErr w:type="spellEnd"/>
      <w:r w:rsidRPr="007D38CD">
        <w:rPr>
          <w:rFonts w:ascii="Lato" w:eastAsia="Times New Roman" w:hAnsi="Lato" w:cs="Times New Roman"/>
          <w:color w:val="000000"/>
          <w:spacing w:val="5"/>
          <w:sz w:val="24"/>
          <w:szCs w:val="24"/>
          <w:lang w:eastAsia="it-IT"/>
        </w:rPr>
        <w:t xml:space="preserve"> o un servizio pubblico in sua vece e con suo inserimento nell'apparato organizzativo della stessa;</w:t>
      </w:r>
    </w:p>
    <w:p w14:paraId="310C18AD"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 nella </w:t>
      </w:r>
      <w:proofErr w:type="spellStart"/>
      <w:r w:rsidRPr="007D38CD">
        <w:rPr>
          <w:rFonts w:ascii="Lato" w:eastAsia="Times New Roman" w:hAnsi="Lato" w:cs="Times New Roman"/>
          <w:color w:val="000000"/>
          <w:spacing w:val="5"/>
          <w:sz w:val="24"/>
          <w:szCs w:val="24"/>
          <w:lang w:eastAsia="it-IT"/>
        </w:rPr>
        <w:t>idoneita'</w:t>
      </w:r>
      <w:proofErr w:type="spellEnd"/>
      <w:r w:rsidRPr="007D38CD">
        <w:rPr>
          <w:rFonts w:ascii="Lato" w:eastAsia="Times New Roman" w:hAnsi="Lato" w:cs="Times New Roman"/>
          <w:color w:val="000000"/>
          <w:spacing w:val="5"/>
          <w:sz w:val="24"/>
          <w:szCs w:val="24"/>
          <w:lang w:eastAsia="it-IT"/>
        </w:rPr>
        <w:t xml:space="preserve"> della relazione instauratasi tra privato ed ente pubblico a rendere il primo compartecipe dell'operato del secondo, </w:t>
      </w:r>
      <w:proofErr w:type="spellStart"/>
      <w:r w:rsidRPr="007D38CD">
        <w:rPr>
          <w:rFonts w:ascii="Lato" w:eastAsia="Times New Roman" w:hAnsi="Lato" w:cs="Times New Roman"/>
          <w:color w:val="000000"/>
          <w:spacing w:val="5"/>
          <w:sz w:val="24"/>
          <w:szCs w:val="24"/>
          <w:lang w:eastAsia="it-IT"/>
        </w:rPr>
        <w:t>cosi'</w:t>
      </w:r>
      <w:proofErr w:type="spellEnd"/>
      <w:r w:rsidRPr="007D38CD">
        <w:rPr>
          <w:rFonts w:ascii="Lato" w:eastAsia="Times New Roman" w:hAnsi="Lato" w:cs="Times New Roman"/>
          <w:color w:val="000000"/>
          <w:spacing w:val="5"/>
          <w:sz w:val="24"/>
          <w:szCs w:val="24"/>
          <w:lang w:eastAsia="it-IT"/>
        </w:rPr>
        <w:t xml:space="preserve"> da assumere la veste di vero e proprio agente dell'amministrazione, come tale tenuto ad osservare particolari vincoli ed obblighi funzionali ad assicurare il perseguimento delle esigenze generali cui </w:t>
      </w:r>
      <w:proofErr w:type="spellStart"/>
      <w:r w:rsidRPr="007D38CD">
        <w:rPr>
          <w:rFonts w:ascii="Lato" w:eastAsia="Times New Roman" w:hAnsi="Lato" w:cs="Times New Roman"/>
          <w:color w:val="000000"/>
          <w:spacing w:val="5"/>
          <w:sz w:val="24"/>
          <w:szCs w:val="24"/>
          <w:lang w:eastAsia="it-IT"/>
        </w:rPr>
        <w:t>l'attivita'</w:t>
      </w:r>
      <w:proofErr w:type="spellEnd"/>
      <w:r w:rsidRPr="007D38CD">
        <w:rPr>
          <w:rFonts w:ascii="Lato" w:eastAsia="Times New Roman" w:hAnsi="Lato" w:cs="Times New Roman"/>
          <w:color w:val="000000"/>
          <w:spacing w:val="5"/>
          <w:sz w:val="24"/>
          <w:szCs w:val="24"/>
          <w:lang w:eastAsia="it-IT"/>
        </w:rPr>
        <w:t xml:space="preserve"> amministrativa dell'ente, nel suo complesso,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preordinata;</w:t>
      </w:r>
    </w:p>
    <w:p w14:paraId="381B7360"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 nella irrilevanza del titolo della gestione </w:t>
      </w:r>
      <w:proofErr w:type="spellStart"/>
      <w:r w:rsidRPr="007D38CD">
        <w:rPr>
          <w:rFonts w:ascii="Lato" w:eastAsia="Times New Roman" w:hAnsi="Lato" w:cs="Times New Roman"/>
          <w:color w:val="000000"/>
          <w:spacing w:val="5"/>
          <w:sz w:val="24"/>
          <w:szCs w:val="24"/>
          <w:lang w:eastAsia="it-IT"/>
        </w:rPr>
        <w:t>dell'attivita'</w:t>
      </w:r>
      <w:proofErr w:type="spellEnd"/>
      <w:r w:rsidRPr="007D38CD">
        <w:rPr>
          <w:rFonts w:ascii="Lato" w:eastAsia="Times New Roman" w:hAnsi="Lato" w:cs="Times New Roman"/>
          <w:color w:val="000000"/>
          <w:spacing w:val="5"/>
          <w:sz w:val="24"/>
          <w:szCs w:val="24"/>
          <w:lang w:eastAsia="it-IT"/>
        </w:rPr>
        <w:t xml:space="preserve"> pubblica di cui il privato risulti investito, potendo questo titolo essere costituito tanto da un formale rapporto di pubblico impiego o di servizio, quanto da una concessione amministrativa o anche da un contratto di diritto privato; </w:t>
      </w:r>
      <w:proofErr w:type="spellStart"/>
      <w:r w:rsidRPr="007D38CD">
        <w:rPr>
          <w:rFonts w:ascii="Lato" w:eastAsia="Times New Roman" w:hAnsi="Lato" w:cs="Times New Roman"/>
          <w:color w:val="000000"/>
          <w:spacing w:val="5"/>
          <w:sz w:val="24"/>
          <w:szCs w:val="24"/>
          <w:lang w:eastAsia="it-IT"/>
        </w:rPr>
        <w:t>cosi'</w:t>
      </w:r>
      <w:proofErr w:type="spellEnd"/>
      <w:r w:rsidRPr="007D38CD">
        <w:rPr>
          <w:rFonts w:ascii="Lato" w:eastAsia="Times New Roman" w:hAnsi="Lato" w:cs="Times New Roman"/>
          <w:color w:val="000000"/>
          <w:spacing w:val="5"/>
          <w:sz w:val="24"/>
          <w:szCs w:val="24"/>
          <w:lang w:eastAsia="it-IT"/>
        </w:rPr>
        <w:t xml:space="preserve"> come anche mancare del tutto, con l'instaurazione di un rapporto non formalizzato e puramente di fatto;</w:t>
      </w:r>
    </w:p>
    <w:p w14:paraId="1025EB24"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 nella conseguente ininfluenza della circostanza che le concrete </w:t>
      </w:r>
      <w:proofErr w:type="spellStart"/>
      <w:r w:rsidRPr="007D38CD">
        <w:rPr>
          <w:rFonts w:ascii="Lato" w:eastAsia="Times New Roman" w:hAnsi="Lato" w:cs="Times New Roman"/>
          <w:color w:val="000000"/>
          <w:spacing w:val="5"/>
          <w:sz w:val="24"/>
          <w:szCs w:val="24"/>
          <w:lang w:eastAsia="it-IT"/>
        </w:rPr>
        <w:t>modalita'</w:t>
      </w:r>
      <w:proofErr w:type="spellEnd"/>
      <w:r w:rsidRPr="007D38CD">
        <w:rPr>
          <w:rFonts w:ascii="Lato" w:eastAsia="Times New Roman" w:hAnsi="Lato" w:cs="Times New Roman"/>
          <w:color w:val="000000"/>
          <w:spacing w:val="5"/>
          <w:sz w:val="24"/>
          <w:szCs w:val="24"/>
          <w:lang w:eastAsia="it-IT"/>
        </w:rPr>
        <w:t xml:space="preserve"> di svolgimento del servizio rispondano a quelle rientranti negli schemi generali previsti e disciplinati dalla legge per un determinato tipo di rapporto, oppure in tutto o in parte se ne discostino.</w:t>
      </w:r>
    </w:p>
    <w:p w14:paraId="19BA7F93"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Gli elementi sintomatici del rapporto di servizio sono qui senza dubbio ravvisabili.</w:t>
      </w:r>
    </w:p>
    <w:p w14:paraId="22BCE66C"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Segnatamente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ravvisabile, contrariamente alla prospettazione del ricorrente in via incidentale, l'elemento essenziale e caratteristico rappresentato dall'investitura di </w:t>
      </w:r>
      <w:proofErr w:type="spellStart"/>
      <w:r w:rsidRPr="007D38CD">
        <w:rPr>
          <w:rFonts w:ascii="Lato" w:eastAsia="Times New Roman" w:hAnsi="Lato" w:cs="Times New Roman"/>
          <w:color w:val="000000"/>
          <w:spacing w:val="5"/>
          <w:sz w:val="24"/>
          <w:szCs w:val="24"/>
          <w:lang w:eastAsia="it-IT"/>
        </w:rPr>
        <w:t>Ilspa</w:t>
      </w:r>
      <w:proofErr w:type="spellEnd"/>
      <w:r w:rsidRPr="007D38CD">
        <w:rPr>
          <w:rFonts w:ascii="Lato" w:eastAsia="Times New Roman" w:hAnsi="Lato" w:cs="Times New Roman"/>
          <w:color w:val="000000"/>
          <w:spacing w:val="5"/>
          <w:sz w:val="24"/>
          <w:szCs w:val="24"/>
          <w:lang w:eastAsia="it-IT"/>
        </w:rPr>
        <w:t>, di cui il R. era organo apicale, di funzioni strumentali al raggiungimento dei fini pubblici affidati a Expo.</w:t>
      </w:r>
    </w:p>
    <w:p w14:paraId="43E083AB"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Nel complesso rapporto che si </w:t>
      </w:r>
      <w:proofErr w:type="spellStart"/>
      <w:r w:rsidRPr="007D38CD">
        <w:rPr>
          <w:rFonts w:ascii="Lato" w:eastAsia="Times New Roman" w:hAnsi="Lato" w:cs="Times New Roman"/>
          <w:color w:val="000000"/>
          <w:spacing w:val="5"/>
          <w:sz w:val="24"/>
          <w:szCs w:val="24"/>
          <w:lang w:eastAsia="it-IT"/>
        </w:rPr>
        <w:t>e'</w:t>
      </w:r>
      <w:proofErr w:type="spellEnd"/>
      <w:r w:rsidRPr="007D38CD">
        <w:rPr>
          <w:rFonts w:ascii="Lato" w:eastAsia="Times New Roman" w:hAnsi="Lato" w:cs="Times New Roman"/>
          <w:color w:val="000000"/>
          <w:spacing w:val="5"/>
          <w:sz w:val="24"/>
          <w:szCs w:val="24"/>
          <w:lang w:eastAsia="it-IT"/>
        </w:rPr>
        <w:t xml:space="preserve"> instaurato fra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di scopo e di diritto speciale Expo 2015, il suo socio (Regione Lombardia) e 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di quest'ultimo (Infrastrutture Lombarde), risulta chiaro l'inserimento della </w:t>
      </w:r>
      <w:proofErr w:type="spellStart"/>
      <w:r w:rsidRPr="007D38CD">
        <w:rPr>
          <w:rFonts w:ascii="Lato" w:eastAsia="Times New Roman" w:hAnsi="Lato" w:cs="Times New Roman"/>
          <w:color w:val="000000"/>
          <w:spacing w:val="5"/>
          <w:sz w:val="24"/>
          <w:szCs w:val="24"/>
          <w:lang w:eastAsia="it-IT"/>
        </w:rPr>
        <w:t>societa'</w:t>
      </w:r>
      <w:proofErr w:type="spellEnd"/>
      <w:r w:rsidRPr="007D38CD">
        <w:rPr>
          <w:rFonts w:ascii="Lato" w:eastAsia="Times New Roman" w:hAnsi="Lato" w:cs="Times New Roman"/>
          <w:color w:val="000000"/>
          <w:spacing w:val="5"/>
          <w:sz w:val="24"/>
          <w:szCs w:val="24"/>
          <w:lang w:eastAsia="it-IT"/>
        </w:rPr>
        <w:t xml:space="preserve"> in house nell'iter procedimentale della stazione appaltante, con l'incarico di svolgere le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inerenti all'ambito amministrativo e alla direzione delle opere, involgenti </w:t>
      </w:r>
      <w:proofErr w:type="spellStart"/>
      <w:r w:rsidRPr="007D38CD">
        <w:rPr>
          <w:rFonts w:ascii="Lato" w:eastAsia="Times New Roman" w:hAnsi="Lato" w:cs="Times New Roman"/>
          <w:color w:val="000000"/>
          <w:spacing w:val="5"/>
          <w:sz w:val="24"/>
          <w:szCs w:val="24"/>
          <w:lang w:eastAsia="it-IT"/>
        </w:rPr>
        <w:t>attivita'</w:t>
      </w:r>
      <w:proofErr w:type="spellEnd"/>
      <w:r w:rsidRPr="007D38CD">
        <w:rPr>
          <w:rFonts w:ascii="Lato" w:eastAsia="Times New Roman" w:hAnsi="Lato" w:cs="Times New Roman"/>
          <w:color w:val="000000"/>
          <w:spacing w:val="5"/>
          <w:sz w:val="24"/>
          <w:szCs w:val="24"/>
          <w:lang w:eastAsia="it-IT"/>
        </w:rPr>
        <w:t xml:space="preserve"> di controllo e di vigilanza </w:t>
      </w:r>
      <w:proofErr w:type="spellStart"/>
      <w:r w:rsidRPr="007D38CD">
        <w:rPr>
          <w:rFonts w:ascii="Lato" w:eastAsia="Times New Roman" w:hAnsi="Lato" w:cs="Times New Roman"/>
          <w:color w:val="000000"/>
          <w:spacing w:val="5"/>
          <w:sz w:val="24"/>
          <w:szCs w:val="24"/>
          <w:lang w:eastAsia="it-IT"/>
        </w:rPr>
        <w:t>affinche</w:t>
      </w:r>
      <w:proofErr w:type="spellEnd"/>
      <w:r w:rsidRPr="007D38CD">
        <w:rPr>
          <w:rFonts w:ascii="Lato" w:eastAsia="Times New Roman" w:hAnsi="Lato" w:cs="Times New Roman"/>
          <w:color w:val="000000"/>
          <w:spacing w:val="5"/>
          <w:sz w:val="24"/>
          <w:szCs w:val="24"/>
          <w:lang w:eastAsia="it-IT"/>
        </w:rPr>
        <w:t xml:space="preserve">' gli affidamenti, tra cui quello relativo alla fornitura delle piante, fossero rispettosi dei principi di efficienza, efficacia ed </w:t>
      </w:r>
      <w:proofErr w:type="spellStart"/>
      <w:r w:rsidRPr="007D38CD">
        <w:rPr>
          <w:rFonts w:ascii="Lato" w:eastAsia="Times New Roman" w:hAnsi="Lato" w:cs="Times New Roman"/>
          <w:color w:val="000000"/>
          <w:spacing w:val="5"/>
          <w:sz w:val="24"/>
          <w:szCs w:val="24"/>
          <w:lang w:eastAsia="it-IT"/>
        </w:rPr>
        <w:t>economicita'</w:t>
      </w:r>
      <w:proofErr w:type="spellEnd"/>
      <w:r w:rsidRPr="007D38CD">
        <w:rPr>
          <w:rFonts w:ascii="Lato" w:eastAsia="Times New Roman" w:hAnsi="Lato" w:cs="Times New Roman"/>
          <w:color w:val="000000"/>
          <w:spacing w:val="5"/>
          <w:sz w:val="24"/>
          <w:szCs w:val="24"/>
          <w:lang w:eastAsia="it-IT"/>
        </w:rPr>
        <w:t xml:space="preserve"> della gestione, e quindi, in particolare, della </w:t>
      </w:r>
      <w:proofErr w:type="spellStart"/>
      <w:r w:rsidRPr="007D38CD">
        <w:rPr>
          <w:rFonts w:ascii="Lato" w:eastAsia="Times New Roman" w:hAnsi="Lato" w:cs="Times New Roman"/>
          <w:color w:val="000000"/>
          <w:spacing w:val="5"/>
          <w:sz w:val="24"/>
          <w:szCs w:val="24"/>
          <w:lang w:eastAsia="it-IT"/>
        </w:rPr>
        <w:t>congruita'</w:t>
      </w:r>
      <w:proofErr w:type="spellEnd"/>
      <w:r w:rsidRPr="007D38CD">
        <w:rPr>
          <w:rFonts w:ascii="Lato" w:eastAsia="Times New Roman" w:hAnsi="Lato" w:cs="Times New Roman"/>
          <w:color w:val="000000"/>
          <w:spacing w:val="5"/>
          <w:sz w:val="24"/>
          <w:szCs w:val="24"/>
          <w:lang w:eastAsia="it-IT"/>
        </w:rPr>
        <w:t xml:space="preserve"> dei prezzi.</w:t>
      </w:r>
    </w:p>
    <w:p w14:paraId="17280713"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6. - I ricorsi sono, entrambi, rigettati.</w:t>
      </w:r>
    </w:p>
    <w:p w14:paraId="75A4101B"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Non vi </w:t>
      </w:r>
      <w:proofErr w:type="spellStart"/>
      <w:proofErr w:type="gramStart"/>
      <w:r w:rsidRPr="007D38CD">
        <w:rPr>
          <w:rFonts w:ascii="Lato" w:eastAsia="Times New Roman" w:hAnsi="Lato" w:cs="Times New Roman"/>
          <w:color w:val="000000"/>
          <w:spacing w:val="5"/>
          <w:sz w:val="24"/>
          <w:szCs w:val="24"/>
          <w:lang w:eastAsia="it-IT"/>
        </w:rPr>
        <w:t>e'</w:t>
      </w:r>
      <w:proofErr w:type="spellEnd"/>
      <w:proofErr w:type="gramEnd"/>
      <w:r w:rsidRPr="007D38CD">
        <w:rPr>
          <w:rFonts w:ascii="Lato" w:eastAsia="Times New Roman" w:hAnsi="Lato" w:cs="Times New Roman"/>
          <w:color w:val="000000"/>
          <w:spacing w:val="5"/>
          <w:sz w:val="24"/>
          <w:szCs w:val="24"/>
          <w:lang w:eastAsia="it-IT"/>
        </w:rPr>
        <w:t xml:space="preserve"> luogo a pronuncia sulle spese, essendo il Procuratore Generale rappresentante il pubblico ministero presso la Corte dei conti parte soltanto in senso formale.</w:t>
      </w:r>
    </w:p>
    <w:p w14:paraId="320AE275"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 xml:space="preserve">7. - </w:t>
      </w:r>
      <w:proofErr w:type="spellStart"/>
      <w:r w:rsidRPr="007D38CD">
        <w:rPr>
          <w:rFonts w:ascii="Lato" w:eastAsia="Times New Roman" w:hAnsi="Lato" w:cs="Times New Roman"/>
          <w:color w:val="000000"/>
          <w:spacing w:val="5"/>
          <w:sz w:val="24"/>
          <w:szCs w:val="24"/>
          <w:lang w:eastAsia="it-IT"/>
        </w:rPr>
        <w:t>Poiche</w:t>
      </w:r>
      <w:proofErr w:type="spellEnd"/>
      <w:r w:rsidRPr="007D38CD">
        <w:rPr>
          <w:rFonts w:ascii="Lato" w:eastAsia="Times New Roman" w:hAnsi="Lato" w:cs="Times New Roman"/>
          <w:color w:val="000000"/>
          <w:spacing w:val="5"/>
          <w:sz w:val="24"/>
          <w:szCs w:val="24"/>
          <w:lang w:eastAsia="it-IT"/>
        </w:rPr>
        <w:t>' i ricorsi sono stati proposti successivamente al 30 gennaio 2013 e sono rigettati, ricorrono i presupposti processuali per dare atto - ai sensi della </w:t>
      </w:r>
      <w:hyperlink r:id="rId229" w:history="1">
        <w:r w:rsidRPr="007D38CD">
          <w:rPr>
            <w:rFonts w:ascii="Lato" w:eastAsia="Times New Roman" w:hAnsi="Lato" w:cs="Times New Roman"/>
            <w:b/>
            <w:bCs/>
            <w:color w:val="FFA403"/>
            <w:spacing w:val="5"/>
            <w:sz w:val="24"/>
            <w:szCs w:val="24"/>
            <w:lang w:eastAsia="it-IT"/>
          </w:rPr>
          <w:t>L. 24 dicembre 2012, n. 228, art. 1, comma 17,</w:t>
        </w:r>
      </w:hyperlink>
      <w:r w:rsidRPr="007D38CD">
        <w:rPr>
          <w:rFonts w:ascii="Lato" w:eastAsia="Times New Roman" w:hAnsi="Lato" w:cs="Times New Roman"/>
          <w:color w:val="000000"/>
          <w:spacing w:val="5"/>
          <w:sz w:val="24"/>
          <w:szCs w:val="24"/>
          <w:lang w:eastAsia="it-IT"/>
        </w:rPr>
        <w:t>che ha aggiunto il comma 1-quater al T.U. di cui al </w:t>
      </w:r>
      <w:hyperlink r:id="rId230" w:history="1">
        <w:r w:rsidRPr="007D38CD">
          <w:rPr>
            <w:rFonts w:ascii="Lato" w:eastAsia="Times New Roman" w:hAnsi="Lato" w:cs="Times New Roman"/>
            <w:b/>
            <w:bCs/>
            <w:color w:val="FFA403"/>
            <w:spacing w:val="5"/>
            <w:sz w:val="24"/>
            <w:szCs w:val="24"/>
            <w:lang w:eastAsia="it-IT"/>
          </w:rPr>
          <w:t xml:space="preserve">D.P.R. </w:t>
        </w:r>
        <w:r w:rsidRPr="007D38CD">
          <w:rPr>
            <w:rFonts w:ascii="Lato" w:eastAsia="Times New Roman" w:hAnsi="Lato" w:cs="Times New Roman"/>
            <w:b/>
            <w:bCs/>
            <w:color w:val="FFA403"/>
            <w:spacing w:val="5"/>
            <w:sz w:val="24"/>
            <w:szCs w:val="24"/>
            <w:lang w:eastAsia="it-IT"/>
          </w:rPr>
          <w:lastRenderedPageBreak/>
          <w:t>n. 115 del 2002</w:t>
        </w:r>
      </w:hyperlink>
      <w:r w:rsidRPr="007D38CD">
        <w:rPr>
          <w:rFonts w:ascii="Lato" w:eastAsia="Times New Roman" w:hAnsi="Lato" w:cs="Times New Roman"/>
          <w:color w:val="000000"/>
          <w:spacing w:val="5"/>
          <w:sz w:val="24"/>
          <w:szCs w:val="24"/>
          <w:lang w:eastAsia="it-IT"/>
        </w:rPr>
        <w:t>, art. 13 - della sussistenza dell'obbligo di versamento, da parte dei ricorrenti, dell'ulteriore importo a titolo di contributo unificato pari a quello previsto per la stessa impugnazione, se dovuto.</w:t>
      </w:r>
    </w:p>
    <w:p w14:paraId="669E65B6"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P.Q.M.</w:t>
      </w:r>
    </w:p>
    <w:p w14:paraId="65B0F4B2"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rigetta il ricorso principale e il ricorso incidentale.</w:t>
      </w:r>
    </w:p>
    <w:p w14:paraId="50A83AFD" w14:textId="77777777" w:rsidR="007D38CD" w:rsidRPr="007D38CD" w:rsidRDefault="007D38CD" w:rsidP="007D38CD">
      <w:pPr>
        <w:shd w:val="clear" w:color="auto" w:fill="FFFFFF"/>
        <w:spacing w:after="0" w:line="240" w:lineRule="auto"/>
        <w:jc w:val="both"/>
        <w:rPr>
          <w:rFonts w:ascii="Lato" w:eastAsia="Times New Roman" w:hAnsi="Lato" w:cs="Times New Roman"/>
          <w:color w:val="000000"/>
          <w:spacing w:val="5"/>
          <w:sz w:val="24"/>
          <w:szCs w:val="24"/>
          <w:lang w:eastAsia="it-IT"/>
        </w:rPr>
      </w:pPr>
      <w:r w:rsidRPr="007D38CD">
        <w:rPr>
          <w:rFonts w:ascii="Lato" w:eastAsia="Times New Roman" w:hAnsi="Lato" w:cs="Times New Roman"/>
          <w:color w:val="000000"/>
          <w:spacing w:val="5"/>
          <w:sz w:val="24"/>
          <w:szCs w:val="24"/>
          <w:lang w:eastAsia="it-IT"/>
        </w:rPr>
        <w:t>Ai sensi del </w:t>
      </w:r>
      <w:hyperlink r:id="rId231" w:history="1">
        <w:r w:rsidRPr="007D38CD">
          <w:rPr>
            <w:rFonts w:ascii="Lato" w:eastAsia="Times New Roman" w:hAnsi="Lato" w:cs="Times New Roman"/>
            <w:b/>
            <w:bCs/>
            <w:color w:val="FFA403"/>
            <w:spacing w:val="5"/>
            <w:sz w:val="24"/>
            <w:szCs w:val="24"/>
            <w:lang w:eastAsia="it-IT"/>
          </w:rPr>
          <w:t>D.P.R. n. 115 del 2002</w:t>
        </w:r>
      </w:hyperlink>
      <w:r w:rsidRPr="007D38CD">
        <w:rPr>
          <w:rFonts w:ascii="Lato" w:eastAsia="Times New Roman" w:hAnsi="Lato" w:cs="Times New Roman"/>
          <w:color w:val="000000"/>
          <w:spacing w:val="5"/>
          <w:sz w:val="24"/>
          <w:szCs w:val="24"/>
          <w:lang w:eastAsia="it-IT"/>
        </w:rPr>
        <w:t>, art. 13, comma 1 quater, inserito dalla </w:t>
      </w:r>
      <w:hyperlink r:id="rId232" w:history="1">
        <w:r w:rsidRPr="007D38CD">
          <w:rPr>
            <w:rFonts w:ascii="Lato" w:eastAsia="Times New Roman" w:hAnsi="Lato" w:cs="Times New Roman"/>
            <w:b/>
            <w:bCs/>
            <w:color w:val="FFA403"/>
            <w:spacing w:val="5"/>
            <w:sz w:val="24"/>
            <w:szCs w:val="24"/>
            <w:lang w:eastAsia="it-IT"/>
          </w:rPr>
          <w:t>L. 24 dicembre 2012, n. 228, art. 1, comma 17,</w:t>
        </w:r>
      </w:hyperlink>
      <w:r w:rsidRPr="007D38CD">
        <w:rPr>
          <w:rFonts w:ascii="Lato" w:eastAsia="Times New Roman" w:hAnsi="Lato" w:cs="Times New Roman"/>
          <w:color w:val="000000"/>
          <w:spacing w:val="5"/>
          <w:sz w:val="24"/>
          <w:szCs w:val="24"/>
          <w:lang w:eastAsia="it-IT"/>
        </w:rPr>
        <w:t>dichiara la sussistenza dei presupposti per il versamento, da parte dei ricorrenti, dell'ulteriore importo a titolo di contributo unificato pari a quello previsto per il ricorso, a norma dello stesso art. 13, comma 1 bis se dovuto.</w:t>
      </w:r>
    </w:p>
    <w:p w14:paraId="60EBCC15" w14:textId="77777777" w:rsidR="007D38CD" w:rsidRPr="007D38CD" w:rsidRDefault="007D38CD" w:rsidP="007D38CD">
      <w:pPr>
        <w:shd w:val="clear" w:color="auto" w:fill="FFFFFF"/>
        <w:spacing w:after="0" w:line="240" w:lineRule="auto"/>
        <w:rPr>
          <w:rFonts w:ascii="Lato" w:eastAsia="Times New Roman" w:hAnsi="Lato" w:cs="Times New Roman"/>
          <w:color w:val="000000"/>
          <w:spacing w:val="5"/>
          <w:sz w:val="24"/>
          <w:szCs w:val="24"/>
          <w:lang w:eastAsia="it-IT"/>
        </w:rPr>
      </w:pPr>
    </w:p>
    <w:p w14:paraId="3185BA2A" w14:textId="77777777" w:rsidR="007D38CD" w:rsidRDefault="007D38CD"/>
    <w:sectPr w:rsidR="007D38CD">
      <w:footerReference w:type="default" r:id="rId23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750B4" w14:textId="77777777" w:rsidR="00F10A1F" w:rsidRDefault="00F10A1F" w:rsidP="00545BEB">
      <w:pPr>
        <w:spacing w:after="0" w:line="240" w:lineRule="auto"/>
      </w:pPr>
      <w:r>
        <w:separator/>
      </w:r>
    </w:p>
  </w:endnote>
  <w:endnote w:type="continuationSeparator" w:id="0">
    <w:p w14:paraId="3322A5AF" w14:textId="77777777" w:rsidR="00F10A1F" w:rsidRDefault="00F10A1F" w:rsidP="0054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Lato">
    <w:charset w:val="00"/>
    <w:family w:val="swiss"/>
    <w:pitch w:val="variable"/>
    <w:sig w:usb0="E10002FF" w:usb1="5000ECFF" w:usb2="00000021" w:usb3="00000000" w:csb0="0000019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NRGlexFon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0220346"/>
      <w:docPartObj>
        <w:docPartGallery w:val="Page Numbers (Bottom of Page)"/>
        <w:docPartUnique/>
      </w:docPartObj>
    </w:sdtPr>
    <w:sdtContent>
      <w:p w14:paraId="4914DDAA" w14:textId="53EC6B41" w:rsidR="00545BEB" w:rsidRDefault="00545BEB">
        <w:pPr>
          <w:pStyle w:val="Pidipagina"/>
          <w:jc w:val="right"/>
        </w:pPr>
        <w:r>
          <w:fldChar w:fldCharType="begin"/>
        </w:r>
        <w:r>
          <w:instrText>PAGE   \* MERGEFORMAT</w:instrText>
        </w:r>
        <w:r>
          <w:fldChar w:fldCharType="separate"/>
        </w:r>
        <w:r>
          <w:t>2</w:t>
        </w:r>
        <w:r>
          <w:fldChar w:fldCharType="end"/>
        </w:r>
      </w:p>
    </w:sdtContent>
  </w:sdt>
  <w:p w14:paraId="4DC98403" w14:textId="77777777" w:rsidR="00545BEB" w:rsidRDefault="00545BE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5E9B6" w14:textId="77777777" w:rsidR="00F10A1F" w:rsidRDefault="00F10A1F" w:rsidP="00545BEB">
      <w:pPr>
        <w:spacing w:after="0" w:line="240" w:lineRule="auto"/>
      </w:pPr>
      <w:r>
        <w:separator/>
      </w:r>
    </w:p>
  </w:footnote>
  <w:footnote w:type="continuationSeparator" w:id="0">
    <w:p w14:paraId="549D5B4F" w14:textId="77777777" w:rsidR="00F10A1F" w:rsidRDefault="00F10A1F" w:rsidP="00545B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ED2"/>
    <w:rsid w:val="00005DBB"/>
    <w:rsid w:val="00011BE1"/>
    <w:rsid w:val="002120EF"/>
    <w:rsid w:val="00255E60"/>
    <w:rsid w:val="002E0ED2"/>
    <w:rsid w:val="003331C9"/>
    <w:rsid w:val="003923B8"/>
    <w:rsid w:val="00440DFC"/>
    <w:rsid w:val="00462404"/>
    <w:rsid w:val="004A45EE"/>
    <w:rsid w:val="005065E3"/>
    <w:rsid w:val="00517A16"/>
    <w:rsid w:val="00545BEB"/>
    <w:rsid w:val="00586BA0"/>
    <w:rsid w:val="0062188F"/>
    <w:rsid w:val="00692E4A"/>
    <w:rsid w:val="007275BA"/>
    <w:rsid w:val="00792D11"/>
    <w:rsid w:val="007D38CD"/>
    <w:rsid w:val="007E5E7F"/>
    <w:rsid w:val="00847370"/>
    <w:rsid w:val="008571E2"/>
    <w:rsid w:val="008A6007"/>
    <w:rsid w:val="00A2351A"/>
    <w:rsid w:val="00AE0DDB"/>
    <w:rsid w:val="00B34B36"/>
    <w:rsid w:val="00BE7CF9"/>
    <w:rsid w:val="00C103F1"/>
    <w:rsid w:val="00C57376"/>
    <w:rsid w:val="00CB4E04"/>
    <w:rsid w:val="00D05375"/>
    <w:rsid w:val="00D473EB"/>
    <w:rsid w:val="00E466E0"/>
    <w:rsid w:val="00E54AF5"/>
    <w:rsid w:val="00E63B19"/>
    <w:rsid w:val="00EB0C5D"/>
    <w:rsid w:val="00F10A1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D95B6"/>
  <w15:chartTrackingRefBased/>
  <w15:docId w15:val="{3F1C365B-4396-43E1-B5D4-982682C7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2E0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2E0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E0ED2"/>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E0ED2"/>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2E0ED2"/>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E0ED2"/>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E0ED2"/>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E0ED2"/>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E0ED2"/>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E0ED2"/>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E0ED2"/>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E0ED2"/>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E0ED2"/>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E0ED2"/>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E0ED2"/>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E0ED2"/>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E0ED2"/>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E0ED2"/>
    <w:rPr>
      <w:rFonts w:eastAsiaTheme="majorEastAsia" w:cstheme="majorBidi"/>
      <w:color w:val="272727" w:themeColor="text1" w:themeTint="D8"/>
    </w:rPr>
  </w:style>
  <w:style w:type="paragraph" w:styleId="Titolo">
    <w:name w:val="Title"/>
    <w:basedOn w:val="Normale"/>
    <w:next w:val="Normale"/>
    <w:link w:val="TitoloCarattere"/>
    <w:uiPriority w:val="10"/>
    <w:qFormat/>
    <w:rsid w:val="002E0E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E0ED2"/>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E0ED2"/>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E0ED2"/>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E0ED2"/>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E0ED2"/>
    <w:rPr>
      <w:i/>
      <w:iCs/>
      <w:color w:val="404040" w:themeColor="text1" w:themeTint="BF"/>
    </w:rPr>
  </w:style>
  <w:style w:type="paragraph" w:styleId="Paragrafoelenco">
    <w:name w:val="List Paragraph"/>
    <w:basedOn w:val="Normale"/>
    <w:uiPriority w:val="34"/>
    <w:qFormat/>
    <w:rsid w:val="002E0ED2"/>
    <w:pPr>
      <w:ind w:left="720"/>
      <w:contextualSpacing/>
    </w:pPr>
  </w:style>
  <w:style w:type="character" w:styleId="Enfasiintensa">
    <w:name w:val="Intense Emphasis"/>
    <w:basedOn w:val="Carpredefinitoparagrafo"/>
    <w:uiPriority w:val="21"/>
    <w:qFormat/>
    <w:rsid w:val="002E0ED2"/>
    <w:rPr>
      <w:i/>
      <w:iCs/>
      <w:color w:val="0F4761" w:themeColor="accent1" w:themeShade="BF"/>
    </w:rPr>
  </w:style>
  <w:style w:type="paragraph" w:styleId="Citazioneintensa">
    <w:name w:val="Intense Quote"/>
    <w:basedOn w:val="Normale"/>
    <w:next w:val="Normale"/>
    <w:link w:val="CitazioneintensaCarattere"/>
    <w:uiPriority w:val="30"/>
    <w:qFormat/>
    <w:rsid w:val="002E0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E0ED2"/>
    <w:rPr>
      <w:i/>
      <w:iCs/>
      <w:color w:val="0F4761" w:themeColor="accent1" w:themeShade="BF"/>
    </w:rPr>
  </w:style>
  <w:style w:type="character" w:styleId="Riferimentointenso">
    <w:name w:val="Intense Reference"/>
    <w:basedOn w:val="Carpredefinitoparagrafo"/>
    <w:uiPriority w:val="32"/>
    <w:qFormat/>
    <w:rsid w:val="002E0ED2"/>
    <w:rPr>
      <w:b/>
      <w:bCs/>
      <w:smallCaps/>
      <w:color w:val="0F4761" w:themeColor="accent1" w:themeShade="BF"/>
      <w:spacing w:val="5"/>
    </w:rPr>
  </w:style>
  <w:style w:type="paragraph" w:styleId="Intestazione">
    <w:name w:val="header"/>
    <w:basedOn w:val="Normale"/>
    <w:link w:val="IntestazioneCarattere"/>
    <w:uiPriority w:val="99"/>
    <w:unhideWhenUsed/>
    <w:rsid w:val="00545BE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5BEB"/>
  </w:style>
  <w:style w:type="paragraph" w:styleId="Pidipagina">
    <w:name w:val="footer"/>
    <w:basedOn w:val="Normale"/>
    <w:link w:val="PidipaginaCarattere"/>
    <w:uiPriority w:val="99"/>
    <w:unhideWhenUsed/>
    <w:rsid w:val="00545BE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5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90705">
      <w:bodyDiv w:val="1"/>
      <w:marLeft w:val="0"/>
      <w:marRight w:val="0"/>
      <w:marTop w:val="0"/>
      <w:marBottom w:val="0"/>
      <w:divBdr>
        <w:top w:val="none" w:sz="0" w:space="0" w:color="auto"/>
        <w:left w:val="none" w:sz="0" w:space="0" w:color="auto"/>
        <w:bottom w:val="none" w:sz="0" w:space="0" w:color="auto"/>
        <w:right w:val="none" w:sz="0" w:space="0" w:color="auto"/>
      </w:divBdr>
      <w:divsChild>
        <w:div w:id="837381213">
          <w:marLeft w:val="-225"/>
          <w:marRight w:val="-225"/>
          <w:marTop w:val="300"/>
          <w:marBottom w:val="0"/>
          <w:divBdr>
            <w:top w:val="none" w:sz="0" w:space="0" w:color="auto"/>
            <w:left w:val="none" w:sz="0" w:space="0" w:color="auto"/>
            <w:bottom w:val="none" w:sz="0" w:space="0" w:color="auto"/>
            <w:right w:val="none" w:sz="0" w:space="0" w:color="auto"/>
          </w:divBdr>
          <w:divsChild>
            <w:div w:id="1026172648">
              <w:marLeft w:val="0"/>
              <w:marRight w:val="0"/>
              <w:marTop w:val="0"/>
              <w:marBottom w:val="0"/>
              <w:divBdr>
                <w:top w:val="none" w:sz="0" w:space="0" w:color="auto"/>
                <w:left w:val="none" w:sz="0" w:space="0" w:color="auto"/>
                <w:bottom w:val="none" w:sz="0" w:space="0" w:color="auto"/>
                <w:right w:val="none" w:sz="0" w:space="0" w:color="auto"/>
              </w:divBdr>
            </w:div>
          </w:divsChild>
        </w:div>
        <w:div w:id="499084863">
          <w:marLeft w:val="0"/>
          <w:marRight w:val="0"/>
          <w:marTop w:val="0"/>
          <w:marBottom w:val="0"/>
          <w:divBdr>
            <w:top w:val="none" w:sz="0" w:space="0" w:color="auto"/>
            <w:left w:val="none" w:sz="0" w:space="0" w:color="auto"/>
            <w:bottom w:val="none" w:sz="0" w:space="0" w:color="auto"/>
            <w:right w:val="none" w:sz="0" w:space="0" w:color="auto"/>
          </w:divBdr>
          <w:divsChild>
            <w:div w:id="1327711568">
              <w:marLeft w:val="0"/>
              <w:marRight w:val="0"/>
              <w:marTop w:val="45"/>
              <w:marBottom w:val="0"/>
              <w:divBdr>
                <w:top w:val="none" w:sz="0" w:space="0" w:color="auto"/>
                <w:left w:val="none" w:sz="0" w:space="0" w:color="auto"/>
                <w:bottom w:val="none" w:sz="0" w:space="0" w:color="auto"/>
                <w:right w:val="none" w:sz="0" w:space="0" w:color="auto"/>
              </w:divBdr>
            </w:div>
          </w:divsChild>
        </w:div>
        <w:div w:id="9991770">
          <w:marLeft w:val="0"/>
          <w:marRight w:val="0"/>
          <w:marTop w:val="0"/>
          <w:marBottom w:val="0"/>
          <w:divBdr>
            <w:top w:val="none" w:sz="0" w:space="0" w:color="auto"/>
            <w:left w:val="none" w:sz="0" w:space="0" w:color="auto"/>
            <w:bottom w:val="none" w:sz="0" w:space="0" w:color="auto"/>
            <w:right w:val="none" w:sz="0" w:space="0" w:color="auto"/>
          </w:divBdr>
          <w:divsChild>
            <w:div w:id="327370179">
              <w:marLeft w:val="0"/>
              <w:marRight w:val="0"/>
              <w:marTop w:val="0"/>
              <w:marBottom w:val="0"/>
              <w:divBdr>
                <w:top w:val="none" w:sz="0" w:space="0" w:color="auto"/>
                <w:left w:val="none" w:sz="0" w:space="0" w:color="auto"/>
                <w:bottom w:val="none" w:sz="0" w:space="0" w:color="auto"/>
                <w:right w:val="none" w:sz="0" w:space="0" w:color="auto"/>
              </w:divBdr>
            </w:div>
            <w:div w:id="1499424890">
              <w:marLeft w:val="0"/>
              <w:marRight w:val="0"/>
              <w:marTop w:val="0"/>
              <w:marBottom w:val="0"/>
              <w:divBdr>
                <w:top w:val="none" w:sz="0" w:space="0" w:color="auto"/>
                <w:left w:val="none" w:sz="0" w:space="0" w:color="auto"/>
                <w:bottom w:val="none" w:sz="0" w:space="0" w:color="auto"/>
                <w:right w:val="none" w:sz="0" w:space="0" w:color="auto"/>
              </w:divBdr>
            </w:div>
            <w:div w:id="1050960353">
              <w:marLeft w:val="0"/>
              <w:marRight w:val="0"/>
              <w:marTop w:val="0"/>
              <w:marBottom w:val="0"/>
              <w:divBdr>
                <w:top w:val="none" w:sz="0" w:space="0" w:color="auto"/>
                <w:left w:val="none" w:sz="0" w:space="0" w:color="auto"/>
                <w:bottom w:val="none" w:sz="0" w:space="0" w:color="auto"/>
                <w:right w:val="none" w:sz="0" w:space="0" w:color="auto"/>
              </w:divBdr>
            </w:div>
            <w:div w:id="662010227">
              <w:marLeft w:val="0"/>
              <w:marRight w:val="0"/>
              <w:marTop w:val="0"/>
              <w:marBottom w:val="0"/>
              <w:divBdr>
                <w:top w:val="none" w:sz="0" w:space="0" w:color="auto"/>
                <w:left w:val="none" w:sz="0" w:space="0" w:color="auto"/>
                <w:bottom w:val="none" w:sz="0" w:space="0" w:color="auto"/>
                <w:right w:val="none" w:sz="0" w:space="0" w:color="auto"/>
              </w:divBdr>
            </w:div>
            <w:div w:id="1332372702">
              <w:marLeft w:val="0"/>
              <w:marRight w:val="0"/>
              <w:marTop w:val="0"/>
              <w:marBottom w:val="0"/>
              <w:divBdr>
                <w:top w:val="none" w:sz="0" w:space="0" w:color="auto"/>
                <w:left w:val="none" w:sz="0" w:space="0" w:color="auto"/>
                <w:bottom w:val="none" w:sz="0" w:space="0" w:color="auto"/>
                <w:right w:val="none" w:sz="0" w:space="0" w:color="auto"/>
              </w:divBdr>
              <w:divsChild>
                <w:div w:id="1273703536">
                  <w:marLeft w:val="0"/>
                  <w:marRight w:val="0"/>
                  <w:marTop w:val="0"/>
                  <w:marBottom w:val="0"/>
                  <w:divBdr>
                    <w:top w:val="none" w:sz="0" w:space="0" w:color="auto"/>
                    <w:left w:val="none" w:sz="0" w:space="0" w:color="auto"/>
                    <w:bottom w:val="none" w:sz="0" w:space="0" w:color="auto"/>
                    <w:right w:val="none" w:sz="0" w:space="0" w:color="auto"/>
                  </w:divBdr>
                </w:div>
              </w:divsChild>
            </w:div>
            <w:div w:id="750812738">
              <w:marLeft w:val="0"/>
              <w:marRight w:val="0"/>
              <w:marTop w:val="0"/>
              <w:marBottom w:val="0"/>
              <w:divBdr>
                <w:top w:val="none" w:sz="0" w:space="0" w:color="auto"/>
                <w:left w:val="none" w:sz="0" w:space="0" w:color="auto"/>
                <w:bottom w:val="none" w:sz="0" w:space="0" w:color="auto"/>
                <w:right w:val="none" w:sz="0" w:space="0" w:color="auto"/>
              </w:divBdr>
            </w:div>
            <w:div w:id="117626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6879">
      <w:bodyDiv w:val="1"/>
      <w:marLeft w:val="0"/>
      <w:marRight w:val="0"/>
      <w:marTop w:val="0"/>
      <w:marBottom w:val="0"/>
      <w:divBdr>
        <w:top w:val="none" w:sz="0" w:space="0" w:color="auto"/>
        <w:left w:val="none" w:sz="0" w:space="0" w:color="auto"/>
        <w:bottom w:val="none" w:sz="0" w:space="0" w:color="auto"/>
        <w:right w:val="none" w:sz="0" w:space="0" w:color="auto"/>
      </w:divBdr>
      <w:divsChild>
        <w:div w:id="925654282">
          <w:marLeft w:val="-225"/>
          <w:marRight w:val="-225"/>
          <w:marTop w:val="300"/>
          <w:marBottom w:val="0"/>
          <w:divBdr>
            <w:top w:val="none" w:sz="0" w:space="0" w:color="auto"/>
            <w:left w:val="none" w:sz="0" w:space="0" w:color="auto"/>
            <w:bottom w:val="none" w:sz="0" w:space="0" w:color="auto"/>
            <w:right w:val="none" w:sz="0" w:space="0" w:color="auto"/>
          </w:divBdr>
          <w:divsChild>
            <w:div w:id="105732510">
              <w:marLeft w:val="0"/>
              <w:marRight w:val="0"/>
              <w:marTop w:val="0"/>
              <w:marBottom w:val="0"/>
              <w:divBdr>
                <w:top w:val="none" w:sz="0" w:space="0" w:color="auto"/>
                <w:left w:val="none" w:sz="0" w:space="0" w:color="auto"/>
                <w:bottom w:val="none" w:sz="0" w:space="0" w:color="auto"/>
                <w:right w:val="none" w:sz="0" w:space="0" w:color="auto"/>
              </w:divBdr>
            </w:div>
          </w:divsChild>
        </w:div>
        <w:div w:id="1353990152">
          <w:marLeft w:val="0"/>
          <w:marRight w:val="0"/>
          <w:marTop w:val="0"/>
          <w:marBottom w:val="0"/>
          <w:divBdr>
            <w:top w:val="none" w:sz="0" w:space="0" w:color="auto"/>
            <w:left w:val="none" w:sz="0" w:space="0" w:color="auto"/>
            <w:bottom w:val="none" w:sz="0" w:space="0" w:color="auto"/>
            <w:right w:val="none" w:sz="0" w:space="0" w:color="auto"/>
          </w:divBdr>
          <w:divsChild>
            <w:div w:id="2118942394">
              <w:marLeft w:val="0"/>
              <w:marRight w:val="0"/>
              <w:marTop w:val="45"/>
              <w:marBottom w:val="0"/>
              <w:divBdr>
                <w:top w:val="none" w:sz="0" w:space="0" w:color="auto"/>
                <w:left w:val="none" w:sz="0" w:space="0" w:color="auto"/>
                <w:bottom w:val="none" w:sz="0" w:space="0" w:color="auto"/>
                <w:right w:val="none" w:sz="0" w:space="0" w:color="auto"/>
              </w:divBdr>
            </w:div>
          </w:divsChild>
        </w:div>
        <w:div w:id="2143498814">
          <w:marLeft w:val="0"/>
          <w:marRight w:val="0"/>
          <w:marTop w:val="0"/>
          <w:marBottom w:val="0"/>
          <w:divBdr>
            <w:top w:val="none" w:sz="0" w:space="0" w:color="auto"/>
            <w:left w:val="none" w:sz="0" w:space="0" w:color="auto"/>
            <w:bottom w:val="none" w:sz="0" w:space="0" w:color="auto"/>
            <w:right w:val="none" w:sz="0" w:space="0" w:color="auto"/>
          </w:divBdr>
          <w:divsChild>
            <w:div w:id="40592567">
              <w:marLeft w:val="0"/>
              <w:marRight w:val="0"/>
              <w:marTop w:val="0"/>
              <w:marBottom w:val="0"/>
              <w:divBdr>
                <w:top w:val="none" w:sz="0" w:space="0" w:color="auto"/>
                <w:left w:val="none" w:sz="0" w:space="0" w:color="auto"/>
                <w:bottom w:val="none" w:sz="0" w:space="0" w:color="auto"/>
                <w:right w:val="none" w:sz="0" w:space="0" w:color="auto"/>
              </w:divBdr>
            </w:div>
            <w:div w:id="1710911100">
              <w:marLeft w:val="0"/>
              <w:marRight w:val="0"/>
              <w:marTop w:val="0"/>
              <w:marBottom w:val="0"/>
              <w:divBdr>
                <w:top w:val="none" w:sz="0" w:space="0" w:color="auto"/>
                <w:left w:val="none" w:sz="0" w:space="0" w:color="auto"/>
                <w:bottom w:val="none" w:sz="0" w:space="0" w:color="auto"/>
                <w:right w:val="none" w:sz="0" w:space="0" w:color="auto"/>
              </w:divBdr>
            </w:div>
            <w:div w:id="995720919">
              <w:marLeft w:val="0"/>
              <w:marRight w:val="0"/>
              <w:marTop w:val="0"/>
              <w:marBottom w:val="0"/>
              <w:divBdr>
                <w:top w:val="none" w:sz="0" w:space="0" w:color="auto"/>
                <w:left w:val="none" w:sz="0" w:space="0" w:color="auto"/>
                <w:bottom w:val="none" w:sz="0" w:space="0" w:color="auto"/>
                <w:right w:val="none" w:sz="0" w:space="0" w:color="auto"/>
              </w:divBdr>
            </w:div>
            <w:div w:id="955064645">
              <w:marLeft w:val="0"/>
              <w:marRight w:val="0"/>
              <w:marTop w:val="0"/>
              <w:marBottom w:val="0"/>
              <w:divBdr>
                <w:top w:val="none" w:sz="0" w:space="0" w:color="auto"/>
                <w:left w:val="none" w:sz="0" w:space="0" w:color="auto"/>
                <w:bottom w:val="none" w:sz="0" w:space="0" w:color="auto"/>
                <w:right w:val="none" w:sz="0" w:space="0" w:color="auto"/>
              </w:divBdr>
            </w:div>
            <w:div w:id="1428847609">
              <w:marLeft w:val="0"/>
              <w:marRight w:val="0"/>
              <w:marTop w:val="0"/>
              <w:marBottom w:val="0"/>
              <w:divBdr>
                <w:top w:val="none" w:sz="0" w:space="0" w:color="auto"/>
                <w:left w:val="none" w:sz="0" w:space="0" w:color="auto"/>
                <w:bottom w:val="none" w:sz="0" w:space="0" w:color="auto"/>
                <w:right w:val="none" w:sz="0" w:space="0" w:color="auto"/>
              </w:divBdr>
            </w:div>
            <w:div w:id="690108536">
              <w:marLeft w:val="0"/>
              <w:marRight w:val="0"/>
              <w:marTop w:val="0"/>
              <w:marBottom w:val="0"/>
              <w:divBdr>
                <w:top w:val="none" w:sz="0" w:space="0" w:color="auto"/>
                <w:left w:val="none" w:sz="0" w:space="0" w:color="auto"/>
                <w:bottom w:val="none" w:sz="0" w:space="0" w:color="auto"/>
                <w:right w:val="none" w:sz="0" w:space="0" w:color="auto"/>
              </w:divBdr>
            </w:div>
            <w:div w:id="2125690136">
              <w:marLeft w:val="0"/>
              <w:marRight w:val="0"/>
              <w:marTop w:val="0"/>
              <w:marBottom w:val="0"/>
              <w:divBdr>
                <w:top w:val="none" w:sz="0" w:space="0" w:color="auto"/>
                <w:left w:val="none" w:sz="0" w:space="0" w:color="auto"/>
                <w:bottom w:val="none" w:sz="0" w:space="0" w:color="auto"/>
                <w:right w:val="none" w:sz="0" w:space="0" w:color="auto"/>
              </w:divBdr>
            </w:div>
            <w:div w:id="867327949">
              <w:marLeft w:val="0"/>
              <w:marRight w:val="0"/>
              <w:marTop w:val="0"/>
              <w:marBottom w:val="0"/>
              <w:divBdr>
                <w:top w:val="none" w:sz="0" w:space="0" w:color="auto"/>
                <w:left w:val="none" w:sz="0" w:space="0" w:color="auto"/>
                <w:bottom w:val="none" w:sz="0" w:space="0" w:color="auto"/>
                <w:right w:val="none" w:sz="0" w:space="0" w:color="auto"/>
              </w:divBdr>
            </w:div>
            <w:div w:id="1608074991">
              <w:marLeft w:val="0"/>
              <w:marRight w:val="0"/>
              <w:marTop w:val="0"/>
              <w:marBottom w:val="0"/>
              <w:divBdr>
                <w:top w:val="none" w:sz="0" w:space="0" w:color="auto"/>
                <w:left w:val="none" w:sz="0" w:space="0" w:color="auto"/>
                <w:bottom w:val="none" w:sz="0" w:space="0" w:color="auto"/>
                <w:right w:val="none" w:sz="0" w:space="0" w:color="auto"/>
              </w:divBdr>
            </w:div>
            <w:div w:id="1453136767">
              <w:marLeft w:val="0"/>
              <w:marRight w:val="0"/>
              <w:marTop w:val="240"/>
              <w:marBottom w:val="0"/>
              <w:divBdr>
                <w:top w:val="none" w:sz="0" w:space="0" w:color="auto"/>
                <w:left w:val="none" w:sz="0" w:space="0" w:color="auto"/>
                <w:bottom w:val="none" w:sz="0" w:space="0" w:color="auto"/>
                <w:right w:val="none" w:sz="0" w:space="0" w:color="auto"/>
              </w:divBdr>
            </w:div>
            <w:div w:id="176838079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99636393">
      <w:bodyDiv w:val="1"/>
      <w:marLeft w:val="0"/>
      <w:marRight w:val="0"/>
      <w:marTop w:val="0"/>
      <w:marBottom w:val="0"/>
      <w:divBdr>
        <w:top w:val="none" w:sz="0" w:space="0" w:color="auto"/>
        <w:left w:val="none" w:sz="0" w:space="0" w:color="auto"/>
        <w:bottom w:val="none" w:sz="0" w:space="0" w:color="auto"/>
        <w:right w:val="none" w:sz="0" w:space="0" w:color="auto"/>
      </w:divBdr>
      <w:divsChild>
        <w:div w:id="568688622">
          <w:marLeft w:val="0"/>
          <w:marRight w:val="0"/>
          <w:marTop w:val="0"/>
          <w:marBottom w:val="0"/>
          <w:divBdr>
            <w:top w:val="none" w:sz="0" w:space="0" w:color="auto"/>
            <w:left w:val="none" w:sz="0" w:space="0" w:color="auto"/>
            <w:bottom w:val="none" w:sz="0" w:space="0" w:color="auto"/>
            <w:right w:val="none" w:sz="0" w:space="0" w:color="auto"/>
          </w:divBdr>
          <w:divsChild>
            <w:div w:id="507864729">
              <w:marLeft w:val="-225"/>
              <w:marRight w:val="-225"/>
              <w:marTop w:val="0"/>
              <w:marBottom w:val="0"/>
              <w:divBdr>
                <w:top w:val="none" w:sz="0" w:space="0" w:color="auto"/>
                <w:left w:val="none" w:sz="0" w:space="0" w:color="auto"/>
                <w:bottom w:val="none" w:sz="0" w:space="0" w:color="auto"/>
                <w:right w:val="none" w:sz="0" w:space="0" w:color="auto"/>
              </w:divBdr>
              <w:divsChild>
                <w:div w:id="118500502">
                  <w:marLeft w:val="0"/>
                  <w:marRight w:val="0"/>
                  <w:marTop w:val="0"/>
                  <w:marBottom w:val="0"/>
                  <w:divBdr>
                    <w:top w:val="none" w:sz="0" w:space="0" w:color="auto"/>
                    <w:left w:val="none" w:sz="0" w:space="0" w:color="auto"/>
                    <w:bottom w:val="none" w:sz="0" w:space="0" w:color="auto"/>
                    <w:right w:val="none" w:sz="0" w:space="0" w:color="auto"/>
                  </w:divBdr>
                  <w:divsChild>
                    <w:div w:id="980578355">
                      <w:marLeft w:val="0"/>
                      <w:marRight w:val="0"/>
                      <w:marTop w:val="0"/>
                      <w:marBottom w:val="0"/>
                      <w:divBdr>
                        <w:top w:val="none" w:sz="0" w:space="0" w:color="auto"/>
                        <w:left w:val="none" w:sz="0" w:space="0" w:color="auto"/>
                        <w:bottom w:val="none" w:sz="0" w:space="0" w:color="auto"/>
                        <w:right w:val="none" w:sz="0" w:space="0" w:color="auto"/>
                      </w:divBdr>
                      <w:divsChild>
                        <w:div w:id="1048454912">
                          <w:marLeft w:val="0"/>
                          <w:marRight w:val="0"/>
                          <w:marTop w:val="0"/>
                          <w:marBottom w:val="0"/>
                          <w:divBdr>
                            <w:top w:val="none" w:sz="0" w:space="0" w:color="auto"/>
                            <w:left w:val="none" w:sz="0" w:space="0" w:color="auto"/>
                            <w:bottom w:val="none" w:sz="0" w:space="0" w:color="auto"/>
                            <w:right w:val="none" w:sz="0" w:space="0" w:color="auto"/>
                          </w:divBdr>
                          <w:divsChild>
                            <w:div w:id="52162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035422">
      <w:bodyDiv w:val="1"/>
      <w:marLeft w:val="0"/>
      <w:marRight w:val="0"/>
      <w:marTop w:val="0"/>
      <w:marBottom w:val="0"/>
      <w:divBdr>
        <w:top w:val="none" w:sz="0" w:space="0" w:color="auto"/>
        <w:left w:val="none" w:sz="0" w:space="0" w:color="auto"/>
        <w:bottom w:val="none" w:sz="0" w:space="0" w:color="auto"/>
        <w:right w:val="none" w:sz="0" w:space="0" w:color="auto"/>
      </w:divBdr>
      <w:divsChild>
        <w:div w:id="636688951">
          <w:marLeft w:val="-225"/>
          <w:marRight w:val="-225"/>
          <w:marTop w:val="300"/>
          <w:marBottom w:val="0"/>
          <w:divBdr>
            <w:top w:val="none" w:sz="0" w:space="0" w:color="auto"/>
            <w:left w:val="none" w:sz="0" w:space="0" w:color="auto"/>
            <w:bottom w:val="none" w:sz="0" w:space="0" w:color="auto"/>
            <w:right w:val="none" w:sz="0" w:space="0" w:color="auto"/>
          </w:divBdr>
          <w:divsChild>
            <w:div w:id="1234513240">
              <w:marLeft w:val="0"/>
              <w:marRight w:val="0"/>
              <w:marTop w:val="0"/>
              <w:marBottom w:val="0"/>
              <w:divBdr>
                <w:top w:val="none" w:sz="0" w:space="0" w:color="auto"/>
                <w:left w:val="none" w:sz="0" w:space="0" w:color="auto"/>
                <w:bottom w:val="none" w:sz="0" w:space="0" w:color="auto"/>
                <w:right w:val="none" w:sz="0" w:space="0" w:color="auto"/>
              </w:divBdr>
            </w:div>
          </w:divsChild>
        </w:div>
        <w:div w:id="1414357826">
          <w:marLeft w:val="0"/>
          <w:marRight w:val="0"/>
          <w:marTop w:val="0"/>
          <w:marBottom w:val="0"/>
          <w:divBdr>
            <w:top w:val="none" w:sz="0" w:space="0" w:color="auto"/>
            <w:left w:val="none" w:sz="0" w:space="0" w:color="auto"/>
            <w:bottom w:val="none" w:sz="0" w:space="0" w:color="auto"/>
            <w:right w:val="none" w:sz="0" w:space="0" w:color="auto"/>
          </w:divBdr>
          <w:divsChild>
            <w:div w:id="1327396497">
              <w:marLeft w:val="0"/>
              <w:marRight w:val="0"/>
              <w:marTop w:val="45"/>
              <w:marBottom w:val="0"/>
              <w:divBdr>
                <w:top w:val="none" w:sz="0" w:space="0" w:color="auto"/>
                <w:left w:val="none" w:sz="0" w:space="0" w:color="auto"/>
                <w:bottom w:val="none" w:sz="0" w:space="0" w:color="auto"/>
                <w:right w:val="none" w:sz="0" w:space="0" w:color="auto"/>
              </w:divBdr>
            </w:div>
          </w:divsChild>
        </w:div>
        <w:div w:id="139226500">
          <w:marLeft w:val="0"/>
          <w:marRight w:val="0"/>
          <w:marTop w:val="0"/>
          <w:marBottom w:val="0"/>
          <w:divBdr>
            <w:top w:val="none" w:sz="0" w:space="0" w:color="auto"/>
            <w:left w:val="none" w:sz="0" w:space="0" w:color="auto"/>
            <w:bottom w:val="none" w:sz="0" w:space="0" w:color="auto"/>
            <w:right w:val="none" w:sz="0" w:space="0" w:color="auto"/>
          </w:divBdr>
          <w:divsChild>
            <w:div w:id="2088309560">
              <w:marLeft w:val="0"/>
              <w:marRight w:val="0"/>
              <w:marTop w:val="0"/>
              <w:marBottom w:val="0"/>
              <w:divBdr>
                <w:top w:val="none" w:sz="0" w:space="0" w:color="auto"/>
                <w:left w:val="none" w:sz="0" w:space="0" w:color="auto"/>
                <w:bottom w:val="none" w:sz="0" w:space="0" w:color="auto"/>
                <w:right w:val="none" w:sz="0" w:space="0" w:color="auto"/>
              </w:divBdr>
            </w:div>
            <w:div w:id="666441397">
              <w:marLeft w:val="0"/>
              <w:marRight w:val="0"/>
              <w:marTop w:val="0"/>
              <w:marBottom w:val="0"/>
              <w:divBdr>
                <w:top w:val="none" w:sz="0" w:space="0" w:color="auto"/>
                <w:left w:val="none" w:sz="0" w:space="0" w:color="auto"/>
                <w:bottom w:val="none" w:sz="0" w:space="0" w:color="auto"/>
                <w:right w:val="none" w:sz="0" w:space="0" w:color="auto"/>
              </w:divBdr>
              <w:divsChild>
                <w:div w:id="1561359119">
                  <w:marLeft w:val="0"/>
                  <w:marRight w:val="0"/>
                  <w:marTop w:val="0"/>
                  <w:marBottom w:val="0"/>
                  <w:divBdr>
                    <w:top w:val="none" w:sz="0" w:space="0" w:color="auto"/>
                    <w:left w:val="none" w:sz="0" w:space="0" w:color="auto"/>
                    <w:bottom w:val="none" w:sz="0" w:space="0" w:color="auto"/>
                    <w:right w:val="none" w:sz="0" w:space="0" w:color="auto"/>
                  </w:divBdr>
                </w:div>
              </w:divsChild>
            </w:div>
            <w:div w:id="822743151">
              <w:marLeft w:val="0"/>
              <w:marRight w:val="0"/>
              <w:marTop w:val="0"/>
              <w:marBottom w:val="0"/>
              <w:divBdr>
                <w:top w:val="none" w:sz="0" w:space="0" w:color="auto"/>
                <w:left w:val="none" w:sz="0" w:space="0" w:color="auto"/>
                <w:bottom w:val="none" w:sz="0" w:space="0" w:color="auto"/>
                <w:right w:val="none" w:sz="0" w:space="0" w:color="auto"/>
              </w:divBdr>
            </w:div>
            <w:div w:id="1486819886">
              <w:marLeft w:val="0"/>
              <w:marRight w:val="0"/>
              <w:marTop w:val="0"/>
              <w:marBottom w:val="0"/>
              <w:divBdr>
                <w:top w:val="none" w:sz="0" w:space="0" w:color="auto"/>
                <w:left w:val="none" w:sz="0" w:space="0" w:color="auto"/>
                <w:bottom w:val="none" w:sz="0" w:space="0" w:color="auto"/>
                <w:right w:val="none" w:sz="0" w:space="0" w:color="auto"/>
              </w:divBdr>
              <w:divsChild>
                <w:div w:id="1814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74441">
      <w:bodyDiv w:val="1"/>
      <w:marLeft w:val="0"/>
      <w:marRight w:val="0"/>
      <w:marTop w:val="0"/>
      <w:marBottom w:val="0"/>
      <w:divBdr>
        <w:top w:val="none" w:sz="0" w:space="0" w:color="auto"/>
        <w:left w:val="none" w:sz="0" w:space="0" w:color="auto"/>
        <w:bottom w:val="none" w:sz="0" w:space="0" w:color="auto"/>
        <w:right w:val="none" w:sz="0" w:space="0" w:color="auto"/>
      </w:divBdr>
      <w:divsChild>
        <w:div w:id="629364636">
          <w:marLeft w:val="0"/>
          <w:marRight w:val="0"/>
          <w:marTop w:val="0"/>
          <w:marBottom w:val="0"/>
          <w:divBdr>
            <w:top w:val="none" w:sz="0" w:space="0" w:color="auto"/>
            <w:left w:val="none" w:sz="0" w:space="0" w:color="auto"/>
            <w:bottom w:val="none" w:sz="0" w:space="0" w:color="auto"/>
            <w:right w:val="none" w:sz="0" w:space="0" w:color="auto"/>
          </w:divBdr>
          <w:divsChild>
            <w:div w:id="579102778">
              <w:marLeft w:val="0"/>
              <w:marRight w:val="0"/>
              <w:marTop w:val="0"/>
              <w:marBottom w:val="0"/>
              <w:divBdr>
                <w:top w:val="none" w:sz="0" w:space="0" w:color="auto"/>
                <w:left w:val="none" w:sz="0" w:space="0" w:color="auto"/>
                <w:bottom w:val="none" w:sz="0" w:space="0" w:color="auto"/>
                <w:right w:val="none" w:sz="0" w:space="0" w:color="auto"/>
              </w:divBdr>
              <w:divsChild>
                <w:div w:id="23405168">
                  <w:marLeft w:val="0"/>
                  <w:marRight w:val="0"/>
                  <w:marTop w:val="0"/>
                  <w:marBottom w:val="0"/>
                  <w:divBdr>
                    <w:top w:val="none" w:sz="0" w:space="0" w:color="auto"/>
                    <w:left w:val="none" w:sz="0" w:space="0" w:color="auto"/>
                    <w:bottom w:val="none" w:sz="0" w:space="0" w:color="auto"/>
                    <w:right w:val="none" w:sz="0" w:space="0" w:color="auto"/>
                  </w:divBdr>
                  <w:divsChild>
                    <w:div w:id="147213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67240">
              <w:marLeft w:val="0"/>
              <w:marRight w:val="0"/>
              <w:marTop w:val="150"/>
              <w:marBottom w:val="0"/>
              <w:divBdr>
                <w:top w:val="none" w:sz="0" w:space="0" w:color="auto"/>
                <w:left w:val="none" w:sz="0" w:space="0" w:color="auto"/>
                <w:bottom w:val="none" w:sz="0" w:space="0" w:color="auto"/>
                <w:right w:val="none" w:sz="0" w:space="0" w:color="auto"/>
              </w:divBdr>
              <w:divsChild>
                <w:div w:id="530338478">
                  <w:marLeft w:val="300"/>
                  <w:marRight w:val="0"/>
                  <w:marTop w:val="0"/>
                  <w:marBottom w:val="0"/>
                  <w:divBdr>
                    <w:top w:val="single" w:sz="6" w:space="0" w:color="D1D1D1"/>
                    <w:left w:val="single" w:sz="6" w:space="0" w:color="D1D1D1"/>
                    <w:bottom w:val="single" w:sz="6" w:space="0" w:color="D1D1D1"/>
                    <w:right w:val="single" w:sz="6" w:space="0" w:color="D1D1D1"/>
                  </w:divBdr>
                </w:div>
              </w:divsChild>
            </w:div>
            <w:div w:id="204871836">
              <w:marLeft w:val="0"/>
              <w:marRight w:val="0"/>
              <w:marTop w:val="0"/>
              <w:marBottom w:val="0"/>
              <w:divBdr>
                <w:top w:val="none" w:sz="0" w:space="0" w:color="auto"/>
                <w:left w:val="none" w:sz="0" w:space="0" w:color="auto"/>
                <w:bottom w:val="none" w:sz="0" w:space="0" w:color="auto"/>
                <w:right w:val="none" w:sz="0" w:space="0" w:color="auto"/>
              </w:divBdr>
              <w:divsChild>
                <w:div w:id="441926753">
                  <w:marLeft w:val="0"/>
                  <w:marRight w:val="0"/>
                  <w:marTop w:val="1275"/>
                  <w:marBottom w:val="450"/>
                  <w:divBdr>
                    <w:top w:val="single" w:sz="6" w:space="8" w:color="C8C8C8"/>
                    <w:left w:val="single" w:sz="6" w:space="8" w:color="C8C8C8"/>
                    <w:bottom w:val="single" w:sz="6" w:space="8" w:color="C8C8C8"/>
                    <w:right w:val="single" w:sz="6" w:space="8" w:color="C8C8C8"/>
                  </w:divBdr>
                  <w:divsChild>
                    <w:div w:id="862090719">
                      <w:marLeft w:val="0"/>
                      <w:marRight w:val="0"/>
                      <w:marTop w:val="0"/>
                      <w:marBottom w:val="0"/>
                      <w:divBdr>
                        <w:top w:val="none" w:sz="0" w:space="0" w:color="auto"/>
                        <w:left w:val="none" w:sz="0" w:space="0" w:color="auto"/>
                        <w:bottom w:val="none" w:sz="0" w:space="0" w:color="auto"/>
                        <w:right w:val="none" w:sz="0" w:space="0" w:color="auto"/>
                      </w:divBdr>
                    </w:div>
                  </w:divsChild>
                </w:div>
                <w:div w:id="1664115764">
                  <w:marLeft w:val="0"/>
                  <w:marRight w:val="0"/>
                  <w:marTop w:val="0"/>
                  <w:marBottom w:val="0"/>
                  <w:divBdr>
                    <w:top w:val="none" w:sz="0" w:space="0" w:color="auto"/>
                    <w:left w:val="none" w:sz="0" w:space="0" w:color="auto"/>
                    <w:bottom w:val="none" w:sz="0" w:space="0" w:color="auto"/>
                    <w:right w:val="none" w:sz="0" w:space="0" w:color="auto"/>
                  </w:divBdr>
                  <w:divsChild>
                    <w:div w:id="1332677789">
                      <w:marLeft w:val="0"/>
                      <w:marRight w:val="0"/>
                      <w:marTop w:val="600"/>
                      <w:marBottom w:val="300"/>
                      <w:divBdr>
                        <w:top w:val="none" w:sz="0" w:space="0" w:color="auto"/>
                        <w:left w:val="none" w:sz="0" w:space="0" w:color="auto"/>
                        <w:bottom w:val="none" w:sz="0" w:space="0" w:color="auto"/>
                        <w:right w:val="none" w:sz="0" w:space="0" w:color="auto"/>
                      </w:divBdr>
                    </w:div>
                  </w:divsChild>
                </w:div>
                <w:div w:id="1089500120">
                  <w:marLeft w:val="0"/>
                  <w:marRight w:val="0"/>
                  <w:marTop w:val="0"/>
                  <w:marBottom w:val="0"/>
                  <w:divBdr>
                    <w:top w:val="none" w:sz="0" w:space="0" w:color="auto"/>
                    <w:left w:val="none" w:sz="0" w:space="0" w:color="auto"/>
                    <w:bottom w:val="none" w:sz="0" w:space="0" w:color="auto"/>
                    <w:right w:val="none" w:sz="0" w:space="0" w:color="auto"/>
                  </w:divBdr>
                  <w:divsChild>
                    <w:div w:id="1113477744">
                      <w:marLeft w:val="0"/>
                      <w:marRight w:val="0"/>
                      <w:marTop w:val="600"/>
                      <w:marBottom w:val="300"/>
                      <w:divBdr>
                        <w:top w:val="none" w:sz="0" w:space="0" w:color="auto"/>
                        <w:left w:val="none" w:sz="0" w:space="0" w:color="auto"/>
                        <w:bottom w:val="none" w:sz="0" w:space="0" w:color="auto"/>
                        <w:right w:val="none" w:sz="0" w:space="0" w:color="auto"/>
                      </w:divBdr>
                    </w:div>
                  </w:divsChild>
                </w:div>
                <w:div w:id="1647078778">
                  <w:marLeft w:val="0"/>
                  <w:marRight w:val="0"/>
                  <w:marTop w:val="0"/>
                  <w:marBottom w:val="0"/>
                  <w:divBdr>
                    <w:top w:val="none" w:sz="0" w:space="0" w:color="auto"/>
                    <w:left w:val="none" w:sz="0" w:space="0" w:color="auto"/>
                    <w:bottom w:val="none" w:sz="0" w:space="0" w:color="auto"/>
                    <w:right w:val="none" w:sz="0" w:space="0" w:color="auto"/>
                  </w:divBdr>
                  <w:divsChild>
                    <w:div w:id="1216891745">
                      <w:marLeft w:val="0"/>
                      <w:marRight w:val="0"/>
                      <w:marTop w:val="600"/>
                      <w:marBottom w:val="300"/>
                      <w:divBdr>
                        <w:top w:val="none" w:sz="0" w:space="0" w:color="auto"/>
                        <w:left w:val="none" w:sz="0" w:space="0" w:color="auto"/>
                        <w:bottom w:val="none" w:sz="0" w:space="0" w:color="auto"/>
                        <w:right w:val="none" w:sz="0" w:space="0" w:color="auto"/>
                      </w:divBdr>
                    </w:div>
                  </w:divsChild>
                </w:div>
              </w:divsChild>
            </w:div>
          </w:divsChild>
        </w:div>
      </w:divsChild>
    </w:div>
    <w:div w:id="475297315">
      <w:bodyDiv w:val="1"/>
      <w:marLeft w:val="0"/>
      <w:marRight w:val="0"/>
      <w:marTop w:val="0"/>
      <w:marBottom w:val="0"/>
      <w:divBdr>
        <w:top w:val="none" w:sz="0" w:space="0" w:color="auto"/>
        <w:left w:val="none" w:sz="0" w:space="0" w:color="auto"/>
        <w:bottom w:val="none" w:sz="0" w:space="0" w:color="auto"/>
        <w:right w:val="none" w:sz="0" w:space="0" w:color="auto"/>
      </w:divBdr>
      <w:divsChild>
        <w:div w:id="475756932">
          <w:marLeft w:val="-225"/>
          <w:marRight w:val="-225"/>
          <w:marTop w:val="300"/>
          <w:marBottom w:val="0"/>
          <w:divBdr>
            <w:top w:val="none" w:sz="0" w:space="0" w:color="auto"/>
            <w:left w:val="none" w:sz="0" w:space="0" w:color="auto"/>
            <w:bottom w:val="none" w:sz="0" w:space="0" w:color="auto"/>
            <w:right w:val="none" w:sz="0" w:space="0" w:color="auto"/>
          </w:divBdr>
          <w:divsChild>
            <w:div w:id="76825225">
              <w:marLeft w:val="0"/>
              <w:marRight w:val="0"/>
              <w:marTop w:val="0"/>
              <w:marBottom w:val="0"/>
              <w:divBdr>
                <w:top w:val="none" w:sz="0" w:space="0" w:color="auto"/>
                <w:left w:val="none" w:sz="0" w:space="0" w:color="auto"/>
                <w:bottom w:val="none" w:sz="0" w:space="0" w:color="auto"/>
                <w:right w:val="none" w:sz="0" w:space="0" w:color="auto"/>
              </w:divBdr>
            </w:div>
          </w:divsChild>
        </w:div>
        <w:div w:id="1517041632">
          <w:marLeft w:val="0"/>
          <w:marRight w:val="0"/>
          <w:marTop w:val="0"/>
          <w:marBottom w:val="0"/>
          <w:divBdr>
            <w:top w:val="none" w:sz="0" w:space="0" w:color="auto"/>
            <w:left w:val="none" w:sz="0" w:space="0" w:color="auto"/>
            <w:bottom w:val="none" w:sz="0" w:space="0" w:color="auto"/>
            <w:right w:val="none" w:sz="0" w:space="0" w:color="auto"/>
          </w:divBdr>
        </w:div>
        <w:div w:id="99760930">
          <w:marLeft w:val="0"/>
          <w:marRight w:val="0"/>
          <w:marTop w:val="0"/>
          <w:marBottom w:val="0"/>
          <w:divBdr>
            <w:top w:val="none" w:sz="0" w:space="0" w:color="auto"/>
            <w:left w:val="none" w:sz="0" w:space="0" w:color="auto"/>
            <w:bottom w:val="none" w:sz="0" w:space="0" w:color="auto"/>
            <w:right w:val="none" w:sz="0" w:space="0" w:color="auto"/>
          </w:divBdr>
          <w:divsChild>
            <w:div w:id="687870617">
              <w:marLeft w:val="0"/>
              <w:marRight w:val="0"/>
              <w:marTop w:val="0"/>
              <w:marBottom w:val="0"/>
              <w:divBdr>
                <w:top w:val="none" w:sz="0" w:space="0" w:color="auto"/>
                <w:left w:val="none" w:sz="0" w:space="0" w:color="auto"/>
                <w:bottom w:val="none" w:sz="0" w:space="0" w:color="auto"/>
                <w:right w:val="none" w:sz="0" w:space="0" w:color="auto"/>
              </w:divBdr>
            </w:div>
            <w:div w:id="201481252">
              <w:marLeft w:val="0"/>
              <w:marRight w:val="0"/>
              <w:marTop w:val="0"/>
              <w:marBottom w:val="0"/>
              <w:divBdr>
                <w:top w:val="none" w:sz="0" w:space="0" w:color="auto"/>
                <w:left w:val="none" w:sz="0" w:space="0" w:color="auto"/>
                <w:bottom w:val="none" w:sz="0" w:space="0" w:color="auto"/>
                <w:right w:val="none" w:sz="0" w:space="0" w:color="auto"/>
              </w:divBdr>
            </w:div>
            <w:div w:id="192973357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596211502">
      <w:bodyDiv w:val="1"/>
      <w:marLeft w:val="0"/>
      <w:marRight w:val="0"/>
      <w:marTop w:val="0"/>
      <w:marBottom w:val="0"/>
      <w:divBdr>
        <w:top w:val="none" w:sz="0" w:space="0" w:color="auto"/>
        <w:left w:val="none" w:sz="0" w:space="0" w:color="auto"/>
        <w:bottom w:val="none" w:sz="0" w:space="0" w:color="auto"/>
        <w:right w:val="none" w:sz="0" w:space="0" w:color="auto"/>
      </w:divBdr>
      <w:divsChild>
        <w:div w:id="387800475">
          <w:marLeft w:val="-225"/>
          <w:marRight w:val="-225"/>
          <w:marTop w:val="300"/>
          <w:marBottom w:val="0"/>
          <w:divBdr>
            <w:top w:val="none" w:sz="0" w:space="0" w:color="auto"/>
            <w:left w:val="none" w:sz="0" w:space="0" w:color="auto"/>
            <w:bottom w:val="none" w:sz="0" w:space="0" w:color="auto"/>
            <w:right w:val="none" w:sz="0" w:space="0" w:color="auto"/>
          </w:divBdr>
          <w:divsChild>
            <w:div w:id="1370300115">
              <w:marLeft w:val="0"/>
              <w:marRight w:val="0"/>
              <w:marTop w:val="0"/>
              <w:marBottom w:val="0"/>
              <w:divBdr>
                <w:top w:val="none" w:sz="0" w:space="0" w:color="auto"/>
                <w:left w:val="none" w:sz="0" w:space="0" w:color="auto"/>
                <w:bottom w:val="none" w:sz="0" w:space="0" w:color="auto"/>
                <w:right w:val="none" w:sz="0" w:space="0" w:color="auto"/>
              </w:divBdr>
            </w:div>
          </w:divsChild>
        </w:div>
        <w:div w:id="847713129">
          <w:marLeft w:val="0"/>
          <w:marRight w:val="0"/>
          <w:marTop w:val="0"/>
          <w:marBottom w:val="0"/>
          <w:divBdr>
            <w:top w:val="none" w:sz="0" w:space="0" w:color="auto"/>
            <w:left w:val="none" w:sz="0" w:space="0" w:color="auto"/>
            <w:bottom w:val="none" w:sz="0" w:space="0" w:color="auto"/>
            <w:right w:val="none" w:sz="0" w:space="0" w:color="auto"/>
          </w:divBdr>
        </w:div>
      </w:divsChild>
    </w:div>
    <w:div w:id="717051531">
      <w:bodyDiv w:val="1"/>
      <w:marLeft w:val="0"/>
      <w:marRight w:val="0"/>
      <w:marTop w:val="0"/>
      <w:marBottom w:val="0"/>
      <w:divBdr>
        <w:top w:val="none" w:sz="0" w:space="0" w:color="auto"/>
        <w:left w:val="none" w:sz="0" w:space="0" w:color="auto"/>
        <w:bottom w:val="none" w:sz="0" w:space="0" w:color="auto"/>
        <w:right w:val="none" w:sz="0" w:space="0" w:color="auto"/>
      </w:divBdr>
      <w:divsChild>
        <w:div w:id="789200481">
          <w:marLeft w:val="0"/>
          <w:marRight w:val="0"/>
          <w:marTop w:val="0"/>
          <w:marBottom w:val="0"/>
          <w:divBdr>
            <w:top w:val="none" w:sz="0" w:space="0" w:color="auto"/>
            <w:left w:val="none" w:sz="0" w:space="0" w:color="auto"/>
            <w:bottom w:val="none" w:sz="0" w:space="0" w:color="auto"/>
            <w:right w:val="none" w:sz="0" w:space="0" w:color="auto"/>
          </w:divBdr>
        </w:div>
        <w:div w:id="557398635">
          <w:marLeft w:val="0"/>
          <w:marRight w:val="0"/>
          <w:marTop w:val="240"/>
          <w:marBottom w:val="0"/>
          <w:divBdr>
            <w:top w:val="none" w:sz="0" w:space="0" w:color="auto"/>
            <w:left w:val="none" w:sz="0" w:space="0" w:color="auto"/>
            <w:bottom w:val="none" w:sz="0" w:space="0" w:color="auto"/>
            <w:right w:val="none" w:sz="0" w:space="0" w:color="auto"/>
          </w:divBdr>
        </w:div>
      </w:divsChild>
    </w:div>
    <w:div w:id="785541477">
      <w:bodyDiv w:val="1"/>
      <w:marLeft w:val="0"/>
      <w:marRight w:val="0"/>
      <w:marTop w:val="0"/>
      <w:marBottom w:val="0"/>
      <w:divBdr>
        <w:top w:val="none" w:sz="0" w:space="0" w:color="auto"/>
        <w:left w:val="none" w:sz="0" w:space="0" w:color="auto"/>
        <w:bottom w:val="none" w:sz="0" w:space="0" w:color="auto"/>
        <w:right w:val="none" w:sz="0" w:space="0" w:color="auto"/>
      </w:divBdr>
      <w:divsChild>
        <w:div w:id="1848053402">
          <w:marLeft w:val="0"/>
          <w:marRight w:val="0"/>
          <w:marTop w:val="0"/>
          <w:marBottom w:val="0"/>
          <w:divBdr>
            <w:top w:val="none" w:sz="0" w:space="0" w:color="auto"/>
            <w:left w:val="none" w:sz="0" w:space="0" w:color="auto"/>
            <w:bottom w:val="none" w:sz="0" w:space="0" w:color="auto"/>
            <w:right w:val="none" w:sz="0" w:space="0" w:color="auto"/>
          </w:divBdr>
          <w:divsChild>
            <w:div w:id="779450468">
              <w:marLeft w:val="0"/>
              <w:marRight w:val="0"/>
              <w:marTop w:val="0"/>
              <w:marBottom w:val="0"/>
              <w:divBdr>
                <w:top w:val="none" w:sz="0" w:space="0" w:color="auto"/>
                <w:left w:val="none" w:sz="0" w:space="0" w:color="auto"/>
                <w:bottom w:val="none" w:sz="0" w:space="0" w:color="auto"/>
                <w:right w:val="none" w:sz="0" w:space="0" w:color="auto"/>
              </w:divBdr>
              <w:divsChild>
                <w:div w:id="1297376408">
                  <w:marLeft w:val="0"/>
                  <w:marRight w:val="0"/>
                  <w:marTop w:val="0"/>
                  <w:marBottom w:val="0"/>
                  <w:divBdr>
                    <w:top w:val="none" w:sz="0" w:space="0" w:color="auto"/>
                    <w:left w:val="none" w:sz="0" w:space="0" w:color="auto"/>
                    <w:bottom w:val="none" w:sz="0" w:space="0" w:color="auto"/>
                    <w:right w:val="none" w:sz="0" w:space="0" w:color="auto"/>
                  </w:divBdr>
                  <w:divsChild>
                    <w:div w:id="66528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425211">
              <w:marLeft w:val="0"/>
              <w:marRight w:val="0"/>
              <w:marTop w:val="150"/>
              <w:marBottom w:val="0"/>
              <w:divBdr>
                <w:top w:val="none" w:sz="0" w:space="0" w:color="auto"/>
                <w:left w:val="none" w:sz="0" w:space="0" w:color="auto"/>
                <w:bottom w:val="none" w:sz="0" w:space="0" w:color="auto"/>
                <w:right w:val="none" w:sz="0" w:space="0" w:color="auto"/>
              </w:divBdr>
              <w:divsChild>
                <w:div w:id="1014384263">
                  <w:marLeft w:val="300"/>
                  <w:marRight w:val="0"/>
                  <w:marTop w:val="0"/>
                  <w:marBottom w:val="0"/>
                  <w:divBdr>
                    <w:top w:val="single" w:sz="6" w:space="0" w:color="D1D1D1"/>
                    <w:left w:val="single" w:sz="6" w:space="0" w:color="D1D1D1"/>
                    <w:bottom w:val="single" w:sz="6" w:space="0" w:color="D1D1D1"/>
                    <w:right w:val="single" w:sz="6" w:space="0" w:color="D1D1D1"/>
                  </w:divBdr>
                </w:div>
              </w:divsChild>
            </w:div>
            <w:div w:id="1749645066">
              <w:marLeft w:val="0"/>
              <w:marRight w:val="0"/>
              <w:marTop w:val="0"/>
              <w:marBottom w:val="0"/>
              <w:divBdr>
                <w:top w:val="none" w:sz="0" w:space="0" w:color="auto"/>
                <w:left w:val="none" w:sz="0" w:space="0" w:color="auto"/>
                <w:bottom w:val="none" w:sz="0" w:space="0" w:color="auto"/>
                <w:right w:val="none" w:sz="0" w:space="0" w:color="auto"/>
              </w:divBdr>
              <w:divsChild>
                <w:div w:id="396586574">
                  <w:marLeft w:val="0"/>
                  <w:marRight w:val="0"/>
                  <w:marTop w:val="1275"/>
                  <w:marBottom w:val="450"/>
                  <w:divBdr>
                    <w:top w:val="single" w:sz="6" w:space="8" w:color="C8C8C8"/>
                    <w:left w:val="single" w:sz="6" w:space="8" w:color="C8C8C8"/>
                    <w:bottom w:val="single" w:sz="6" w:space="8" w:color="C8C8C8"/>
                    <w:right w:val="single" w:sz="6" w:space="8" w:color="C8C8C8"/>
                  </w:divBdr>
                  <w:divsChild>
                    <w:div w:id="940920511">
                      <w:marLeft w:val="0"/>
                      <w:marRight w:val="0"/>
                      <w:marTop w:val="0"/>
                      <w:marBottom w:val="0"/>
                      <w:divBdr>
                        <w:top w:val="none" w:sz="0" w:space="0" w:color="auto"/>
                        <w:left w:val="none" w:sz="0" w:space="0" w:color="auto"/>
                        <w:bottom w:val="none" w:sz="0" w:space="0" w:color="auto"/>
                        <w:right w:val="none" w:sz="0" w:space="0" w:color="auto"/>
                      </w:divBdr>
                    </w:div>
                  </w:divsChild>
                </w:div>
                <w:div w:id="2078824380">
                  <w:marLeft w:val="0"/>
                  <w:marRight w:val="0"/>
                  <w:marTop w:val="0"/>
                  <w:marBottom w:val="0"/>
                  <w:divBdr>
                    <w:top w:val="none" w:sz="0" w:space="0" w:color="auto"/>
                    <w:left w:val="none" w:sz="0" w:space="0" w:color="auto"/>
                    <w:bottom w:val="none" w:sz="0" w:space="0" w:color="auto"/>
                    <w:right w:val="none" w:sz="0" w:space="0" w:color="auto"/>
                  </w:divBdr>
                  <w:divsChild>
                    <w:div w:id="1246183305">
                      <w:marLeft w:val="0"/>
                      <w:marRight w:val="0"/>
                      <w:marTop w:val="600"/>
                      <w:marBottom w:val="300"/>
                      <w:divBdr>
                        <w:top w:val="none" w:sz="0" w:space="0" w:color="auto"/>
                        <w:left w:val="none" w:sz="0" w:space="0" w:color="auto"/>
                        <w:bottom w:val="none" w:sz="0" w:space="0" w:color="auto"/>
                        <w:right w:val="none" w:sz="0" w:space="0" w:color="auto"/>
                      </w:divBdr>
                    </w:div>
                  </w:divsChild>
                </w:div>
                <w:div w:id="446972293">
                  <w:marLeft w:val="0"/>
                  <w:marRight w:val="0"/>
                  <w:marTop w:val="0"/>
                  <w:marBottom w:val="0"/>
                  <w:divBdr>
                    <w:top w:val="none" w:sz="0" w:space="0" w:color="auto"/>
                    <w:left w:val="none" w:sz="0" w:space="0" w:color="auto"/>
                    <w:bottom w:val="none" w:sz="0" w:space="0" w:color="auto"/>
                    <w:right w:val="none" w:sz="0" w:space="0" w:color="auto"/>
                  </w:divBdr>
                  <w:divsChild>
                    <w:div w:id="1979142591">
                      <w:marLeft w:val="0"/>
                      <w:marRight w:val="0"/>
                      <w:marTop w:val="600"/>
                      <w:marBottom w:val="300"/>
                      <w:divBdr>
                        <w:top w:val="none" w:sz="0" w:space="0" w:color="auto"/>
                        <w:left w:val="none" w:sz="0" w:space="0" w:color="auto"/>
                        <w:bottom w:val="none" w:sz="0" w:space="0" w:color="auto"/>
                        <w:right w:val="none" w:sz="0" w:space="0" w:color="auto"/>
                      </w:divBdr>
                    </w:div>
                  </w:divsChild>
                </w:div>
                <w:div w:id="41254256">
                  <w:marLeft w:val="0"/>
                  <w:marRight w:val="0"/>
                  <w:marTop w:val="0"/>
                  <w:marBottom w:val="0"/>
                  <w:divBdr>
                    <w:top w:val="none" w:sz="0" w:space="0" w:color="auto"/>
                    <w:left w:val="none" w:sz="0" w:space="0" w:color="auto"/>
                    <w:bottom w:val="none" w:sz="0" w:space="0" w:color="auto"/>
                    <w:right w:val="none" w:sz="0" w:space="0" w:color="auto"/>
                  </w:divBdr>
                  <w:divsChild>
                    <w:div w:id="961418181">
                      <w:marLeft w:val="0"/>
                      <w:marRight w:val="0"/>
                      <w:marTop w:val="600"/>
                      <w:marBottom w:val="300"/>
                      <w:divBdr>
                        <w:top w:val="none" w:sz="0" w:space="0" w:color="auto"/>
                        <w:left w:val="none" w:sz="0" w:space="0" w:color="auto"/>
                        <w:bottom w:val="none" w:sz="0" w:space="0" w:color="auto"/>
                        <w:right w:val="none" w:sz="0" w:space="0" w:color="auto"/>
                      </w:divBdr>
                    </w:div>
                  </w:divsChild>
                </w:div>
              </w:divsChild>
            </w:div>
          </w:divsChild>
        </w:div>
      </w:divsChild>
    </w:div>
    <w:div w:id="825586167">
      <w:bodyDiv w:val="1"/>
      <w:marLeft w:val="0"/>
      <w:marRight w:val="0"/>
      <w:marTop w:val="0"/>
      <w:marBottom w:val="0"/>
      <w:divBdr>
        <w:top w:val="none" w:sz="0" w:space="0" w:color="auto"/>
        <w:left w:val="none" w:sz="0" w:space="0" w:color="auto"/>
        <w:bottom w:val="none" w:sz="0" w:space="0" w:color="auto"/>
        <w:right w:val="none" w:sz="0" w:space="0" w:color="auto"/>
      </w:divBdr>
      <w:divsChild>
        <w:div w:id="1890609187">
          <w:marLeft w:val="0"/>
          <w:marRight w:val="0"/>
          <w:marTop w:val="0"/>
          <w:marBottom w:val="0"/>
          <w:divBdr>
            <w:top w:val="none" w:sz="0" w:space="0" w:color="auto"/>
            <w:left w:val="none" w:sz="0" w:space="0" w:color="auto"/>
            <w:bottom w:val="none" w:sz="0" w:space="0" w:color="auto"/>
            <w:right w:val="none" w:sz="0" w:space="0" w:color="auto"/>
          </w:divBdr>
          <w:divsChild>
            <w:div w:id="1124735411">
              <w:marLeft w:val="-225"/>
              <w:marRight w:val="-225"/>
              <w:marTop w:val="0"/>
              <w:marBottom w:val="0"/>
              <w:divBdr>
                <w:top w:val="none" w:sz="0" w:space="0" w:color="auto"/>
                <w:left w:val="none" w:sz="0" w:space="0" w:color="auto"/>
                <w:bottom w:val="none" w:sz="0" w:space="0" w:color="auto"/>
                <w:right w:val="none" w:sz="0" w:space="0" w:color="auto"/>
              </w:divBdr>
              <w:divsChild>
                <w:div w:id="124398083">
                  <w:marLeft w:val="0"/>
                  <w:marRight w:val="0"/>
                  <w:marTop w:val="0"/>
                  <w:marBottom w:val="0"/>
                  <w:divBdr>
                    <w:top w:val="none" w:sz="0" w:space="0" w:color="auto"/>
                    <w:left w:val="none" w:sz="0" w:space="0" w:color="auto"/>
                    <w:bottom w:val="none" w:sz="0" w:space="0" w:color="auto"/>
                    <w:right w:val="none" w:sz="0" w:space="0" w:color="auto"/>
                  </w:divBdr>
                  <w:divsChild>
                    <w:div w:id="475028565">
                      <w:marLeft w:val="-225"/>
                      <w:marRight w:val="-225"/>
                      <w:marTop w:val="300"/>
                      <w:marBottom w:val="0"/>
                      <w:divBdr>
                        <w:top w:val="none" w:sz="0" w:space="0" w:color="auto"/>
                        <w:left w:val="none" w:sz="0" w:space="0" w:color="auto"/>
                        <w:bottom w:val="none" w:sz="0" w:space="0" w:color="auto"/>
                        <w:right w:val="none" w:sz="0" w:space="0" w:color="auto"/>
                      </w:divBdr>
                      <w:divsChild>
                        <w:div w:id="1055666560">
                          <w:marLeft w:val="0"/>
                          <w:marRight w:val="0"/>
                          <w:marTop w:val="0"/>
                          <w:marBottom w:val="0"/>
                          <w:divBdr>
                            <w:top w:val="none" w:sz="0" w:space="0" w:color="auto"/>
                            <w:left w:val="none" w:sz="0" w:space="0" w:color="auto"/>
                            <w:bottom w:val="none" w:sz="0" w:space="0" w:color="auto"/>
                            <w:right w:val="none" w:sz="0" w:space="0" w:color="auto"/>
                          </w:divBdr>
                        </w:div>
                      </w:divsChild>
                    </w:div>
                    <w:div w:id="1577352388">
                      <w:marLeft w:val="0"/>
                      <w:marRight w:val="0"/>
                      <w:marTop w:val="0"/>
                      <w:marBottom w:val="0"/>
                      <w:divBdr>
                        <w:top w:val="none" w:sz="0" w:space="0" w:color="auto"/>
                        <w:left w:val="none" w:sz="0" w:space="0" w:color="auto"/>
                        <w:bottom w:val="none" w:sz="0" w:space="0" w:color="auto"/>
                        <w:right w:val="none" w:sz="0" w:space="0" w:color="auto"/>
                      </w:divBdr>
                    </w:div>
                    <w:div w:id="1258829194">
                      <w:marLeft w:val="0"/>
                      <w:marRight w:val="0"/>
                      <w:marTop w:val="0"/>
                      <w:marBottom w:val="0"/>
                      <w:divBdr>
                        <w:top w:val="none" w:sz="0" w:space="0" w:color="auto"/>
                        <w:left w:val="none" w:sz="0" w:space="0" w:color="auto"/>
                        <w:bottom w:val="none" w:sz="0" w:space="0" w:color="auto"/>
                        <w:right w:val="none" w:sz="0" w:space="0" w:color="auto"/>
                      </w:divBdr>
                      <w:divsChild>
                        <w:div w:id="506873572">
                          <w:marLeft w:val="0"/>
                          <w:marRight w:val="0"/>
                          <w:marTop w:val="0"/>
                          <w:marBottom w:val="0"/>
                          <w:divBdr>
                            <w:top w:val="none" w:sz="0" w:space="0" w:color="auto"/>
                            <w:left w:val="none" w:sz="0" w:space="0" w:color="auto"/>
                            <w:bottom w:val="none" w:sz="0" w:space="0" w:color="auto"/>
                            <w:right w:val="none" w:sz="0" w:space="0" w:color="auto"/>
                          </w:divBdr>
                        </w:div>
                        <w:div w:id="1194881611">
                          <w:marLeft w:val="0"/>
                          <w:marRight w:val="0"/>
                          <w:marTop w:val="0"/>
                          <w:marBottom w:val="0"/>
                          <w:divBdr>
                            <w:top w:val="none" w:sz="0" w:space="0" w:color="auto"/>
                            <w:left w:val="none" w:sz="0" w:space="0" w:color="auto"/>
                            <w:bottom w:val="none" w:sz="0" w:space="0" w:color="auto"/>
                            <w:right w:val="none" w:sz="0" w:space="0" w:color="auto"/>
                          </w:divBdr>
                        </w:div>
                        <w:div w:id="1137990802">
                          <w:marLeft w:val="0"/>
                          <w:marRight w:val="0"/>
                          <w:marTop w:val="240"/>
                          <w:marBottom w:val="0"/>
                          <w:divBdr>
                            <w:top w:val="none" w:sz="0" w:space="0" w:color="auto"/>
                            <w:left w:val="none" w:sz="0" w:space="0" w:color="auto"/>
                            <w:bottom w:val="none" w:sz="0" w:space="0" w:color="auto"/>
                            <w:right w:val="none" w:sz="0" w:space="0" w:color="auto"/>
                          </w:divBdr>
                        </w:div>
                        <w:div w:id="55979146">
                          <w:marLeft w:val="0"/>
                          <w:marRight w:val="0"/>
                          <w:marTop w:val="240"/>
                          <w:marBottom w:val="0"/>
                          <w:divBdr>
                            <w:top w:val="none" w:sz="0" w:space="0" w:color="auto"/>
                            <w:left w:val="none" w:sz="0" w:space="0" w:color="auto"/>
                            <w:bottom w:val="none" w:sz="0" w:space="0" w:color="auto"/>
                            <w:right w:val="none" w:sz="0" w:space="0" w:color="auto"/>
                          </w:divBdr>
                        </w:div>
                        <w:div w:id="105076874">
                          <w:marLeft w:val="0"/>
                          <w:marRight w:val="0"/>
                          <w:marTop w:val="0"/>
                          <w:marBottom w:val="0"/>
                          <w:divBdr>
                            <w:top w:val="none" w:sz="0" w:space="0" w:color="auto"/>
                            <w:left w:val="none" w:sz="0" w:space="0" w:color="auto"/>
                            <w:bottom w:val="none" w:sz="0" w:space="0" w:color="auto"/>
                            <w:right w:val="none" w:sz="0" w:space="0" w:color="auto"/>
                          </w:divBdr>
                          <w:divsChild>
                            <w:div w:id="108005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1918">
                  <w:marLeft w:val="0"/>
                  <w:marRight w:val="0"/>
                  <w:marTop w:val="150"/>
                  <w:marBottom w:val="0"/>
                  <w:divBdr>
                    <w:top w:val="none" w:sz="0" w:space="0" w:color="auto"/>
                    <w:left w:val="none" w:sz="0" w:space="0" w:color="auto"/>
                    <w:bottom w:val="none" w:sz="0" w:space="0" w:color="auto"/>
                    <w:right w:val="none" w:sz="0" w:space="0" w:color="auto"/>
                  </w:divBdr>
                  <w:divsChild>
                    <w:div w:id="216018811">
                      <w:marLeft w:val="-225"/>
                      <w:marRight w:val="-225"/>
                      <w:marTop w:val="0"/>
                      <w:marBottom w:val="0"/>
                      <w:divBdr>
                        <w:top w:val="none" w:sz="0" w:space="0" w:color="auto"/>
                        <w:left w:val="none" w:sz="0" w:space="0" w:color="auto"/>
                        <w:bottom w:val="none" w:sz="0" w:space="0" w:color="auto"/>
                        <w:right w:val="none" w:sz="0" w:space="0" w:color="auto"/>
                      </w:divBdr>
                      <w:divsChild>
                        <w:div w:id="1320965880">
                          <w:marLeft w:val="0"/>
                          <w:marRight w:val="0"/>
                          <w:marTop w:val="0"/>
                          <w:marBottom w:val="0"/>
                          <w:divBdr>
                            <w:top w:val="single" w:sz="12" w:space="11" w:color="905CB8"/>
                            <w:left w:val="single" w:sz="12" w:space="0" w:color="905CB8"/>
                            <w:bottom w:val="single" w:sz="12" w:space="11" w:color="905CB8"/>
                            <w:right w:val="single" w:sz="12" w:space="0" w:color="905CB8"/>
                          </w:divBdr>
                        </w:div>
                      </w:divsChild>
                    </w:div>
                  </w:divsChild>
                </w:div>
              </w:divsChild>
            </w:div>
          </w:divsChild>
        </w:div>
        <w:div w:id="1031565688">
          <w:marLeft w:val="0"/>
          <w:marRight w:val="0"/>
          <w:marTop w:val="0"/>
          <w:marBottom w:val="0"/>
          <w:divBdr>
            <w:top w:val="none" w:sz="0" w:space="0" w:color="auto"/>
            <w:left w:val="none" w:sz="0" w:space="0" w:color="auto"/>
            <w:bottom w:val="none" w:sz="0" w:space="0" w:color="auto"/>
            <w:right w:val="none" w:sz="0" w:space="0" w:color="auto"/>
          </w:divBdr>
        </w:div>
      </w:divsChild>
    </w:div>
    <w:div w:id="841362226">
      <w:bodyDiv w:val="1"/>
      <w:marLeft w:val="0"/>
      <w:marRight w:val="0"/>
      <w:marTop w:val="0"/>
      <w:marBottom w:val="0"/>
      <w:divBdr>
        <w:top w:val="none" w:sz="0" w:space="0" w:color="auto"/>
        <w:left w:val="none" w:sz="0" w:space="0" w:color="auto"/>
        <w:bottom w:val="none" w:sz="0" w:space="0" w:color="auto"/>
        <w:right w:val="none" w:sz="0" w:space="0" w:color="auto"/>
      </w:divBdr>
      <w:divsChild>
        <w:div w:id="1193613688">
          <w:marLeft w:val="-225"/>
          <w:marRight w:val="-225"/>
          <w:marTop w:val="300"/>
          <w:marBottom w:val="0"/>
          <w:divBdr>
            <w:top w:val="none" w:sz="0" w:space="0" w:color="auto"/>
            <w:left w:val="none" w:sz="0" w:space="0" w:color="auto"/>
            <w:bottom w:val="none" w:sz="0" w:space="0" w:color="auto"/>
            <w:right w:val="none" w:sz="0" w:space="0" w:color="auto"/>
          </w:divBdr>
          <w:divsChild>
            <w:div w:id="672415650">
              <w:marLeft w:val="0"/>
              <w:marRight w:val="0"/>
              <w:marTop w:val="0"/>
              <w:marBottom w:val="0"/>
              <w:divBdr>
                <w:top w:val="none" w:sz="0" w:space="0" w:color="auto"/>
                <w:left w:val="none" w:sz="0" w:space="0" w:color="auto"/>
                <w:bottom w:val="none" w:sz="0" w:space="0" w:color="auto"/>
                <w:right w:val="none" w:sz="0" w:space="0" w:color="auto"/>
              </w:divBdr>
            </w:div>
          </w:divsChild>
        </w:div>
        <w:div w:id="1865629769">
          <w:marLeft w:val="0"/>
          <w:marRight w:val="0"/>
          <w:marTop w:val="0"/>
          <w:marBottom w:val="0"/>
          <w:divBdr>
            <w:top w:val="none" w:sz="0" w:space="0" w:color="auto"/>
            <w:left w:val="none" w:sz="0" w:space="0" w:color="auto"/>
            <w:bottom w:val="none" w:sz="0" w:space="0" w:color="auto"/>
            <w:right w:val="none" w:sz="0" w:space="0" w:color="auto"/>
          </w:divBdr>
          <w:divsChild>
            <w:div w:id="309408317">
              <w:marLeft w:val="0"/>
              <w:marRight w:val="0"/>
              <w:marTop w:val="45"/>
              <w:marBottom w:val="0"/>
              <w:divBdr>
                <w:top w:val="none" w:sz="0" w:space="0" w:color="auto"/>
                <w:left w:val="none" w:sz="0" w:space="0" w:color="auto"/>
                <w:bottom w:val="none" w:sz="0" w:space="0" w:color="auto"/>
                <w:right w:val="none" w:sz="0" w:space="0" w:color="auto"/>
              </w:divBdr>
            </w:div>
            <w:div w:id="2008825102">
              <w:marLeft w:val="75"/>
              <w:marRight w:val="0"/>
              <w:marTop w:val="0"/>
              <w:marBottom w:val="0"/>
              <w:divBdr>
                <w:top w:val="single" w:sz="6" w:space="0" w:color="FFA80D"/>
                <w:left w:val="single" w:sz="6" w:space="4" w:color="FFA80D"/>
                <w:bottom w:val="single" w:sz="6" w:space="0" w:color="FFA80D"/>
                <w:right w:val="single" w:sz="6" w:space="4" w:color="FFA80D"/>
              </w:divBdr>
            </w:div>
          </w:divsChild>
        </w:div>
        <w:div w:id="1214927742">
          <w:marLeft w:val="0"/>
          <w:marRight w:val="0"/>
          <w:marTop w:val="0"/>
          <w:marBottom w:val="0"/>
          <w:divBdr>
            <w:top w:val="none" w:sz="0" w:space="0" w:color="auto"/>
            <w:left w:val="none" w:sz="0" w:space="0" w:color="auto"/>
            <w:bottom w:val="none" w:sz="0" w:space="0" w:color="auto"/>
            <w:right w:val="none" w:sz="0" w:space="0" w:color="auto"/>
          </w:divBdr>
          <w:divsChild>
            <w:div w:id="1302686637">
              <w:marLeft w:val="0"/>
              <w:marRight w:val="0"/>
              <w:marTop w:val="0"/>
              <w:marBottom w:val="0"/>
              <w:divBdr>
                <w:top w:val="none" w:sz="0" w:space="0" w:color="auto"/>
                <w:left w:val="none" w:sz="0" w:space="0" w:color="auto"/>
                <w:bottom w:val="none" w:sz="0" w:space="0" w:color="auto"/>
                <w:right w:val="none" w:sz="0" w:space="0" w:color="auto"/>
              </w:divBdr>
            </w:div>
            <w:div w:id="76899746">
              <w:marLeft w:val="0"/>
              <w:marRight w:val="0"/>
              <w:marTop w:val="0"/>
              <w:marBottom w:val="0"/>
              <w:divBdr>
                <w:top w:val="none" w:sz="0" w:space="0" w:color="auto"/>
                <w:left w:val="none" w:sz="0" w:space="0" w:color="auto"/>
                <w:bottom w:val="none" w:sz="0" w:space="0" w:color="auto"/>
                <w:right w:val="none" w:sz="0" w:space="0" w:color="auto"/>
              </w:divBdr>
            </w:div>
            <w:div w:id="583733172">
              <w:marLeft w:val="0"/>
              <w:marRight w:val="0"/>
              <w:marTop w:val="0"/>
              <w:marBottom w:val="0"/>
              <w:divBdr>
                <w:top w:val="none" w:sz="0" w:space="0" w:color="auto"/>
                <w:left w:val="none" w:sz="0" w:space="0" w:color="auto"/>
                <w:bottom w:val="none" w:sz="0" w:space="0" w:color="auto"/>
                <w:right w:val="none" w:sz="0" w:space="0" w:color="auto"/>
              </w:divBdr>
            </w:div>
            <w:div w:id="143206903">
              <w:marLeft w:val="0"/>
              <w:marRight w:val="0"/>
              <w:marTop w:val="0"/>
              <w:marBottom w:val="0"/>
              <w:divBdr>
                <w:top w:val="none" w:sz="0" w:space="0" w:color="auto"/>
                <w:left w:val="none" w:sz="0" w:space="0" w:color="auto"/>
                <w:bottom w:val="none" w:sz="0" w:space="0" w:color="auto"/>
                <w:right w:val="none" w:sz="0" w:space="0" w:color="auto"/>
              </w:divBdr>
            </w:div>
            <w:div w:id="1926381837">
              <w:marLeft w:val="0"/>
              <w:marRight w:val="0"/>
              <w:marTop w:val="0"/>
              <w:marBottom w:val="0"/>
              <w:divBdr>
                <w:top w:val="none" w:sz="0" w:space="0" w:color="auto"/>
                <w:left w:val="none" w:sz="0" w:space="0" w:color="auto"/>
                <w:bottom w:val="none" w:sz="0" w:space="0" w:color="auto"/>
                <w:right w:val="none" w:sz="0" w:space="0" w:color="auto"/>
              </w:divBdr>
            </w:div>
            <w:div w:id="854735992">
              <w:marLeft w:val="0"/>
              <w:marRight w:val="0"/>
              <w:marTop w:val="0"/>
              <w:marBottom w:val="0"/>
              <w:divBdr>
                <w:top w:val="none" w:sz="0" w:space="0" w:color="auto"/>
                <w:left w:val="none" w:sz="0" w:space="0" w:color="auto"/>
                <w:bottom w:val="none" w:sz="0" w:space="0" w:color="auto"/>
                <w:right w:val="none" w:sz="0" w:space="0" w:color="auto"/>
              </w:divBdr>
            </w:div>
            <w:div w:id="1341852428">
              <w:marLeft w:val="0"/>
              <w:marRight w:val="0"/>
              <w:marTop w:val="0"/>
              <w:marBottom w:val="0"/>
              <w:divBdr>
                <w:top w:val="none" w:sz="0" w:space="0" w:color="auto"/>
                <w:left w:val="none" w:sz="0" w:space="0" w:color="auto"/>
                <w:bottom w:val="none" w:sz="0" w:space="0" w:color="auto"/>
                <w:right w:val="none" w:sz="0" w:space="0" w:color="auto"/>
              </w:divBdr>
            </w:div>
            <w:div w:id="1549025652">
              <w:marLeft w:val="0"/>
              <w:marRight w:val="0"/>
              <w:marTop w:val="0"/>
              <w:marBottom w:val="0"/>
              <w:divBdr>
                <w:top w:val="none" w:sz="0" w:space="0" w:color="auto"/>
                <w:left w:val="none" w:sz="0" w:space="0" w:color="auto"/>
                <w:bottom w:val="none" w:sz="0" w:space="0" w:color="auto"/>
                <w:right w:val="none" w:sz="0" w:space="0" w:color="auto"/>
              </w:divBdr>
            </w:div>
            <w:div w:id="627468505">
              <w:marLeft w:val="0"/>
              <w:marRight w:val="0"/>
              <w:marTop w:val="0"/>
              <w:marBottom w:val="0"/>
              <w:divBdr>
                <w:top w:val="none" w:sz="0" w:space="0" w:color="auto"/>
                <w:left w:val="none" w:sz="0" w:space="0" w:color="auto"/>
                <w:bottom w:val="none" w:sz="0" w:space="0" w:color="auto"/>
                <w:right w:val="none" w:sz="0" w:space="0" w:color="auto"/>
              </w:divBdr>
            </w:div>
            <w:div w:id="1803379044">
              <w:marLeft w:val="0"/>
              <w:marRight w:val="0"/>
              <w:marTop w:val="0"/>
              <w:marBottom w:val="0"/>
              <w:divBdr>
                <w:top w:val="none" w:sz="0" w:space="0" w:color="auto"/>
                <w:left w:val="none" w:sz="0" w:space="0" w:color="auto"/>
                <w:bottom w:val="none" w:sz="0" w:space="0" w:color="auto"/>
                <w:right w:val="none" w:sz="0" w:space="0" w:color="auto"/>
              </w:divBdr>
            </w:div>
            <w:div w:id="1764842320">
              <w:marLeft w:val="0"/>
              <w:marRight w:val="0"/>
              <w:marTop w:val="0"/>
              <w:marBottom w:val="0"/>
              <w:divBdr>
                <w:top w:val="none" w:sz="0" w:space="0" w:color="auto"/>
                <w:left w:val="none" w:sz="0" w:space="0" w:color="auto"/>
                <w:bottom w:val="none" w:sz="0" w:space="0" w:color="auto"/>
                <w:right w:val="none" w:sz="0" w:space="0" w:color="auto"/>
              </w:divBdr>
            </w:div>
            <w:div w:id="639921778">
              <w:marLeft w:val="0"/>
              <w:marRight w:val="0"/>
              <w:marTop w:val="0"/>
              <w:marBottom w:val="0"/>
              <w:divBdr>
                <w:top w:val="none" w:sz="0" w:space="0" w:color="auto"/>
                <w:left w:val="none" w:sz="0" w:space="0" w:color="auto"/>
                <w:bottom w:val="none" w:sz="0" w:space="0" w:color="auto"/>
                <w:right w:val="none" w:sz="0" w:space="0" w:color="auto"/>
              </w:divBdr>
            </w:div>
            <w:div w:id="762264912">
              <w:marLeft w:val="0"/>
              <w:marRight w:val="0"/>
              <w:marTop w:val="0"/>
              <w:marBottom w:val="0"/>
              <w:divBdr>
                <w:top w:val="none" w:sz="0" w:space="0" w:color="auto"/>
                <w:left w:val="none" w:sz="0" w:space="0" w:color="auto"/>
                <w:bottom w:val="none" w:sz="0" w:space="0" w:color="auto"/>
                <w:right w:val="none" w:sz="0" w:space="0" w:color="auto"/>
              </w:divBdr>
            </w:div>
            <w:div w:id="890116344">
              <w:marLeft w:val="0"/>
              <w:marRight w:val="0"/>
              <w:marTop w:val="0"/>
              <w:marBottom w:val="0"/>
              <w:divBdr>
                <w:top w:val="none" w:sz="0" w:space="0" w:color="auto"/>
                <w:left w:val="none" w:sz="0" w:space="0" w:color="auto"/>
                <w:bottom w:val="none" w:sz="0" w:space="0" w:color="auto"/>
                <w:right w:val="none" w:sz="0" w:space="0" w:color="auto"/>
              </w:divBdr>
            </w:div>
            <w:div w:id="1631863980">
              <w:marLeft w:val="0"/>
              <w:marRight w:val="0"/>
              <w:marTop w:val="0"/>
              <w:marBottom w:val="0"/>
              <w:divBdr>
                <w:top w:val="none" w:sz="0" w:space="0" w:color="auto"/>
                <w:left w:val="none" w:sz="0" w:space="0" w:color="auto"/>
                <w:bottom w:val="none" w:sz="0" w:space="0" w:color="auto"/>
                <w:right w:val="none" w:sz="0" w:space="0" w:color="auto"/>
              </w:divBdr>
            </w:div>
            <w:div w:id="503253078">
              <w:marLeft w:val="0"/>
              <w:marRight w:val="0"/>
              <w:marTop w:val="0"/>
              <w:marBottom w:val="0"/>
              <w:divBdr>
                <w:top w:val="none" w:sz="0" w:space="0" w:color="auto"/>
                <w:left w:val="none" w:sz="0" w:space="0" w:color="auto"/>
                <w:bottom w:val="none" w:sz="0" w:space="0" w:color="auto"/>
                <w:right w:val="none" w:sz="0" w:space="0" w:color="auto"/>
              </w:divBdr>
            </w:div>
            <w:div w:id="1509129796">
              <w:marLeft w:val="0"/>
              <w:marRight w:val="0"/>
              <w:marTop w:val="0"/>
              <w:marBottom w:val="0"/>
              <w:divBdr>
                <w:top w:val="none" w:sz="0" w:space="0" w:color="auto"/>
                <w:left w:val="none" w:sz="0" w:space="0" w:color="auto"/>
                <w:bottom w:val="none" w:sz="0" w:space="0" w:color="auto"/>
                <w:right w:val="none" w:sz="0" w:space="0" w:color="auto"/>
              </w:divBdr>
            </w:div>
            <w:div w:id="630019618">
              <w:marLeft w:val="0"/>
              <w:marRight w:val="0"/>
              <w:marTop w:val="0"/>
              <w:marBottom w:val="0"/>
              <w:divBdr>
                <w:top w:val="none" w:sz="0" w:space="0" w:color="auto"/>
                <w:left w:val="none" w:sz="0" w:space="0" w:color="auto"/>
                <w:bottom w:val="none" w:sz="0" w:space="0" w:color="auto"/>
                <w:right w:val="none" w:sz="0" w:space="0" w:color="auto"/>
              </w:divBdr>
            </w:div>
            <w:div w:id="112795327">
              <w:marLeft w:val="0"/>
              <w:marRight w:val="0"/>
              <w:marTop w:val="0"/>
              <w:marBottom w:val="0"/>
              <w:divBdr>
                <w:top w:val="none" w:sz="0" w:space="0" w:color="auto"/>
                <w:left w:val="none" w:sz="0" w:space="0" w:color="auto"/>
                <w:bottom w:val="none" w:sz="0" w:space="0" w:color="auto"/>
                <w:right w:val="none" w:sz="0" w:space="0" w:color="auto"/>
              </w:divBdr>
            </w:div>
            <w:div w:id="205530324">
              <w:marLeft w:val="0"/>
              <w:marRight w:val="0"/>
              <w:marTop w:val="240"/>
              <w:marBottom w:val="0"/>
              <w:divBdr>
                <w:top w:val="none" w:sz="0" w:space="0" w:color="auto"/>
                <w:left w:val="none" w:sz="0" w:space="0" w:color="auto"/>
                <w:bottom w:val="none" w:sz="0" w:space="0" w:color="auto"/>
                <w:right w:val="none" w:sz="0" w:space="0" w:color="auto"/>
              </w:divBdr>
            </w:div>
            <w:div w:id="189453926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942152490">
      <w:bodyDiv w:val="1"/>
      <w:marLeft w:val="0"/>
      <w:marRight w:val="0"/>
      <w:marTop w:val="0"/>
      <w:marBottom w:val="0"/>
      <w:divBdr>
        <w:top w:val="none" w:sz="0" w:space="0" w:color="auto"/>
        <w:left w:val="none" w:sz="0" w:space="0" w:color="auto"/>
        <w:bottom w:val="none" w:sz="0" w:space="0" w:color="auto"/>
        <w:right w:val="none" w:sz="0" w:space="0" w:color="auto"/>
      </w:divBdr>
      <w:divsChild>
        <w:div w:id="1791585815">
          <w:marLeft w:val="-225"/>
          <w:marRight w:val="-225"/>
          <w:marTop w:val="300"/>
          <w:marBottom w:val="0"/>
          <w:divBdr>
            <w:top w:val="none" w:sz="0" w:space="0" w:color="auto"/>
            <w:left w:val="none" w:sz="0" w:space="0" w:color="auto"/>
            <w:bottom w:val="none" w:sz="0" w:space="0" w:color="auto"/>
            <w:right w:val="none" w:sz="0" w:space="0" w:color="auto"/>
          </w:divBdr>
          <w:divsChild>
            <w:div w:id="1640767780">
              <w:marLeft w:val="0"/>
              <w:marRight w:val="0"/>
              <w:marTop w:val="0"/>
              <w:marBottom w:val="0"/>
              <w:divBdr>
                <w:top w:val="none" w:sz="0" w:space="0" w:color="auto"/>
                <w:left w:val="none" w:sz="0" w:space="0" w:color="auto"/>
                <w:bottom w:val="none" w:sz="0" w:space="0" w:color="auto"/>
                <w:right w:val="none" w:sz="0" w:space="0" w:color="auto"/>
              </w:divBdr>
            </w:div>
          </w:divsChild>
        </w:div>
        <w:div w:id="386296335">
          <w:marLeft w:val="0"/>
          <w:marRight w:val="0"/>
          <w:marTop w:val="0"/>
          <w:marBottom w:val="0"/>
          <w:divBdr>
            <w:top w:val="none" w:sz="0" w:space="0" w:color="auto"/>
            <w:left w:val="none" w:sz="0" w:space="0" w:color="auto"/>
            <w:bottom w:val="none" w:sz="0" w:space="0" w:color="auto"/>
            <w:right w:val="none" w:sz="0" w:space="0" w:color="auto"/>
          </w:divBdr>
        </w:div>
        <w:div w:id="331370666">
          <w:marLeft w:val="0"/>
          <w:marRight w:val="0"/>
          <w:marTop w:val="0"/>
          <w:marBottom w:val="0"/>
          <w:divBdr>
            <w:top w:val="none" w:sz="0" w:space="0" w:color="auto"/>
            <w:left w:val="none" w:sz="0" w:space="0" w:color="auto"/>
            <w:bottom w:val="none" w:sz="0" w:space="0" w:color="auto"/>
            <w:right w:val="none" w:sz="0" w:space="0" w:color="auto"/>
          </w:divBdr>
          <w:divsChild>
            <w:div w:id="1900943311">
              <w:marLeft w:val="0"/>
              <w:marRight w:val="0"/>
              <w:marTop w:val="0"/>
              <w:marBottom w:val="0"/>
              <w:divBdr>
                <w:top w:val="none" w:sz="0" w:space="0" w:color="auto"/>
                <w:left w:val="none" w:sz="0" w:space="0" w:color="auto"/>
                <w:bottom w:val="none" w:sz="0" w:space="0" w:color="auto"/>
                <w:right w:val="none" w:sz="0" w:space="0" w:color="auto"/>
              </w:divBdr>
            </w:div>
            <w:div w:id="1896162263">
              <w:marLeft w:val="0"/>
              <w:marRight w:val="0"/>
              <w:marTop w:val="0"/>
              <w:marBottom w:val="0"/>
              <w:divBdr>
                <w:top w:val="none" w:sz="0" w:space="0" w:color="auto"/>
                <w:left w:val="none" w:sz="0" w:space="0" w:color="auto"/>
                <w:bottom w:val="none" w:sz="0" w:space="0" w:color="auto"/>
                <w:right w:val="none" w:sz="0" w:space="0" w:color="auto"/>
              </w:divBdr>
            </w:div>
            <w:div w:id="1822892854">
              <w:marLeft w:val="0"/>
              <w:marRight w:val="0"/>
              <w:marTop w:val="0"/>
              <w:marBottom w:val="0"/>
              <w:divBdr>
                <w:top w:val="none" w:sz="0" w:space="0" w:color="auto"/>
                <w:left w:val="none" w:sz="0" w:space="0" w:color="auto"/>
                <w:bottom w:val="none" w:sz="0" w:space="0" w:color="auto"/>
                <w:right w:val="none" w:sz="0" w:space="0" w:color="auto"/>
              </w:divBdr>
              <w:divsChild>
                <w:div w:id="2025932801">
                  <w:marLeft w:val="0"/>
                  <w:marRight w:val="0"/>
                  <w:marTop w:val="0"/>
                  <w:marBottom w:val="0"/>
                  <w:divBdr>
                    <w:top w:val="none" w:sz="0" w:space="0" w:color="auto"/>
                    <w:left w:val="none" w:sz="0" w:space="0" w:color="auto"/>
                    <w:bottom w:val="none" w:sz="0" w:space="0" w:color="auto"/>
                    <w:right w:val="none" w:sz="0" w:space="0" w:color="auto"/>
                  </w:divBdr>
                </w:div>
              </w:divsChild>
            </w:div>
            <w:div w:id="1860461576">
              <w:marLeft w:val="0"/>
              <w:marRight w:val="0"/>
              <w:marTop w:val="0"/>
              <w:marBottom w:val="0"/>
              <w:divBdr>
                <w:top w:val="none" w:sz="0" w:space="0" w:color="auto"/>
                <w:left w:val="none" w:sz="0" w:space="0" w:color="auto"/>
                <w:bottom w:val="none" w:sz="0" w:space="0" w:color="auto"/>
                <w:right w:val="none" w:sz="0" w:space="0" w:color="auto"/>
              </w:divBdr>
            </w:div>
            <w:div w:id="1819806221">
              <w:marLeft w:val="0"/>
              <w:marRight w:val="0"/>
              <w:marTop w:val="0"/>
              <w:marBottom w:val="0"/>
              <w:divBdr>
                <w:top w:val="none" w:sz="0" w:space="0" w:color="auto"/>
                <w:left w:val="none" w:sz="0" w:space="0" w:color="auto"/>
                <w:bottom w:val="none" w:sz="0" w:space="0" w:color="auto"/>
                <w:right w:val="none" w:sz="0" w:space="0" w:color="auto"/>
              </w:divBdr>
              <w:divsChild>
                <w:div w:id="66663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760984">
      <w:bodyDiv w:val="1"/>
      <w:marLeft w:val="0"/>
      <w:marRight w:val="0"/>
      <w:marTop w:val="0"/>
      <w:marBottom w:val="0"/>
      <w:divBdr>
        <w:top w:val="none" w:sz="0" w:space="0" w:color="auto"/>
        <w:left w:val="none" w:sz="0" w:space="0" w:color="auto"/>
        <w:bottom w:val="none" w:sz="0" w:space="0" w:color="auto"/>
        <w:right w:val="none" w:sz="0" w:space="0" w:color="auto"/>
      </w:divBdr>
      <w:divsChild>
        <w:div w:id="2120486237">
          <w:marLeft w:val="0"/>
          <w:marRight w:val="0"/>
          <w:marTop w:val="0"/>
          <w:marBottom w:val="720"/>
          <w:divBdr>
            <w:top w:val="none" w:sz="0" w:space="0" w:color="auto"/>
            <w:left w:val="none" w:sz="0" w:space="0" w:color="auto"/>
            <w:bottom w:val="none" w:sz="0" w:space="0" w:color="auto"/>
            <w:right w:val="none" w:sz="0" w:space="0" w:color="auto"/>
          </w:divBdr>
          <w:divsChild>
            <w:div w:id="1409494903">
              <w:marLeft w:val="0"/>
              <w:marRight w:val="0"/>
              <w:marTop w:val="0"/>
              <w:marBottom w:val="150"/>
              <w:divBdr>
                <w:top w:val="none" w:sz="0" w:space="0" w:color="auto"/>
                <w:left w:val="none" w:sz="0" w:space="0" w:color="auto"/>
                <w:bottom w:val="none" w:sz="0" w:space="0" w:color="auto"/>
                <w:right w:val="none" w:sz="0" w:space="0" w:color="auto"/>
              </w:divBdr>
            </w:div>
          </w:divsChild>
        </w:div>
        <w:div w:id="1673099351">
          <w:marLeft w:val="0"/>
          <w:marRight w:val="0"/>
          <w:marTop w:val="0"/>
          <w:marBottom w:val="0"/>
          <w:divBdr>
            <w:top w:val="none" w:sz="0" w:space="0" w:color="auto"/>
            <w:left w:val="none" w:sz="0" w:space="0" w:color="auto"/>
            <w:bottom w:val="none" w:sz="0" w:space="0" w:color="auto"/>
            <w:right w:val="none" w:sz="0" w:space="0" w:color="auto"/>
          </w:divBdr>
          <w:divsChild>
            <w:div w:id="789862140">
              <w:marLeft w:val="-225"/>
              <w:marRight w:val="-225"/>
              <w:marTop w:val="300"/>
              <w:marBottom w:val="0"/>
              <w:divBdr>
                <w:top w:val="none" w:sz="0" w:space="0" w:color="auto"/>
                <w:left w:val="none" w:sz="0" w:space="0" w:color="auto"/>
                <w:bottom w:val="none" w:sz="0" w:space="0" w:color="auto"/>
                <w:right w:val="none" w:sz="0" w:space="0" w:color="auto"/>
              </w:divBdr>
              <w:divsChild>
                <w:div w:id="832524582">
                  <w:marLeft w:val="0"/>
                  <w:marRight w:val="0"/>
                  <w:marTop w:val="0"/>
                  <w:marBottom w:val="0"/>
                  <w:divBdr>
                    <w:top w:val="none" w:sz="0" w:space="0" w:color="auto"/>
                    <w:left w:val="none" w:sz="0" w:space="0" w:color="auto"/>
                    <w:bottom w:val="none" w:sz="0" w:space="0" w:color="auto"/>
                    <w:right w:val="none" w:sz="0" w:space="0" w:color="auto"/>
                  </w:divBdr>
                </w:div>
              </w:divsChild>
            </w:div>
            <w:div w:id="646594898">
              <w:marLeft w:val="0"/>
              <w:marRight w:val="0"/>
              <w:marTop w:val="0"/>
              <w:marBottom w:val="0"/>
              <w:divBdr>
                <w:top w:val="none" w:sz="0" w:space="0" w:color="auto"/>
                <w:left w:val="none" w:sz="0" w:space="0" w:color="auto"/>
                <w:bottom w:val="none" w:sz="0" w:space="0" w:color="auto"/>
                <w:right w:val="none" w:sz="0" w:space="0" w:color="auto"/>
              </w:divBdr>
            </w:div>
            <w:div w:id="418991062">
              <w:marLeft w:val="0"/>
              <w:marRight w:val="0"/>
              <w:marTop w:val="0"/>
              <w:marBottom w:val="0"/>
              <w:divBdr>
                <w:top w:val="none" w:sz="0" w:space="0" w:color="auto"/>
                <w:left w:val="none" w:sz="0" w:space="0" w:color="auto"/>
                <w:bottom w:val="none" w:sz="0" w:space="0" w:color="auto"/>
                <w:right w:val="none" w:sz="0" w:space="0" w:color="auto"/>
              </w:divBdr>
              <w:divsChild>
                <w:div w:id="229733125">
                  <w:marLeft w:val="0"/>
                  <w:marRight w:val="0"/>
                  <w:marTop w:val="0"/>
                  <w:marBottom w:val="0"/>
                  <w:divBdr>
                    <w:top w:val="none" w:sz="0" w:space="0" w:color="auto"/>
                    <w:left w:val="none" w:sz="0" w:space="0" w:color="auto"/>
                    <w:bottom w:val="none" w:sz="0" w:space="0" w:color="auto"/>
                    <w:right w:val="none" w:sz="0" w:space="0" w:color="auto"/>
                  </w:divBdr>
                </w:div>
                <w:div w:id="1104347756">
                  <w:marLeft w:val="0"/>
                  <w:marRight w:val="0"/>
                  <w:marTop w:val="0"/>
                  <w:marBottom w:val="0"/>
                  <w:divBdr>
                    <w:top w:val="none" w:sz="0" w:space="0" w:color="auto"/>
                    <w:left w:val="none" w:sz="0" w:space="0" w:color="auto"/>
                    <w:bottom w:val="none" w:sz="0" w:space="0" w:color="auto"/>
                    <w:right w:val="none" w:sz="0" w:space="0" w:color="auto"/>
                  </w:divBdr>
                </w:div>
                <w:div w:id="1594166245">
                  <w:marLeft w:val="0"/>
                  <w:marRight w:val="0"/>
                  <w:marTop w:val="0"/>
                  <w:marBottom w:val="0"/>
                  <w:divBdr>
                    <w:top w:val="none" w:sz="0" w:space="0" w:color="auto"/>
                    <w:left w:val="none" w:sz="0" w:space="0" w:color="auto"/>
                    <w:bottom w:val="none" w:sz="0" w:space="0" w:color="auto"/>
                    <w:right w:val="none" w:sz="0" w:space="0" w:color="auto"/>
                  </w:divBdr>
                </w:div>
                <w:div w:id="1421026429">
                  <w:marLeft w:val="0"/>
                  <w:marRight w:val="0"/>
                  <w:marTop w:val="0"/>
                  <w:marBottom w:val="0"/>
                  <w:divBdr>
                    <w:top w:val="none" w:sz="0" w:space="0" w:color="auto"/>
                    <w:left w:val="none" w:sz="0" w:space="0" w:color="auto"/>
                    <w:bottom w:val="none" w:sz="0" w:space="0" w:color="auto"/>
                    <w:right w:val="none" w:sz="0" w:space="0" w:color="auto"/>
                  </w:divBdr>
                </w:div>
                <w:div w:id="134454760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159612543">
      <w:bodyDiv w:val="1"/>
      <w:marLeft w:val="0"/>
      <w:marRight w:val="0"/>
      <w:marTop w:val="0"/>
      <w:marBottom w:val="0"/>
      <w:divBdr>
        <w:top w:val="none" w:sz="0" w:space="0" w:color="auto"/>
        <w:left w:val="none" w:sz="0" w:space="0" w:color="auto"/>
        <w:bottom w:val="none" w:sz="0" w:space="0" w:color="auto"/>
        <w:right w:val="none" w:sz="0" w:space="0" w:color="auto"/>
      </w:divBdr>
      <w:divsChild>
        <w:div w:id="1323197064">
          <w:marLeft w:val="0"/>
          <w:marRight w:val="0"/>
          <w:marTop w:val="0"/>
          <w:marBottom w:val="0"/>
          <w:divBdr>
            <w:top w:val="none" w:sz="0" w:space="0" w:color="auto"/>
            <w:left w:val="none" w:sz="0" w:space="0" w:color="auto"/>
            <w:bottom w:val="none" w:sz="0" w:space="0" w:color="auto"/>
            <w:right w:val="none" w:sz="0" w:space="0" w:color="auto"/>
          </w:divBdr>
          <w:divsChild>
            <w:div w:id="215632685">
              <w:marLeft w:val="-225"/>
              <w:marRight w:val="-225"/>
              <w:marTop w:val="300"/>
              <w:marBottom w:val="0"/>
              <w:divBdr>
                <w:top w:val="none" w:sz="0" w:space="0" w:color="auto"/>
                <w:left w:val="none" w:sz="0" w:space="0" w:color="auto"/>
                <w:bottom w:val="none" w:sz="0" w:space="0" w:color="auto"/>
                <w:right w:val="none" w:sz="0" w:space="0" w:color="auto"/>
              </w:divBdr>
              <w:divsChild>
                <w:div w:id="93090434">
                  <w:marLeft w:val="0"/>
                  <w:marRight w:val="0"/>
                  <w:marTop w:val="0"/>
                  <w:marBottom w:val="0"/>
                  <w:divBdr>
                    <w:top w:val="none" w:sz="0" w:space="0" w:color="auto"/>
                    <w:left w:val="none" w:sz="0" w:space="0" w:color="auto"/>
                    <w:bottom w:val="none" w:sz="0" w:space="0" w:color="auto"/>
                    <w:right w:val="none" w:sz="0" w:space="0" w:color="auto"/>
                  </w:divBdr>
                </w:div>
              </w:divsChild>
            </w:div>
            <w:div w:id="356587369">
              <w:marLeft w:val="0"/>
              <w:marRight w:val="0"/>
              <w:marTop w:val="0"/>
              <w:marBottom w:val="0"/>
              <w:divBdr>
                <w:top w:val="none" w:sz="0" w:space="0" w:color="auto"/>
                <w:left w:val="none" w:sz="0" w:space="0" w:color="auto"/>
                <w:bottom w:val="none" w:sz="0" w:space="0" w:color="auto"/>
                <w:right w:val="none" w:sz="0" w:space="0" w:color="auto"/>
              </w:divBdr>
            </w:div>
            <w:div w:id="1223831996">
              <w:marLeft w:val="0"/>
              <w:marRight w:val="0"/>
              <w:marTop w:val="0"/>
              <w:marBottom w:val="0"/>
              <w:divBdr>
                <w:top w:val="none" w:sz="0" w:space="0" w:color="auto"/>
                <w:left w:val="none" w:sz="0" w:space="0" w:color="auto"/>
                <w:bottom w:val="none" w:sz="0" w:space="0" w:color="auto"/>
                <w:right w:val="none" w:sz="0" w:space="0" w:color="auto"/>
              </w:divBdr>
              <w:divsChild>
                <w:div w:id="408238350">
                  <w:marLeft w:val="0"/>
                  <w:marRight w:val="0"/>
                  <w:marTop w:val="0"/>
                  <w:marBottom w:val="0"/>
                  <w:divBdr>
                    <w:top w:val="none" w:sz="0" w:space="0" w:color="auto"/>
                    <w:left w:val="none" w:sz="0" w:space="0" w:color="auto"/>
                    <w:bottom w:val="none" w:sz="0" w:space="0" w:color="auto"/>
                    <w:right w:val="none" w:sz="0" w:space="0" w:color="auto"/>
                  </w:divBdr>
                </w:div>
                <w:div w:id="1733381277">
                  <w:marLeft w:val="0"/>
                  <w:marRight w:val="0"/>
                  <w:marTop w:val="0"/>
                  <w:marBottom w:val="0"/>
                  <w:divBdr>
                    <w:top w:val="none" w:sz="0" w:space="0" w:color="auto"/>
                    <w:left w:val="none" w:sz="0" w:space="0" w:color="auto"/>
                    <w:bottom w:val="none" w:sz="0" w:space="0" w:color="auto"/>
                    <w:right w:val="none" w:sz="0" w:space="0" w:color="auto"/>
                  </w:divBdr>
                </w:div>
                <w:div w:id="1425178430">
                  <w:marLeft w:val="0"/>
                  <w:marRight w:val="0"/>
                  <w:marTop w:val="0"/>
                  <w:marBottom w:val="0"/>
                  <w:divBdr>
                    <w:top w:val="none" w:sz="0" w:space="0" w:color="auto"/>
                    <w:left w:val="none" w:sz="0" w:space="0" w:color="auto"/>
                    <w:bottom w:val="none" w:sz="0" w:space="0" w:color="auto"/>
                    <w:right w:val="none" w:sz="0" w:space="0" w:color="auto"/>
                  </w:divBdr>
                  <w:divsChild>
                    <w:div w:id="1344623157">
                      <w:marLeft w:val="0"/>
                      <w:marRight w:val="0"/>
                      <w:marTop w:val="0"/>
                      <w:marBottom w:val="0"/>
                      <w:divBdr>
                        <w:top w:val="none" w:sz="0" w:space="0" w:color="auto"/>
                        <w:left w:val="none" w:sz="0" w:space="0" w:color="auto"/>
                        <w:bottom w:val="none" w:sz="0" w:space="0" w:color="auto"/>
                        <w:right w:val="none" w:sz="0" w:space="0" w:color="auto"/>
                      </w:divBdr>
                    </w:div>
                  </w:divsChild>
                </w:div>
                <w:div w:id="537667359">
                  <w:marLeft w:val="0"/>
                  <w:marRight w:val="0"/>
                  <w:marTop w:val="0"/>
                  <w:marBottom w:val="0"/>
                  <w:divBdr>
                    <w:top w:val="none" w:sz="0" w:space="0" w:color="auto"/>
                    <w:left w:val="none" w:sz="0" w:space="0" w:color="auto"/>
                    <w:bottom w:val="none" w:sz="0" w:space="0" w:color="auto"/>
                    <w:right w:val="none" w:sz="0" w:space="0" w:color="auto"/>
                  </w:divBdr>
                </w:div>
                <w:div w:id="1788355999">
                  <w:marLeft w:val="0"/>
                  <w:marRight w:val="0"/>
                  <w:marTop w:val="0"/>
                  <w:marBottom w:val="0"/>
                  <w:divBdr>
                    <w:top w:val="none" w:sz="0" w:space="0" w:color="auto"/>
                    <w:left w:val="none" w:sz="0" w:space="0" w:color="auto"/>
                    <w:bottom w:val="none" w:sz="0" w:space="0" w:color="auto"/>
                    <w:right w:val="none" w:sz="0" w:space="0" w:color="auto"/>
                  </w:divBdr>
                  <w:divsChild>
                    <w:div w:id="183595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699701">
              <w:marLeft w:val="0"/>
              <w:marRight w:val="0"/>
              <w:marTop w:val="0"/>
              <w:marBottom w:val="0"/>
              <w:divBdr>
                <w:top w:val="none" w:sz="0" w:space="0" w:color="auto"/>
                <w:left w:val="none" w:sz="0" w:space="0" w:color="auto"/>
                <w:bottom w:val="none" w:sz="0" w:space="0" w:color="auto"/>
                <w:right w:val="none" w:sz="0" w:space="0" w:color="auto"/>
              </w:divBdr>
            </w:div>
            <w:div w:id="314921408">
              <w:marLeft w:val="0"/>
              <w:marRight w:val="0"/>
              <w:marTop w:val="0"/>
              <w:marBottom w:val="0"/>
              <w:divBdr>
                <w:top w:val="none" w:sz="0" w:space="0" w:color="auto"/>
                <w:left w:val="none" w:sz="0" w:space="0" w:color="auto"/>
                <w:bottom w:val="none" w:sz="0" w:space="0" w:color="auto"/>
                <w:right w:val="none" w:sz="0" w:space="0" w:color="auto"/>
              </w:divBdr>
            </w:div>
          </w:divsChild>
        </w:div>
        <w:div w:id="1440443261">
          <w:marLeft w:val="0"/>
          <w:marRight w:val="0"/>
          <w:marTop w:val="150"/>
          <w:marBottom w:val="0"/>
          <w:divBdr>
            <w:top w:val="none" w:sz="0" w:space="0" w:color="auto"/>
            <w:left w:val="none" w:sz="0" w:space="0" w:color="auto"/>
            <w:bottom w:val="none" w:sz="0" w:space="0" w:color="auto"/>
            <w:right w:val="none" w:sz="0" w:space="0" w:color="auto"/>
          </w:divBdr>
          <w:divsChild>
            <w:div w:id="826288093">
              <w:marLeft w:val="-225"/>
              <w:marRight w:val="-225"/>
              <w:marTop w:val="0"/>
              <w:marBottom w:val="0"/>
              <w:divBdr>
                <w:top w:val="none" w:sz="0" w:space="0" w:color="auto"/>
                <w:left w:val="none" w:sz="0" w:space="0" w:color="auto"/>
                <w:bottom w:val="none" w:sz="0" w:space="0" w:color="auto"/>
                <w:right w:val="none" w:sz="0" w:space="0" w:color="auto"/>
              </w:divBdr>
              <w:divsChild>
                <w:div w:id="472717287">
                  <w:marLeft w:val="0"/>
                  <w:marRight w:val="0"/>
                  <w:marTop w:val="0"/>
                  <w:marBottom w:val="0"/>
                  <w:divBdr>
                    <w:top w:val="single" w:sz="12" w:space="11" w:color="905CB8"/>
                    <w:left w:val="single" w:sz="12" w:space="0" w:color="905CB8"/>
                    <w:bottom w:val="single" w:sz="12" w:space="11" w:color="905CB8"/>
                    <w:right w:val="single" w:sz="12" w:space="0" w:color="905CB8"/>
                  </w:divBdr>
                </w:div>
                <w:div w:id="502284417">
                  <w:marLeft w:val="0"/>
                  <w:marRight w:val="0"/>
                  <w:marTop w:val="450"/>
                  <w:marBottom w:val="0"/>
                  <w:divBdr>
                    <w:top w:val="none" w:sz="0" w:space="0" w:color="auto"/>
                    <w:left w:val="none" w:sz="0" w:space="0" w:color="auto"/>
                    <w:bottom w:val="none" w:sz="0" w:space="0" w:color="auto"/>
                    <w:right w:val="none" w:sz="0" w:space="0" w:color="auto"/>
                  </w:divBdr>
                  <w:divsChild>
                    <w:div w:id="2111274270">
                      <w:marLeft w:val="0"/>
                      <w:marRight w:val="0"/>
                      <w:marTop w:val="0"/>
                      <w:marBottom w:val="0"/>
                      <w:divBdr>
                        <w:top w:val="single" w:sz="12" w:space="11" w:color="905CB8"/>
                        <w:left w:val="single" w:sz="12" w:space="0" w:color="905CB8"/>
                        <w:bottom w:val="single" w:sz="12" w:space="11" w:color="905CB8"/>
                        <w:right w:val="single" w:sz="12" w:space="0" w:color="905CB8"/>
                      </w:divBdr>
                    </w:div>
                  </w:divsChild>
                </w:div>
              </w:divsChild>
            </w:div>
          </w:divsChild>
        </w:div>
      </w:divsChild>
    </w:div>
    <w:div w:id="1312128186">
      <w:bodyDiv w:val="1"/>
      <w:marLeft w:val="0"/>
      <w:marRight w:val="0"/>
      <w:marTop w:val="0"/>
      <w:marBottom w:val="0"/>
      <w:divBdr>
        <w:top w:val="none" w:sz="0" w:space="0" w:color="auto"/>
        <w:left w:val="none" w:sz="0" w:space="0" w:color="auto"/>
        <w:bottom w:val="none" w:sz="0" w:space="0" w:color="auto"/>
        <w:right w:val="none" w:sz="0" w:space="0" w:color="auto"/>
      </w:divBdr>
      <w:divsChild>
        <w:div w:id="2083870584">
          <w:marLeft w:val="-225"/>
          <w:marRight w:val="-225"/>
          <w:marTop w:val="300"/>
          <w:marBottom w:val="0"/>
          <w:divBdr>
            <w:top w:val="none" w:sz="0" w:space="0" w:color="auto"/>
            <w:left w:val="none" w:sz="0" w:space="0" w:color="auto"/>
            <w:bottom w:val="none" w:sz="0" w:space="0" w:color="auto"/>
            <w:right w:val="none" w:sz="0" w:space="0" w:color="auto"/>
          </w:divBdr>
          <w:divsChild>
            <w:div w:id="1285189666">
              <w:marLeft w:val="0"/>
              <w:marRight w:val="0"/>
              <w:marTop w:val="0"/>
              <w:marBottom w:val="0"/>
              <w:divBdr>
                <w:top w:val="none" w:sz="0" w:space="0" w:color="auto"/>
                <w:left w:val="none" w:sz="0" w:space="0" w:color="auto"/>
                <w:bottom w:val="none" w:sz="0" w:space="0" w:color="auto"/>
                <w:right w:val="none" w:sz="0" w:space="0" w:color="auto"/>
              </w:divBdr>
            </w:div>
          </w:divsChild>
        </w:div>
        <w:div w:id="1042904114">
          <w:marLeft w:val="0"/>
          <w:marRight w:val="0"/>
          <w:marTop w:val="0"/>
          <w:marBottom w:val="0"/>
          <w:divBdr>
            <w:top w:val="none" w:sz="0" w:space="0" w:color="auto"/>
            <w:left w:val="none" w:sz="0" w:space="0" w:color="auto"/>
            <w:bottom w:val="none" w:sz="0" w:space="0" w:color="auto"/>
            <w:right w:val="none" w:sz="0" w:space="0" w:color="auto"/>
          </w:divBdr>
        </w:div>
      </w:divsChild>
    </w:div>
    <w:div w:id="1346057344">
      <w:bodyDiv w:val="1"/>
      <w:marLeft w:val="0"/>
      <w:marRight w:val="0"/>
      <w:marTop w:val="0"/>
      <w:marBottom w:val="0"/>
      <w:divBdr>
        <w:top w:val="none" w:sz="0" w:space="0" w:color="auto"/>
        <w:left w:val="none" w:sz="0" w:space="0" w:color="auto"/>
        <w:bottom w:val="none" w:sz="0" w:space="0" w:color="auto"/>
        <w:right w:val="none" w:sz="0" w:space="0" w:color="auto"/>
      </w:divBdr>
      <w:divsChild>
        <w:div w:id="1090084394">
          <w:marLeft w:val="0"/>
          <w:marRight w:val="0"/>
          <w:marTop w:val="0"/>
          <w:marBottom w:val="0"/>
          <w:divBdr>
            <w:top w:val="none" w:sz="0" w:space="0" w:color="auto"/>
            <w:left w:val="none" w:sz="0" w:space="0" w:color="auto"/>
            <w:bottom w:val="none" w:sz="0" w:space="0" w:color="auto"/>
            <w:right w:val="none" w:sz="0" w:space="0" w:color="auto"/>
          </w:divBdr>
        </w:div>
        <w:div w:id="513804261">
          <w:marLeft w:val="0"/>
          <w:marRight w:val="0"/>
          <w:marTop w:val="240"/>
          <w:marBottom w:val="0"/>
          <w:divBdr>
            <w:top w:val="none" w:sz="0" w:space="0" w:color="auto"/>
            <w:left w:val="none" w:sz="0" w:space="0" w:color="auto"/>
            <w:bottom w:val="none" w:sz="0" w:space="0" w:color="auto"/>
            <w:right w:val="none" w:sz="0" w:space="0" w:color="auto"/>
          </w:divBdr>
        </w:div>
        <w:div w:id="1822651439">
          <w:marLeft w:val="0"/>
          <w:marRight w:val="0"/>
          <w:marTop w:val="240"/>
          <w:marBottom w:val="0"/>
          <w:divBdr>
            <w:top w:val="none" w:sz="0" w:space="0" w:color="auto"/>
            <w:left w:val="none" w:sz="0" w:space="0" w:color="auto"/>
            <w:bottom w:val="none" w:sz="0" w:space="0" w:color="auto"/>
            <w:right w:val="none" w:sz="0" w:space="0" w:color="auto"/>
          </w:divBdr>
        </w:div>
      </w:divsChild>
    </w:div>
    <w:div w:id="1406341274">
      <w:bodyDiv w:val="1"/>
      <w:marLeft w:val="0"/>
      <w:marRight w:val="0"/>
      <w:marTop w:val="0"/>
      <w:marBottom w:val="0"/>
      <w:divBdr>
        <w:top w:val="none" w:sz="0" w:space="0" w:color="auto"/>
        <w:left w:val="none" w:sz="0" w:space="0" w:color="auto"/>
        <w:bottom w:val="none" w:sz="0" w:space="0" w:color="auto"/>
        <w:right w:val="none" w:sz="0" w:space="0" w:color="auto"/>
      </w:divBdr>
      <w:divsChild>
        <w:div w:id="934677615">
          <w:marLeft w:val="-225"/>
          <w:marRight w:val="-225"/>
          <w:marTop w:val="300"/>
          <w:marBottom w:val="0"/>
          <w:divBdr>
            <w:top w:val="none" w:sz="0" w:space="0" w:color="auto"/>
            <w:left w:val="none" w:sz="0" w:space="0" w:color="auto"/>
            <w:bottom w:val="none" w:sz="0" w:space="0" w:color="auto"/>
            <w:right w:val="none" w:sz="0" w:space="0" w:color="auto"/>
          </w:divBdr>
          <w:divsChild>
            <w:div w:id="24261203">
              <w:marLeft w:val="0"/>
              <w:marRight w:val="0"/>
              <w:marTop w:val="0"/>
              <w:marBottom w:val="0"/>
              <w:divBdr>
                <w:top w:val="none" w:sz="0" w:space="0" w:color="auto"/>
                <w:left w:val="none" w:sz="0" w:space="0" w:color="auto"/>
                <w:bottom w:val="none" w:sz="0" w:space="0" w:color="auto"/>
                <w:right w:val="none" w:sz="0" w:space="0" w:color="auto"/>
              </w:divBdr>
            </w:div>
          </w:divsChild>
        </w:div>
        <w:div w:id="106513992">
          <w:marLeft w:val="0"/>
          <w:marRight w:val="0"/>
          <w:marTop w:val="0"/>
          <w:marBottom w:val="0"/>
          <w:divBdr>
            <w:top w:val="none" w:sz="0" w:space="0" w:color="auto"/>
            <w:left w:val="none" w:sz="0" w:space="0" w:color="auto"/>
            <w:bottom w:val="none" w:sz="0" w:space="0" w:color="auto"/>
            <w:right w:val="none" w:sz="0" w:space="0" w:color="auto"/>
          </w:divBdr>
          <w:divsChild>
            <w:div w:id="365641732">
              <w:marLeft w:val="0"/>
              <w:marRight w:val="0"/>
              <w:marTop w:val="0"/>
              <w:marBottom w:val="0"/>
              <w:divBdr>
                <w:top w:val="none" w:sz="0" w:space="0" w:color="auto"/>
                <w:left w:val="none" w:sz="0" w:space="0" w:color="auto"/>
                <w:bottom w:val="none" w:sz="0" w:space="0" w:color="auto"/>
                <w:right w:val="none" w:sz="0" w:space="0" w:color="auto"/>
              </w:divBdr>
              <w:divsChild>
                <w:div w:id="210484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16856">
      <w:bodyDiv w:val="1"/>
      <w:marLeft w:val="0"/>
      <w:marRight w:val="0"/>
      <w:marTop w:val="0"/>
      <w:marBottom w:val="0"/>
      <w:divBdr>
        <w:top w:val="none" w:sz="0" w:space="0" w:color="auto"/>
        <w:left w:val="none" w:sz="0" w:space="0" w:color="auto"/>
        <w:bottom w:val="none" w:sz="0" w:space="0" w:color="auto"/>
        <w:right w:val="none" w:sz="0" w:space="0" w:color="auto"/>
      </w:divBdr>
      <w:divsChild>
        <w:div w:id="1731609522">
          <w:marLeft w:val="-225"/>
          <w:marRight w:val="-225"/>
          <w:marTop w:val="300"/>
          <w:marBottom w:val="0"/>
          <w:divBdr>
            <w:top w:val="none" w:sz="0" w:space="0" w:color="auto"/>
            <w:left w:val="none" w:sz="0" w:space="0" w:color="auto"/>
            <w:bottom w:val="none" w:sz="0" w:space="0" w:color="auto"/>
            <w:right w:val="none" w:sz="0" w:space="0" w:color="auto"/>
          </w:divBdr>
          <w:divsChild>
            <w:div w:id="1690716548">
              <w:marLeft w:val="0"/>
              <w:marRight w:val="0"/>
              <w:marTop w:val="0"/>
              <w:marBottom w:val="0"/>
              <w:divBdr>
                <w:top w:val="none" w:sz="0" w:space="0" w:color="auto"/>
                <w:left w:val="none" w:sz="0" w:space="0" w:color="auto"/>
                <w:bottom w:val="none" w:sz="0" w:space="0" w:color="auto"/>
                <w:right w:val="none" w:sz="0" w:space="0" w:color="auto"/>
              </w:divBdr>
            </w:div>
          </w:divsChild>
        </w:div>
        <w:div w:id="1381397805">
          <w:marLeft w:val="0"/>
          <w:marRight w:val="0"/>
          <w:marTop w:val="0"/>
          <w:marBottom w:val="0"/>
          <w:divBdr>
            <w:top w:val="none" w:sz="0" w:space="0" w:color="auto"/>
            <w:left w:val="none" w:sz="0" w:space="0" w:color="auto"/>
            <w:bottom w:val="none" w:sz="0" w:space="0" w:color="auto"/>
            <w:right w:val="none" w:sz="0" w:space="0" w:color="auto"/>
          </w:divBdr>
          <w:divsChild>
            <w:div w:id="212235161">
              <w:marLeft w:val="0"/>
              <w:marRight w:val="0"/>
              <w:marTop w:val="45"/>
              <w:marBottom w:val="0"/>
              <w:divBdr>
                <w:top w:val="none" w:sz="0" w:space="0" w:color="auto"/>
                <w:left w:val="none" w:sz="0" w:space="0" w:color="auto"/>
                <w:bottom w:val="none" w:sz="0" w:space="0" w:color="auto"/>
                <w:right w:val="none" w:sz="0" w:space="0" w:color="auto"/>
              </w:divBdr>
            </w:div>
          </w:divsChild>
        </w:div>
        <w:div w:id="448820057">
          <w:marLeft w:val="0"/>
          <w:marRight w:val="0"/>
          <w:marTop w:val="0"/>
          <w:marBottom w:val="0"/>
          <w:divBdr>
            <w:top w:val="none" w:sz="0" w:space="0" w:color="auto"/>
            <w:left w:val="none" w:sz="0" w:space="0" w:color="auto"/>
            <w:bottom w:val="none" w:sz="0" w:space="0" w:color="auto"/>
            <w:right w:val="none" w:sz="0" w:space="0" w:color="auto"/>
          </w:divBdr>
          <w:divsChild>
            <w:div w:id="1487669671">
              <w:marLeft w:val="0"/>
              <w:marRight w:val="0"/>
              <w:marTop w:val="0"/>
              <w:marBottom w:val="0"/>
              <w:divBdr>
                <w:top w:val="none" w:sz="0" w:space="0" w:color="auto"/>
                <w:left w:val="none" w:sz="0" w:space="0" w:color="auto"/>
                <w:bottom w:val="none" w:sz="0" w:space="0" w:color="auto"/>
                <w:right w:val="none" w:sz="0" w:space="0" w:color="auto"/>
              </w:divBdr>
            </w:div>
            <w:div w:id="1216817824">
              <w:marLeft w:val="0"/>
              <w:marRight w:val="0"/>
              <w:marTop w:val="0"/>
              <w:marBottom w:val="0"/>
              <w:divBdr>
                <w:top w:val="none" w:sz="0" w:space="0" w:color="auto"/>
                <w:left w:val="none" w:sz="0" w:space="0" w:color="auto"/>
                <w:bottom w:val="none" w:sz="0" w:space="0" w:color="auto"/>
                <w:right w:val="none" w:sz="0" w:space="0" w:color="auto"/>
              </w:divBdr>
            </w:div>
            <w:div w:id="1110007510">
              <w:marLeft w:val="0"/>
              <w:marRight w:val="0"/>
              <w:marTop w:val="240"/>
              <w:marBottom w:val="0"/>
              <w:divBdr>
                <w:top w:val="none" w:sz="0" w:space="0" w:color="auto"/>
                <w:left w:val="none" w:sz="0" w:space="0" w:color="auto"/>
                <w:bottom w:val="none" w:sz="0" w:space="0" w:color="auto"/>
                <w:right w:val="none" w:sz="0" w:space="0" w:color="auto"/>
              </w:divBdr>
            </w:div>
            <w:div w:id="1506674773">
              <w:marLeft w:val="0"/>
              <w:marRight w:val="0"/>
              <w:marTop w:val="240"/>
              <w:marBottom w:val="0"/>
              <w:divBdr>
                <w:top w:val="none" w:sz="0" w:space="0" w:color="auto"/>
                <w:left w:val="none" w:sz="0" w:space="0" w:color="auto"/>
                <w:bottom w:val="none" w:sz="0" w:space="0" w:color="auto"/>
                <w:right w:val="none" w:sz="0" w:space="0" w:color="auto"/>
              </w:divBdr>
            </w:div>
            <w:div w:id="484009718">
              <w:marLeft w:val="0"/>
              <w:marRight w:val="0"/>
              <w:marTop w:val="0"/>
              <w:marBottom w:val="0"/>
              <w:divBdr>
                <w:top w:val="none" w:sz="0" w:space="0" w:color="auto"/>
                <w:left w:val="none" w:sz="0" w:space="0" w:color="auto"/>
                <w:bottom w:val="none" w:sz="0" w:space="0" w:color="auto"/>
                <w:right w:val="none" w:sz="0" w:space="0" w:color="auto"/>
              </w:divBdr>
              <w:divsChild>
                <w:div w:id="106719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178497">
      <w:bodyDiv w:val="1"/>
      <w:marLeft w:val="0"/>
      <w:marRight w:val="0"/>
      <w:marTop w:val="0"/>
      <w:marBottom w:val="0"/>
      <w:divBdr>
        <w:top w:val="none" w:sz="0" w:space="0" w:color="auto"/>
        <w:left w:val="none" w:sz="0" w:space="0" w:color="auto"/>
        <w:bottom w:val="none" w:sz="0" w:space="0" w:color="auto"/>
        <w:right w:val="none" w:sz="0" w:space="0" w:color="auto"/>
      </w:divBdr>
      <w:divsChild>
        <w:div w:id="1653947026">
          <w:marLeft w:val="0"/>
          <w:marRight w:val="0"/>
          <w:marTop w:val="0"/>
          <w:marBottom w:val="720"/>
          <w:divBdr>
            <w:top w:val="none" w:sz="0" w:space="0" w:color="auto"/>
            <w:left w:val="none" w:sz="0" w:space="0" w:color="auto"/>
            <w:bottom w:val="none" w:sz="0" w:space="0" w:color="auto"/>
            <w:right w:val="none" w:sz="0" w:space="0" w:color="auto"/>
          </w:divBdr>
        </w:div>
        <w:div w:id="1641570523">
          <w:marLeft w:val="0"/>
          <w:marRight w:val="0"/>
          <w:marTop w:val="0"/>
          <w:marBottom w:val="0"/>
          <w:divBdr>
            <w:top w:val="none" w:sz="0" w:space="0" w:color="auto"/>
            <w:left w:val="none" w:sz="0" w:space="0" w:color="auto"/>
            <w:bottom w:val="none" w:sz="0" w:space="0" w:color="auto"/>
            <w:right w:val="none" w:sz="0" w:space="0" w:color="auto"/>
          </w:divBdr>
          <w:divsChild>
            <w:div w:id="422840690">
              <w:marLeft w:val="0"/>
              <w:marRight w:val="0"/>
              <w:marTop w:val="0"/>
              <w:marBottom w:val="0"/>
              <w:divBdr>
                <w:top w:val="none" w:sz="0" w:space="0" w:color="auto"/>
                <w:left w:val="none" w:sz="0" w:space="0" w:color="auto"/>
                <w:bottom w:val="none" w:sz="0" w:space="0" w:color="auto"/>
                <w:right w:val="none" w:sz="0" w:space="0" w:color="auto"/>
              </w:divBdr>
            </w:div>
            <w:div w:id="1750538725">
              <w:marLeft w:val="-225"/>
              <w:marRight w:val="-225"/>
              <w:marTop w:val="300"/>
              <w:marBottom w:val="0"/>
              <w:divBdr>
                <w:top w:val="none" w:sz="0" w:space="0" w:color="auto"/>
                <w:left w:val="none" w:sz="0" w:space="0" w:color="auto"/>
                <w:bottom w:val="none" w:sz="0" w:space="0" w:color="auto"/>
                <w:right w:val="none" w:sz="0" w:space="0" w:color="auto"/>
              </w:divBdr>
              <w:divsChild>
                <w:div w:id="1892576043">
                  <w:marLeft w:val="0"/>
                  <w:marRight w:val="0"/>
                  <w:marTop w:val="0"/>
                  <w:marBottom w:val="0"/>
                  <w:divBdr>
                    <w:top w:val="none" w:sz="0" w:space="0" w:color="auto"/>
                    <w:left w:val="none" w:sz="0" w:space="0" w:color="auto"/>
                    <w:bottom w:val="none" w:sz="0" w:space="0" w:color="auto"/>
                    <w:right w:val="none" w:sz="0" w:space="0" w:color="auto"/>
                  </w:divBdr>
                </w:div>
              </w:divsChild>
            </w:div>
            <w:div w:id="549194837">
              <w:marLeft w:val="0"/>
              <w:marRight w:val="0"/>
              <w:marTop w:val="0"/>
              <w:marBottom w:val="0"/>
              <w:divBdr>
                <w:top w:val="none" w:sz="0" w:space="0" w:color="auto"/>
                <w:left w:val="none" w:sz="0" w:space="0" w:color="auto"/>
                <w:bottom w:val="none" w:sz="0" w:space="0" w:color="auto"/>
                <w:right w:val="none" w:sz="0" w:space="0" w:color="auto"/>
              </w:divBdr>
              <w:divsChild>
                <w:div w:id="1912041667">
                  <w:marLeft w:val="0"/>
                  <w:marRight w:val="0"/>
                  <w:marTop w:val="45"/>
                  <w:marBottom w:val="0"/>
                  <w:divBdr>
                    <w:top w:val="none" w:sz="0" w:space="0" w:color="auto"/>
                    <w:left w:val="none" w:sz="0" w:space="0" w:color="auto"/>
                    <w:bottom w:val="none" w:sz="0" w:space="0" w:color="auto"/>
                    <w:right w:val="none" w:sz="0" w:space="0" w:color="auto"/>
                  </w:divBdr>
                </w:div>
              </w:divsChild>
            </w:div>
            <w:div w:id="197090426">
              <w:marLeft w:val="0"/>
              <w:marRight w:val="0"/>
              <w:marTop w:val="0"/>
              <w:marBottom w:val="0"/>
              <w:divBdr>
                <w:top w:val="none" w:sz="0" w:space="0" w:color="auto"/>
                <w:left w:val="none" w:sz="0" w:space="0" w:color="auto"/>
                <w:bottom w:val="none" w:sz="0" w:space="0" w:color="auto"/>
                <w:right w:val="none" w:sz="0" w:space="0" w:color="auto"/>
              </w:divBdr>
              <w:divsChild>
                <w:div w:id="678040879">
                  <w:marLeft w:val="0"/>
                  <w:marRight w:val="0"/>
                  <w:marTop w:val="0"/>
                  <w:marBottom w:val="0"/>
                  <w:divBdr>
                    <w:top w:val="none" w:sz="0" w:space="0" w:color="auto"/>
                    <w:left w:val="none" w:sz="0" w:space="0" w:color="auto"/>
                    <w:bottom w:val="none" w:sz="0" w:space="0" w:color="auto"/>
                    <w:right w:val="none" w:sz="0" w:space="0" w:color="auto"/>
                  </w:divBdr>
                </w:div>
                <w:div w:id="1044672430">
                  <w:marLeft w:val="0"/>
                  <w:marRight w:val="0"/>
                  <w:marTop w:val="0"/>
                  <w:marBottom w:val="0"/>
                  <w:divBdr>
                    <w:top w:val="none" w:sz="0" w:space="0" w:color="auto"/>
                    <w:left w:val="none" w:sz="0" w:space="0" w:color="auto"/>
                    <w:bottom w:val="none" w:sz="0" w:space="0" w:color="auto"/>
                    <w:right w:val="none" w:sz="0" w:space="0" w:color="auto"/>
                  </w:divBdr>
                </w:div>
                <w:div w:id="149105355">
                  <w:marLeft w:val="0"/>
                  <w:marRight w:val="0"/>
                  <w:marTop w:val="0"/>
                  <w:marBottom w:val="0"/>
                  <w:divBdr>
                    <w:top w:val="none" w:sz="0" w:space="0" w:color="auto"/>
                    <w:left w:val="none" w:sz="0" w:space="0" w:color="auto"/>
                    <w:bottom w:val="none" w:sz="0" w:space="0" w:color="auto"/>
                    <w:right w:val="none" w:sz="0" w:space="0" w:color="auto"/>
                  </w:divBdr>
                </w:div>
                <w:div w:id="1001587884">
                  <w:marLeft w:val="0"/>
                  <w:marRight w:val="0"/>
                  <w:marTop w:val="0"/>
                  <w:marBottom w:val="0"/>
                  <w:divBdr>
                    <w:top w:val="none" w:sz="0" w:space="0" w:color="auto"/>
                    <w:left w:val="none" w:sz="0" w:space="0" w:color="auto"/>
                    <w:bottom w:val="none" w:sz="0" w:space="0" w:color="auto"/>
                    <w:right w:val="none" w:sz="0" w:space="0" w:color="auto"/>
                  </w:divBdr>
                  <w:divsChild>
                    <w:div w:id="1226721914">
                      <w:marLeft w:val="0"/>
                      <w:marRight w:val="0"/>
                      <w:marTop w:val="0"/>
                      <w:marBottom w:val="0"/>
                      <w:divBdr>
                        <w:top w:val="none" w:sz="0" w:space="0" w:color="auto"/>
                        <w:left w:val="none" w:sz="0" w:space="0" w:color="auto"/>
                        <w:bottom w:val="none" w:sz="0" w:space="0" w:color="auto"/>
                        <w:right w:val="none" w:sz="0" w:space="0" w:color="auto"/>
                      </w:divBdr>
                    </w:div>
                  </w:divsChild>
                </w:div>
                <w:div w:id="1287615969">
                  <w:marLeft w:val="0"/>
                  <w:marRight w:val="0"/>
                  <w:marTop w:val="0"/>
                  <w:marBottom w:val="0"/>
                  <w:divBdr>
                    <w:top w:val="none" w:sz="0" w:space="0" w:color="auto"/>
                    <w:left w:val="none" w:sz="0" w:space="0" w:color="auto"/>
                    <w:bottom w:val="none" w:sz="0" w:space="0" w:color="auto"/>
                    <w:right w:val="none" w:sz="0" w:space="0" w:color="auto"/>
                  </w:divBdr>
                </w:div>
                <w:div w:id="1928725982">
                  <w:marLeft w:val="0"/>
                  <w:marRight w:val="0"/>
                  <w:marTop w:val="0"/>
                  <w:marBottom w:val="0"/>
                  <w:divBdr>
                    <w:top w:val="none" w:sz="0" w:space="0" w:color="auto"/>
                    <w:left w:val="none" w:sz="0" w:space="0" w:color="auto"/>
                    <w:bottom w:val="none" w:sz="0" w:space="0" w:color="auto"/>
                    <w:right w:val="none" w:sz="0" w:space="0" w:color="auto"/>
                  </w:divBdr>
                </w:div>
                <w:div w:id="463281501">
                  <w:marLeft w:val="0"/>
                  <w:marRight w:val="0"/>
                  <w:marTop w:val="0"/>
                  <w:marBottom w:val="0"/>
                  <w:divBdr>
                    <w:top w:val="none" w:sz="0" w:space="0" w:color="auto"/>
                    <w:left w:val="none" w:sz="0" w:space="0" w:color="auto"/>
                    <w:bottom w:val="none" w:sz="0" w:space="0" w:color="auto"/>
                    <w:right w:val="none" w:sz="0" w:space="0" w:color="auto"/>
                  </w:divBdr>
                </w:div>
                <w:div w:id="360784978">
                  <w:marLeft w:val="0"/>
                  <w:marRight w:val="0"/>
                  <w:marTop w:val="0"/>
                  <w:marBottom w:val="0"/>
                  <w:divBdr>
                    <w:top w:val="none" w:sz="0" w:space="0" w:color="auto"/>
                    <w:left w:val="none" w:sz="0" w:space="0" w:color="auto"/>
                    <w:bottom w:val="none" w:sz="0" w:space="0" w:color="auto"/>
                    <w:right w:val="none" w:sz="0" w:space="0" w:color="auto"/>
                  </w:divBdr>
                </w:div>
                <w:div w:id="2020697510">
                  <w:marLeft w:val="0"/>
                  <w:marRight w:val="0"/>
                  <w:marTop w:val="0"/>
                  <w:marBottom w:val="0"/>
                  <w:divBdr>
                    <w:top w:val="none" w:sz="0" w:space="0" w:color="auto"/>
                    <w:left w:val="none" w:sz="0" w:space="0" w:color="auto"/>
                    <w:bottom w:val="none" w:sz="0" w:space="0" w:color="auto"/>
                    <w:right w:val="none" w:sz="0" w:space="0" w:color="auto"/>
                  </w:divBdr>
                </w:div>
                <w:div w:id="1146554507">
                  <w:marLeft w:val="0"/>
                  <w:marRight w:val="0"/>
                  <w:marTop w:val="0"/>
                  <w:marBottom w:val="0"/>
                  <w:divBdr>
                    <w:top w:val="none" w:sz="0" w:space="0" w:color="auto"/>
                    <w:left w:val="none" w:sz="0" w:space="0" w:color="auto"/>
                    <w:bottom w:val="none" w:sz="0" w:space="0" w:color="auto"/>
                    <w:right w:val="none" w:sz="0" w:space="0" w:color="auto"/>
                  </w:divBdr>
                </w:div>
                <w:div w:id="1048647674">
                  <w:marLeft w:val="0"/>
                  <w:marRight w:val="0"/>
                  <w:marTop w:val="0"/>
                  <w:marBottom w:val="0"/>
                  <w:divBdr>
                    <w:top w:val="none" w:sz="0" w:space="0" w:color="auto"/>
                    <w:left w:val="none" w:sz="0" w:space="0" w:color="auto"/>
                    <w:bottom w:val="none" w:sz="0" w:space="0" w:color="auto"/>
                    <w:right w:val="none" w:sz="0" w:space="0" w:color="auto"/>
                  </w:divBdr>
                </w:div>
                <w:div w:id="1624653973">
                  <w:marLeft w:val="0"/>
                  <w:marRight w:val="0"/>
                  <w:marTop w:val="0"/>
                  <w:marBottom w:val="0"/>
                  <w:divBdr>
                    <w:top w:val="none" w:sz="0" w:space="0" w:color="auto"/>
                    <w:left w:val="none" w:sz="0" w:space="0" w:color="auto"/>
                    <w:bottom w:val="none" w:sz="0" w:space="0" w:color="auto"/>
                    <w:right w:val="none" w:sz="0" w:space="0" w:color="auto"/>
                  </w:divBdr>
                </w:div>
                <w:div w:id="839391510">
                  <w:marLeft w:val="0"/>
                  <w:marRight w:val="0"/>
                  <w:marTop w:val="0"/>
                  <w:marBottom w:val="0"/>
                  <w:divBdr>
                    <w:top w:val="none" w:sz="0" w:space="0" w:color="auto"/>
                    <w:left w:val="none" w:sz="0" w:space="0" w:color="auto"/>
                    <w:bottom w:val="none" w:sz="0" w:space="0" w:color="auto"/>
                    <w:right w:val="none" w:sz="0" w:space="0" w:color="auto"/>
                  </w:divBdr>
                </w:div>
                <w:div w:id="201401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857515">
      <w:bodyDiv w:val="1"/>
      <w:marLeft w:val="0"/>
      <w:marRight w:val="0"/>
      <w:marTop w:val="0"/>
      <w:marBottom w:val="0"/>
      <w:divBdr>
        <w:top w:val="none" w:sz="0" w:space="0" w:color="auto"/>
        <w:left w:val="none" w:sz="0" w:space="0" w:color="auto"/>
        <w:bottom w:val="none" w:sz="0" w:space="0" w:color="auto"/>
        <w:right w:val="none" w:sz="0" w:space="0" w:color="auto"/>
      </w:divBdr>
      <w:divsChild>
        <w:div w:id="1920169411">
          <w:marLeft w:val="-225"/>
          <w:marRight w:val="-225"/>
          <w:marTop w:val="300"/>
          <w:marBottom w:val="0"/>
          <w:divBdr>
            <w:top w:val="none" w:sz="0" w:space="0" w:color="auto"/>
            <w:left w:val="none" w:sz="0" w:space="0" w:color="auto"/>
            <w:bottom w:val="none" w:sz="0" w:space="0" w:color="auto"/>
            <w:right w:val="none" w:sz="0" w:space="0" w:color="auto"/>
          </w:divBdr>
          <w:divsChild>
            <w:div w:id="1516117214">
              <w:marLeft w:val="0"/>
              <w:marRight w:val="0"/>
              <w:marTop w:val="0"/>
              <w:marBottom w:val="0"/>
              <w:divBdr>
                <w:top w:val="none" w:sz="0" w:space="0" w:color="auto"/>
                <w:left w:val="none" w:sz="0" w:space="0" w:color="auto"/>
                <w:bottom w:val="none" w:sz="0" w:space="0" w:color="auto"/>
                <w:right w:val="none" w:sz="0" w:space="0" w:color="auto"/>
              </w:divBdr>
            </w:div>
          </w:divsChild>
        </w:div>
        <w:div w:id="1302418223">
          <w:marLeft w:val="0"/>
          <w:marRight w:val="0"/>
          <w:marTop w:val="0"/>
          <w:marBottom w:val="0"/>
          <w:divBdr>
            <w:top w:val="none" w:sz="0" w:space="0" w:color="auto"/>
            <w:left w:val="none" w:sz="0" w:space="0" w:color="auto"/>
            <w:bottom w:val="none" w:sz="0" w:space="0" w:color="auto"/>
            <w:right w:val="none" w:sz="0" w:space="0" w:color="auto"/>
          </w:divBdr>
          <w:divsChild>
            <w:div w:id="1546453435">
              <w:marLeft w:val="0"/>
              <w:marRight w:val="0"/>
              <w:marTop w:val="0"/>
              <w:marBottom w:val="0"/>
              <w:divBdr>
                <w:top w:val="none" w:sz="0" w:space="0" w:color="auto"/>
                <w:left w:val="none" w:sz="0" w:space="0" w:color="auto"/>
                <w:bottom w:val="none" w:sz="0" w:space="0" w:color="auto"/>
                <w:right w:val="none" w:sz="0" w:space="0" w:color="auto"/>
              </w:divBdr>
            </w:div>
            <w:div w:id="1899630675">
              <w:marLeft w:val="0"/>
              <w:marRight w:val="0"/>
              <w:marTop w:val="240"/>
              <w:marBottom w:val="0"/>
              <w:divBdr>
                <w:top w:val="none" w:sz="0" w:space="0" w:color="auto"/>
                <w:left w:val="none" w:sz="0" w:space="0" w:color="auto"/>
                <w:bottom w:val="none" w:sz="0" w:space="0" w:color="auto"/>
                <w:right w:val="none" w:sz="0" w:space="0" w:color="auto"/>
              </w:divBdr>
            </w:div>
            <w:div w:id="159766428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713726125">
      <w:bodyDiv w:val="1"/>
      <w:marLeft w:val="0"/>
      <w:marRight w:val="0"/>
      <w:marTop w:val="0"/>
      <w:marBottom w:val="0"/>
      <w:divBdr>
        <w:top w:val="none" w:sz="0" w:space="0" w:color="auto"/>
        <w:left w:val="none" w:sz="0" w:space="0" w:color="auto"/>
        <w:bottom w:val="none" w:sz="0" w:space="0" w:color="auto"/>
        <w:right w:val="none" w:sz="0" w:space="0" w:color="auto"/>
      </w:divBdr>
      <w:divsChild>
        <w:div w:id="1938555764">
          <w:marLeft w:val="0"/>
          <w:marRight w:val="0"/>
          <w:marTop w:val="240"/>
          <w:marBottom w:val="0"/>
          <w:divBdr>
            <w:top w:val="none" w:sz="0" w:space="0" w:color="auto"/>
            <w:left w:val="none" w:sz="0" w:space="0" w:color="auto"/>
            <w:bottom w:val="none" w:sz="0" w:space="0" w:color="auto"/>
            <w:right w:val="none" w:sz="0" w:space="0" w:color="auto"/>
          </w:divBdr>
        </w:div>
        <w:div w:id="53162343">
          <w:marLeft w:val="0"/>
          <w:marRight w:val="0"/>
          <w:marTop w:val="240"/>
          <w:marBottom w:val="0"/>
          <w:divBdr>
            <w:top w:val="none" w:sz="0" w:space="0" w:color="auto"/>
            <w:left w:val="none" w:sz="0" w:space="0" w:color="auto"/>
            <w:bottom w:val="none" w:sz="0" w:space="0" w:color="auto"/>
            <w:right w:val="none" w:sz="0" w:space="0" w:color="auto"/>
          </w:divBdr>
        </w:div>
      </w:divsChild>
    </w:div>
    <w:div w:id="1768621932">
      <w:bodyDiv w:val="1"/>
      <w:marLeft w:val="0"/>
      <w:marRight w:val="0"/>
      <w:marTop w:val="0"/>
      <w:marBottom w:val="0"/>
      <w:divBdr>
        <w:top w:val="none" w:sz="0" w:space="0" w:color="auto"/>
        <w:left w:val="none" w:sz="0" w:space="0" w:color="auto"/>
        <w:bottom w:val="none" w:sz="0" w:space="0" w:color="auto"/>
        <w:right w:val="none" w:sz="0" w:space="0" w:color="auto"/>
      </w:divBdr>
      <w:divsChild>
        <w:div w:id="2040473542">
          <w:marLeft w:val="-225"/>
          <w:marRight w:val="-225"/>
          <w:marTop w:val="300"/>
          <w:marBottom w:val="0"/>
          <w:divBdr>
            <w:top w:val="none" w:sz="0" w:space="0" w:color="auto"/>
            <w:left w:val="none" w:sz="0" w:space="0" w:color="auto"/>
            <w:bottom w:val="none" w:sz="0" w:space="0" w:color="auto"/>
            <w:right w:val="none" w:sz="0" w:space="0" w:color="auto"/>
          </w:divBdr>
          <w:divsChild>
            <w:div w:id="457650609">
              <w:marLeft w:val="0"/>
              <w:marRight w:val="0"/>
              <w:marTop w:val="0"/>
              <w:marBottom w:val="0"/>
              <w:divBdr>
                <w:top w:val="none" w:sz="0" w:space="0" w:color="auto"/>
                <w:left w:val="none" w:sz="0" w:space="0" w:color="auto"/>
                <w:bottom w:val="none" w:sz="0" w:space="0" w:color="auto"/>
                <w:right w:val="none" w:sz="0" w:space="0" w:color="auto"/>
              </w:divBdr>
            </w:div>
          </w:divsChild>
        </w:div>
        <w:div w:id="2110924313">
          <w:marLeft w:val="0"/>
          <w:marRight w:val="0"/>
          <w:marTop w:val="0"/>
          <w:marBottom w:val="0"/>
          <w:divBdr>
            <w:top w:val="none" w:sz="0" w:space="0" w:color="auto"/>
            <w:left w:val="none" w:sz="0" w:space="0" w:color="auto"/>
            <w:bottom w:val="none" w:sz="0" w:space="0" w:color="auto"/>
            <w:right w:val="none" w:sz="0" w:space="0" w:color="auto"/>
          </w:divBdr>
        </w:div>
        <w:div w:id="472478891">
          <w:marLeft w:val="0"/>
          <w:marRight w:val="0"/>
          <w:marTop w:val="0"/>
          <w:marBottom w:val="0"/>
          <w:divBdr>
            <w:top w:val="none" w:sz="0" w:space="0" w:color="auto"/>
            <w:left w:val="none" w:sz="0" w:space="0" w:color="auto"/>
            <w:bottom w:val="none" w:sz="0" w:space="0" w:color="auto"/>
            <w:right w:val="none" w:sz="0" w:space="0" w:color="auto"/>
          </w:divBdr>
          <w:divsChild>
            <w:div w:id="829251926">
              <w:marLeft w:val="0"/>
              <w:marRight w:val="0"/>
              <w:marTop w:val="0"/>
              <w:marBottom w:val="0"/>
              <w:divBdr>
                <w:top w:val="none" w:sz="0" w:space="0" w:color="auto"/>
                <w:left w:val="none" w:sz="0" w:space="0" w:color="auto"/>
                <w:bottom w:val="none" w:sz="0" w:space="0" w:color="auto"/>
                <w:right w:val="none" w:sz="0" w:space="0" w:color="auto"/>
              </w:divBdr>
            </w:div>
            <w:div w:id="1229195026">
              <w:marLeft w:val="0"/>
              <w:marRight w:val="0"/>
              <w:marTop w:val="0"/>
              <w:marBottom w:val="0"/>
              <w:divBdr>
                <w:top w:val="none" w:sz="0" w:space="0" w:color="auto"/>
                <w:left w:val="none" w:sz="0" w:space="0" w:color="auto"/>
                <w:bottom w:val="none" w:sz="0" w:space="0" w:color="auto"/>
                <w:right w:val="none" w:sz="0" w:space="0" w:color="auto"/>
              </w:divBdr>
            </w:div>
            <w:div w:id="1186290618">
              <w:marLeft w:val="0"/>
              <w:marRight w:val="0"/>
              <w:marTop w:val="240"/>
              <w:marBottom w:val="0"/>
              <w:divBdr>
                <w:top w:val="none" w:sz="0" w:space="0" w:color="auto"/>
                <w:left w:val="none" w:sz="0" w:space="0" w:color="auto"/>
                <w:bottom w:val="none" w:sz="0" w:space="0" w:color="auto"/>
                <w:right w:val="none" w:sz="0" w:space="0" w:color="auto"/>
              </w:divBdr>
            </w:div>
            <w:div w:id="115369322">
              <w:marLeft w:val="0"/>
              <w:marRight w:val="0"/>
              <w:marTop w:val="240"/>
              <w:marBottom w:val="0"/>
              <w:divBdr>
                <w:top w:val="none" w:sz="0" w:space="0" w:color="auto"/>
                <w:left w:val="none" w:sz="0" w:space="0" w:color="auto"/>
                <w:bottom w:val="none" w:sz="0" w:space="0" w:color="auto"/>
                <w:right w:val="none" w:sz="0" w:space="0" w:color="auto"/>
              </w:divBdr>
            </w:div>
            <w:div w:id="536551360">
              <w:marLeft w:val="0"/>
              <w:marRight w:val="0"/>
              <w:marTop w:val="0"/>
              <w:marBottom w:val="0"/>
              <w:divBdr>
                <w:top w:val="none" w:sz="0" w:space="0" w:color="auto"/>
                <w:left w:val="none" w:sz="0" w:space="0" w:color="auto"/>
                <w:bottom w:val="none" w:sz="0" w:space="0" w:color="auto"/>
                <w:right w:val="none" w:sz="0" w:space="0" w:color="auto"/>
              </w:divBdr>
              <w:divsChild>
                <w:div w:id="93756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81255">
      <w:bodyDiv w:val="1"/>
      <w:marLeft w:val="0"/>
      <w:marRight w:val="0"/>
      <w:marTop w:val="0"/>
      <w:marBottom w:val="0"/>
      <w:divBdr>
        <w:top w:val="none" w:sz="0" w:space="0" w:color="auto"/>
        <w:left w:val="none" w:sz="0" w:space="0" w:color="auto"/>
        <w:bottom w:val="none" w:sz="0" w:space="0" w:color="auto"/>
        <w:right w:val="none" w:sz="0" w:space="0" w:color="auto"/>
      </w:divBdr>
      <w:divsChild>
        <w:div w:id="352153867">
          <w:marLeft w:val="-225"/>
          <w:marRight w:val="-225"/>
          <w:marTop w:val="300"/>
          <w:marBottom w:val="0"/>
          <w:divBdr>
            <w:top w:val="none" w:sz="0" w:space="0" w:color="auto"/>
            <w:left w:val="none" w:sz="0" w:space="0" w:color="auto"/>
            <w:bottom w:val="none" w:sz="0" w:space="0" w:color="auto"/>
            <w:right w:val="none" w:sz="0" w:space="0" w:color="auto"/>
          </w:divBdr>
          <w:divsChild>
            <w:div w:id="474223181">
              <w:marLeft w:val="0"/>
              <w:marRight w:val="0"/>
              <w:marTop w:val="0"/>
              <w:marBottom w:val="0"/>
              <w:divBdr>
                <w:top w:val="none" w:sz="0" w:space="0" w:color="auto"/>
                <w:left w:val="none" w:sz="0" w:space="0" w:color="auto"/>
                <w:bottom w:val="none" w:sz="0" w:space="0" w:color="auto"/>
                <w:right w:val="none" w:sz="0" w:space="0" w:color="auto"/>
              </w:divBdr>
            </w:div>
          </w:divsChild>
        </w:div>
        <w:div w:id="1317490951">
          <w:marLeft w:val="0"/>
          <w:marRight w:val="0"/>
          <w:marTop w:val="0"/>
          <w:marBottom w:val="0"/>
          <w:divBdr>
            <w:top w:val="none" w:sz="0" w:space="0" w:color="auto"/>
            <w:left w:val="none" w:sz="0" w:space="0" w:color="auto"/>
            <w:bottom w:val="none" w:sz="0" w:space="0" w:color="auto"/>
            <w:right w:val="none" w:sz="0" w:space="0" w:color="auto"/>
          </w:divBdr>
          <w:divsChild>
            <w:div w:id="1835953879">
              <w:marLeft w:val="0"/>
              <w:marRight w:val="0"/>
              <w:marTop w:val="45"/>
              <w:marBottom w:val="0"/>
              <w:divBdr>
                <w:top w:val="none" w:sz="0" w:space="0" w:color="auto"/>
                <w:left w:val="none" w:sz="0" w:space="0" w:color="auto"/>
                <w:bottom w:val="none" w:sz="0" w:space="0" w:color="auto"/>
                <w:right w:val="none" w:sz="0" w:space="0" w:color="auto"/>
              </w:divBdr>
            </w:div>
          </w:divsChild>
        </w:div>
        <w:div w:id="242614675">
          <w:marLeft w:val="0"/>
          <w:marRight w:val="0"/>
          <w:marTop w:val="0"/>
          <w:marBottom w:val="0"/>
          <w:divBdr>
            <w:top w:val="none" w:sz="0" w:space="0" w:color="auto"/>
            <w:left w:val="none" w:sz="0" w:space="0" w:color="auto"/>
            <w:bottom w:val="none" w:sz="0" w:space="0" w:color="auto"/>
            <w:right w:val="none" w:sz="0" w:space="0" w:color="auto"/>
          </w:divBdr>
          <w:divsChild>
            <w:div w:id="157575445">
              <w:marLeft w:val="0"/>
              <w:marRight w:val="0"/>
              <w:marTop w:val="0"/>
              <w:marBottom w:val="0"/>
              <w:divBdr>
                <w:top w:val="none" w:sz="0" w:space="0" w:color="auto"/>
                <w:left w:val="none" w:sz="0" w:space="0" w:color="auto"/>
                <w:bottom w:val="none" w:sz="0" w:space="0" w:color="auto"/>
                <w:right w:val="none" w:sz="0" w:space="0" w:color="auto"/>
              </w:divBdr>
            </w:div>
            <w:div w:id="1912348734">
              <w:marLeft w:val="0"/>
              <w:marRight w:val="0"/>
              <w:marTop w:val="0"/>
              <w:marBottom w:val="0"/>
              <w:divBdr>
                <w:top w:val="none" w:sz="0" w:space="0" w:color="auto"/>
                <w:left w:val="none" w:sz="0" w:space="0" w:color="auto"/>
                <w:bottom w:val="none" w:sz="0" w:space="0" w:color="auto"/>
                <w:right w:val="none" w:sz="0" w:space="0" w:color="auto"/>
              </w:divBdr>
            </w:div>
            <w:div w:id="244152191">
              <w:marLeft w:val="0"/>
              <w:marRight w:val="0"/>
              <w:marTop w:val="0"/>
              <w:marBottom w:val="0"/>
              <w:divBdr>
                <w:top w:val="none" w:sz="0" w:space="0" w:color="auto"/>
                <w:left w:val="none" w:sz="0" w:space="0" w:color="auto"/>
                <w:bottom w:val="none" w:sz="0" w:space="0" w:color="auto"/>
                <w:right w:val="none" w:sz="0" w:space="0" w:color="auto"/>
              </w:divBdr>
            </w:div>
            <w:div w:id="1645087172">
              <w:marLeft w:val="0"/>
              <w:marRight w:val="0"/>
              <w:marTop w:val="0"/>
              <w:marBottom w:val="0"/>
              <w:divBdr>
                <w:top w:val="none" w:sz="0" w:space="0" w:color="auto"/>
                <w:left w:val="none" w:sz="0" w:space="0" w:color="auto"/>
                <w:bottom w:val="none" w:sz="0" w:space="0" w:color="auto"/>
                <w:right w:val="none" w:sz="0" w:space="0" w:color="auto"/>
              </w:divBdr>
            </w:div>
            <w:div w:id="704064057">
              <w:marLeft w:val="0"/>
              <w:marRight w:val="0"/>
              <w:marTop w:val="0"/>
              <w:marBottom w:val="0"/>
              <w:divBdr>
                <w:top w:val="none" w:sz="0" w:space="0" w:color="auto"/>
                <w:left w:val="none" w:sz="0" w:space="0" w:color="auto"/>
                <w:bottom w:val="none" w:sz="0" w:space="0" w:color="auto"/>
                <w:right w:val="none" w:sz="0" w:space="0" w:color="auto"/>
              </w:divBdr>
            </w:div>
            <w:div w:id="1697467381">
              <w:marLeft w:val="0"/>
              <w:marRight w:val="0"/>
              <w:marTop w:val="0"/>
              <w:marBottom w:val="0"/>
              <w:divBdr>
                <w:top w:val="none" w:sz="0" w:space="0" w:color="auto"/>
                <w:left w:val="none" w:sz="0" w:space="0" w:color="auto"/>
                <w:bottom w:val="none" w:sz="0" w:space="0" w:color="auto"/>
                <w:right w:val="none" w:sz="0" w:space="0" w:color="auto"/>
              </w:divBdr>
            </w:div>
            <w:div w:id="74589802">
              <w:marLeft w:val="0"/>
              <w:marRight w:val="0"/>
              <w:marTop w:val="0"/>
              <w:marBottom w:val="0"/>
              <w:divBdr>
                <w:top w:val="none" w:sz="0" w:space="0" w:color="auto"/>
                <w:left w:val="none" w:sz="0" w:space="0" w:color="auto"/>
                <w:bottom w:val="none" w:sz="0" w:space="0" w:color="auto"/>
                <w:right w:val="none" w:sz="0" w:space="0" w:color="auto"/>
              </w:divBdr>
            </w:div>
            <w:div w:id="1211654298">
              <w:marLeft w:val="0"/>
              <w:marRight w:val="0"/>
              <w:marTop w:val="0"/>
              <w:marBottom w:val="0"/>
              <w:divBdr>
                <w:top w:val="none" w:sz="0" w:space="0" w:color="auto"/>
                <w:left w:val="none" w:sz="0" w:space="0" w:color="auto"/>
                <w:bottom w:val="none" w:sz="0" w:space="0" w:color="auto"/>
                <w:right w:val="none" w:sz="0" w:space="0" w:color="auto"/>
              </w:divBdr>
            </w:div>
            <w:div w:id="502623689">
              <w:marLeft w:val="0"/>
              <w:marRight w:val="0"/>
              <w:marTop w:val="240"/>
              <w:marBottom w:val="0"/>
              <w:divBdr>
                <w:top w:val="none" w:sz="0" w:space="0" w:color="auto"/>
                <w:left w:val="none" w:sz="0" w:space="0" w:color="auto"/>
                <w:bottom w:val="none" w:sz="0" w:space="0" w:color="auto"/>
                <w:right w:val="none" w:sz="0" w:space="0" w:color="auto"/>
              </w:divBdr>
            </w:div>
            <w:div w:id="176888401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899629623">
      <w:bodyDiv w:val="1"/>
      <w:marLeft w:val="0"/>
      <w:marRight w:val="0"/>
      <w:marTop w:val="0"/>
      <w:marBottom w:val="0"/>
      <w:divBdr>
        <w:top w:val="none" w:sz="0" w:space="0" w:color="auto"/>
        <w:left w:val="none" w:sz="0" w:space="0" w:color="auto"/>
        <w:bottom w:val="none" w:sz="0" w:space="0" w:color="auto"/>
        <w:right w:val="none" w:sz="0" w:space="0" w:color="auto"/>
      </w:divBdr>
      <w:divsChild>
        <w:div w:id="34501606">
          <w:marLeft w:val="0"/>
          <w:marRight w:val="0"/>
          <w:marTop w:val="0"/>
          <w:marBottom w:val="0"/>
          <w:divBdr>
            <w:top w:val="none" w:sz="0" w:space="0" w:color="auto"/>
            <w:left w:val="none" w:sz="0" w:space="0" w:color="auto"/>
            <w:bottom w:val="none" w:sz="0" w:space="0" w:color="auto"/>
            <w:right w:val="none" w:sz="0" w:space="0" w:color="auto"/>
          </w:divBdr>
          <w:divsChild>
            <w:div w:id="1899125644">
              <w:marLeft w:val="0"/>
              <w:marRight w:val="0"/>
              <w:marTop w:val="0"/>
              <w:marBottom w:val="0"/>
              <w:divBdr>
                <w:top w:val="none" w:sz="0" w:space="0" w:color="auto"/>
                <w:left w:val="none" w:sz="0" w:space="0" w:color="auto"/>
                <w:bottom w:val="none" w:sz="0" w:space="0" w:color="auto"/>
                <w:right w:val="none" w:sz="0" w:space="0" w:color="auto"/>
              </w:divBdr>
              <w:divsChild>
                <w:div w:id="800460604">
                  <w:marLeft w:val="0"/>
                  <w:marRight w:val="0"/>
                  <w:marTop w:val="0"/>
                  <w:marBottom w:val="0"/>
                  <w:divBdr>
                    <w:top w:val="none" w:sz="0" w:space="0" w:color="auto"/>
                    <w:left w:val="none" w:sz="0" w:space="0" w:color="auto"/>
                    <w:bottom w:val="none" w:sz="0" w:space="0" w:color="auto"/>
                    <w:right w:val="none" w:sz="0" w:space="0" w:color="auto"/>
                  </w:divBdr>
                </w:div>
              </w:divsChild>
            </w:div>
            <w:div w:id="81514627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oroplus.it/visualizza.php?id=id2001????L00097&amp;ur=Mjg5Mzc0OA==" TargetMode="External"/><Relationship Id="rId21" Type="http://schemas.openxmlformats.org/officeDocument/2006/relationships/hyperlink" Target="https://www.foroplus.it/visualizza.php?id=id19420316CC00262ART2465000&amp;ur=Mjg5MzE2Ng==" TargetMode="External"/><Relationship Id="rId42" Type="http://schemas.openxmlformats.org/officeDocument/2006/relationships/hyperlink" Target="https://www.foroplus.it/visualizza.php?id=id1999????DLG00304&amp;ur=Mjg5MzI5MA==" TargetMode="External"/><Relationship Id="rId63" Type="http://schemas.openxmlformats.org/officeDocument/2006/relationships/hyperlink" Target="https://www.foroplus.it/visualizza.php?id=id2017????DLG00112&amp;ur=Mjg5MzI5MA==" TargetMode="External"/><Relationship Id="rId84" Type="http://schemas.openxmlformats.org/officeDocument/2006/relationships/hyperlink" Target="https://www.foroplus.it/visualizza.php?id=id1994????L00020&amp;ur=Mjg5Mzc0OA==" TargetMode="External"/><Relationship Id="rId138" Type="http://schemas.openxmlformats.org/officeDocument/2006/relationships/hyperlink" Target="https://www.foroplus.it/visualizza.php?id=id2016????DLG00175&amp;ur=Mjg5MzgwNg==&amp;w=in%20house%20responsabilit" TargetMode="External"/><Relationship Id="rId159" Type="http://schemas.openxmlformats.org/officeDocument/2006/relationships/hyperlink" Target="https://www.foroplus.it/visualizza.php?id=id20160819DLG00175ART0001000" TargetMode="External"/><Relationship Id="rId170" Type="http://schemas.openxmlformats.org/officeDocument/2006/relationships/hyperlink" Target="https://www.foroplus.it/visualizza.php?id=id19420316CC00262ART2486000&amp;ur=Mjg5NDU2MA==" TargetMode="External"/><Relationship Id="rId191" Type="http://schemas.openxmlformats.org/officeDocument/2006/relationships/hyperlink" Target="https://www.foroplus.it/visualizza.php?id=id19420316CC00262ART2486000&amp;ur=Mjg5NDU2MA==" TargetMode="External"/><Relationship Id="rId205" Type="http://schemas.openxmlformats.org/officeDocument/2006/relationships/hyperlink" Target="https://www.foroplus.it/visualizza.php?id=id19471222DAC00000ART0102000&amp;ur=Mjg5NDc1NA==" TargetMode="External"/><Relationship Id="rId226" Type="http://schemas.openxmlformats.org/officeDocument/2006/relationships/hyperlink" Target="https://www.foroplus.it/visualizza.php?id=id19420316CC00262ART2222000&amp;ur=Mjg5NTAyOQ==&amp;w=giurisdizion*%20amministrat*%20hous*" TargetMode="External"/><Relationship Id="rId107" Type="http://schemas.openxmlformats.org/officeDocument/2006/relationships/hyperlink" Target="https://www.foroplus.it/visualizza.php?id=id19420316CC00262ART2476000&amp;ur=Mjg5Mzc0OA==" TargetMode="External"/><Relationship Id="rId11" Type="http://schemas.openxmlformats.org/officeDocument/2006/relationships/hyperlink" Target="https://www.foroplus.it/visualizza.php?id=id2001????DLG00165&amp;ur=Mjc3MDU2Mw==" TargetMode="External"/><Relationship Id="rId32" Type="http://schemas.openxmlformats.org/officeDocument/2006/relationships/hyperlink" Target="https://www.foroplus.it/visualizza.php?id=id19401028CPC01443ART0360000&amp;ur=Mjg5MzI5MA==" TargetMode="External"/><Relationship Id="rId53" Type="http://schemas.openxmlformats.org/officeDocument/2006/relationships/hyperlink" Target="https://www.foroplus.it/visualizza.php?id=id2008????L00034&amp;ur=Mjg5MzI5MA==" TargetMode="External"/><Relationship Id="rId74" Type="http://schemas.openxmlformats.org/officeDocument/2006/relationships/hyperlink" Target="https://www.foroplus.it/visualizza.php?id=id19931224L00537ART0001000&amp;ur=Mjg5Mzc5OQ==" TargetMode="External"/><Relationship Id="rId128" Type="http://schemas.openxmlformats.org/officeDocument/2006/relationships/hyperlink" Target="https://www.foroplus.it/visualizza.php?pag=1&amp;ndoc=1368267GF&amp;sha1=8963d60e0dc29453879db5c2d53f6a294616dbe9&amp;ur=Mjg5MzgwNQ==&amp;id=massima-1368267GF&amp;w=in%20house%20providing" TargetMode="External"/><Relationship Id="rId149" Type="http://schemas.openxmlformats.org/officeDocument/2006/relationships/hyperlink" Target="https://www.foroplus.it/visualizza.php?id=id20110813DL00138ART0004000&amp;ur=Mjg5MzgwNg==&amp;w=in%20house%20responsabilit" TargetMode="External"/><Relationship Id="rId5" Type="http://schemas.openxmlformats.org/officeDocument/2006/relationships/footnotes" Target="footnotes.xml"/><Relationship Id="rId95" Type="http://schemas.openxmlformats.org/officeDocument/2006/relationships/hyperlink" Target="https://www.foroplus.it/visualizza.php?id=id19940114L00020ART0001000&amp;ur=Mjg5Mzc0OA==" TargetMode="External"/><Relationship Id="rId160" Type="http://schemas.openxmlformats.org/officeDocument/2006/relationships/hyperlink" Target="https://www.foroplus.it/visualizza.php?pag=1&amp;ndoc=1346036GF&amp;sha1=10a0004c6a4c7b2b420a3369d0bbc328678e8bad&amp;ur=Mjg5MzgwNg==&amp;id=massima-1346036GF&amp;w=in%20house%20responsabilit%C3%A0" TargetMode="External"/><Relationship Id="rId181" Type="http://schemas.openxmlformats.org/officeDocument/2006/relationships/hyperlink" Target="https://www.foroplus.it/visualizza.php?id=id2016????DLG00175ART0001000&amp;ur=Mjg5NDU2MA==" TargetMode="External"/><Relationship Id="rId216" Type="http://schemas.openxmlformats.org/officeDocument/2006/relationships/hyperlink" Target="https://www.foroplus.it/visualizza.php?id=id20121010DL00174ART0003000&amp;ur=Mjg5NDc1NA==" TargetMode="External"/><Relationship Id="rId22" Type="http://schemas.openxmlformats.org/officeDocument/2006/relationships/hyperlink" Target="https://www.foroplus.it/visualizza.php?id=id19420316CC00262ART2479000&amp;ur=Mjg5MzE2Ng==" TargetMode="External"/><Relationship Id="rId43" Type="http://schemas.openxmlformats.org/officeDocument/2006/relationships/hyperlink" Target="https://www.foroplus.it/visualizza.php?id=id19610311DPR00000&amp;ur=Mjg5MzI5MA==" TargetMode="External"/><Relationship Id="rId64" Type="http://schemas.openxmlformats.org/officeDocument/2006/relationships/hyperlink" Target="https://www.foroplus.it/visualizza.php?id=id1998????DPR00277&amp;ur=Mjg5MzY2Nw==" TargetMode="External"/><Relationship Id="rId118" Type="http://schemas.openxmlformats.org/officeDocument/2006/relationships/hyperlink" Target="https://www.foroplus.it/visualizza.php?id=id19401028CPC01443ART0360000&amp;ur=Mjg5Mzc0OA==" TargetMode="External"/><Relationship Id="rId139" Type="http://schemas.openxmlformats.org/officeDocument/2006/relationships/hyperlink" Target="https://www.foroplus.it/visualizza.php?id=id19401028CPC01443ART0360000&amp;ur=Mjg5MzgwNg==&amp;w=in%20house%20responsabilit" TargetMode="External"/><Relationship Id="rId85" Type="http://schemas.openxmlformats.org/officeDocument/2006/relationships/hyperlink" Target="https://www.foroplus.it/visualizza.php?id=id2001????L00097ART0001000&amp;ur=Mjg5Mzc0OA==" TargetMode="External"/><Relationship Id="rId150" Type="http://schemas.openxmlformats.org/officeDocument/2006/relationships/hyperlink" Target="https://www.foroplus.it/visualizza.php?id=id20110914L00148&amp;ur=Mjg5MzgwNg==&amp;w=in%20house%20responsabilit" TargetMode="External"/><Relationship Id="rId171" Type="http://schemas.openxmlformats.org/officeDocument/2006/relationships/hyperlink" Target="https://www.foroplus.it/visualizza.php?id=id19420316CC00262ART2497000&amp;ur=Mjg5NDU2MA==" TargetMode="External"/><Relationship Id="rId192" Type="http://schemas.openxmlformats.org/officeDocument/2006/relationships/hyperlink" Target="https://www.foroplus.it/visualizza.php?id=id19420316CC00262ART2497000&amp;ur=Mjg5NDU2MA==" TargetMode="External"/><Relationship Id="rId206" Type="http://schemas.openxmlformats.org/officeDocument/2006/relationships/hyperlink" Target="https://www.foroplus.it/visualizza.php?id=id19471222DAC00000ART0103000&amp;ur=Mjg5NDc1NA==" TargetMode="External"/><Relationship Id="rId227" Type="http://schemas.openxmlformats.org/officeDocument/2006/relationships/hyperlink" Target="https://www.foroplus.it/visualizza.php?id=id2016????DLG00175&amp;ur=Mjg5NTAyOQ==&amp;w=giurisdizion*%20amministrat*%20hous*" TargetMode="External"/><Relationship Id="rId12" Type="http://schemas.openxmlformats.org/officeDocument/2006/relationships/hyperlink" Target="https://www.foroplus.it/visualizza.php?id=id19401028CPC01443ART0360000&amp;ur=Mjg5MzE2Ng==" TargetMode="External"/><Relationship Id="rId33" Type="http://schemas.openxmlformats.org/officeDocument/2006/relationships/hyperlink" Target="https://www.foroplus.it/visualizza.php?id=id2016????DLG00174&amp;ur=Mjg5MzI5MA==" TargetMode="External"/><Relationship Id="rId108" Type="http://schemas.openxmlformats.org/officeDocument/2006/relationships/hyperlink" Target="https://www.foroplus.it/visualizza.php?id=id20090803L00102ART0017000&amp;ur=Mjg5Mzc0OA==" TargetMode="External"/><Relationship Id="rId129" Type="http://schemas.openxmlformats.org/officeDocument/2006/relationships/hyperlink" Target="https://www.foroplus.it/action/buildVosvQuery.php?vosv=UmVzcG9uc2FiaWxpdMOgIGNvbnRhYmlsZSBlIGFtbWluaXN0cmF0aXZh" TargetMode="External"/><Relationship Id="rId54" Type="http://schemas.openxmlformats.org/officeDocument/2006/relationships/hyperlink" Target="https://www.foroplus.it/visualizza.php?id=id19420316CC00262ART2449000&amp;ur=Mjg5MzI5MA==" TargetMode="External"/><Relationship Id="rId75" Type="http://schemas.openxmlformats.org/officeDocument/2006/relationships/hyperlink" Target="https://www.foroplus.it/visualizza.php?id=id20091230L00196&amp;ur=Mjg5Mzc5OQ==" TargetMode="External"/><Relationship Id="rId96" Type="http://schemas.openxmlformats.org/officeDocument/2006/relationships/hyperlink" Target="https://www.foroplus.it/visualizza.php?id=id1994????L00020&amp;ur=Mjg5Mzc0OA==" TargetMode="External"/><Relationship Id="rId140" Type="http://schemas.openxmlformats.org/officeDocument/2006/relationships/hyperlink" Target="https://www.foroplus.it/visualizza.php?id=id2016????DLG00174&amp;ur=Mjg5MzgwNg==&amp;w=in%20house%20responsabilit" TargetMode="External"/><Relationship Id="rId161" Type="http://schemas.openxmlformats.org/officeDocument/2006/relationships/hyperlink" Target="https://www.foroplus.it/action/buildVosvQuery.php?vosv=U29jaWV0w6A=" TargetMode="External"/><Relationship Id="rId182" Type="http://schemas.openxmlformats.org/officeDocument/2006/relationships/hyperlink" Target="https://www.foroplus.it/visualizza.php?id=id2012????DL00095ART0004000&amp;ur=Mjg5NDU2MA==" TargetMode="External"/><Relationship Id="rId217" Type="http://schemas.openxmlformats.org/officeDocument/2006/relationships/hyperlink" Target="https://www.foroplus.it/visualizza.php?id=id2006????DLG00163&amp;ur=Mjg5NTAyOQ==&amp;w=giurisdizion*%20amministrat*%20hous*" TargetMode="External"/><Relationship Id="rId6" Type="http://schemas.openxmlformats.org/officeDocument/2006/relationships/endnotes" Target="endnotes.xml"/><Relationship Id="rId23" Type="http://schemas.openxmlformats.org/officeDocument/2006/relationships/hyperlink" Target="https://www.foroplus.it/visualizza.php?id=id2016????DLG00175&amp;ur=Mjg5MzE2Ng==" TargetMode="External"/><Relationship Id="rId119" Type="http://schemas.openxmlformats.org/officeDocument/2006/relationships/hyperlink" Target="https://www.foroplus.it/visualizza.php?id=id1994????L00020&amp;ur=Mjg5Mzc0OA==" TargetMode="External"/><Relationship Id="rId44" Type="http://schemas.openxmlformats.org/officeDocument/2006/relationships/hyperlink" Target="https://www.foroplus.it/visualizza.php?id=id1958????L00259&amp;ur=Mjg5MzI5MA==" TargetMode="External"/><Relationship Id="rId65" Type="http://schemas.openxmlformats.org/officeDocument/2006/relationships/hyperlink" Target="https://www.foroplus.it/visualizza.php?id=id20030708DLG00188ART0038000&amp;ur=Mjg5MzY2Nw==" TargetMode="External"/><Relationship Id="rId86" Type="http://schemas.openxmlformats.org/officeDocument/2006/relationships/hyperlink" Target="https://www.foroplus.it/visualizza.php?id=id1923????RD02440ART0081000&amp;ur=Mjg5Mzc0OA==" TargetMode="External"/><Relationship Id="rId130" Type="http://schemas.openxmlformats.org/officeDocument/2006/relationships/hyperlink" Target="https://www.foroplus.it/visualizza.php?id=id19401028CPC01443ART0360000&amp;ur=Mjg5MzgwNg==&amp;w=in%20house%20responsabilit" TargetMode="External"/><Relationship Id="rId151" Type="http://schemas.openxmlformats.org/officeDocument/2006/relationships/hyperlink" Target="https://www.foroplus.it/visualizza.php?id=id2012????DPR00115&amp;ur=Mjg5MzgwNg==&amp;w=in%20house%20responsabilit" TargetMode="External"/><Relationship Id="rId172" Type="http://schemas.openxmlformats.org/officeDocument/2006/relationships/hyperlink" Target="https://www.foroplus.it/visualizza.php?id=id19420316CC00262ART2394020&amp;ur=Mjg5NDU2MA==" TargetMode="External"/><Relationship Id="rId193" Type="http://schemas.openxmlformats.org/officeDocument/2006/relationships/hyperlink" Target="https://www.foroplus.it/visualizza.php?id=id19420316CC00262ART2394020&amp;ur=Mjg5NDU2MA==" TargetMode="External"/><Relationship Id="rId207" Type="http://schemas.openxmlformats.org/officeDocument/2006/relationships/hyperlink" Target="https://www.foroplus.it/visualizza.php?id=id19420316CC00262ART2393000&amp;ur=Mjg5NDc1NA==" TargetMode="External"/><Relationship Id="rId228" Type="http://schemas.openxmlformats.org/officeDocument/2006/relationships/hyperlink" Target="https://www.foroplus.it/visualizza.php?id=id2016????DLG00175&amp;ur=Mjg5NTAyOQ==&amp;w=giurisdizion*%20amministrat*%20hous*" TargetMode="External"/><Relationship Id="rId13" Type="http://schemas.openxmlformats.org/officeDocument/2006/relationships/hyperlink" Target="https://www.foroplus.it/visualizza.php?id=id2016????DLG00174&amp;ur=Mjg5MzE2Ng==" TargetMode="External"/><Relationship Id="rId109" Type="http://schemas.openxmlformats.org/officeDocument/2006/relationships/hyperlink" Target="https://www.foroplus.it/visualizza.php?id=id20091003L00141&amp;ur=Mjg5Mzc0OA==" TargetMode="External"/><Relationship Id="rId34" Type="http://schemas.openxmlformats.org/officeDocument/2006/relationships/hyperlink" Target="https://www.foroplus.it/visualizza.php?id=id19610311DPR00000&amp;ur=Mjg5MzI5MA==" TargetMode="External"/><Relationship Id="rId55" Type="http://schemas.openxmlformats.org/officeDocument/2006/relationships/hyperlink" Target="https://www.foroplus.it/visualizza.php?id=id19420316CC00262ART2392000&amp;ur=Mjg5MzI5MA==" TargetMode="External"/><Relationship Id="rId76" Type="http://schemas.openxmlformats.org/officeDocument/2006/relationships/hyperlink" Target="https://www.foroplus.it/visualizza.php?id=id19401028CPC01443ART0380030&amp;ur=Mjg5Mzc5OQ==" TargetMode="External"/><Relationship Id="rId97" Type="http://schemas.openxmlformats.org/officeDocument/2006/relationships/hyperlink" Target="https://www.foroplus.it/visualizza.php?id=id20080225L00034ART0013000&amp;ur=Mjg5Mzc0OA==" TargetMode="External"/><Relationship Id="rId120" Type="http://schemas.openxmlformats.org/officeDocument/2006/relationships/hyperlink" Target="https://www.foroplus.it/visualizza.php?id=id2001????L00097ART0001000&amp;ur=Mjg5Mzc0OA==" TargetMode="External"/><Relationship Id="rId141" Type="http://schemas.openxmlformats.org/officeDocument/2006/relationships/hyperlink" Target="https://www.foroplus.it/visualizza.php?id=id19401028CPC01443ART0360000&amp;ur=Mjg5MzgwNg==&amp;w=in%20house%20responsabilit" TargetMode="External"/><Relationship Id="rId7" Type="http://schemas.openxmlformats.org/officeDocument/2006/relationships/hyperlink" Target="javascript:aggiungiPreferito()" TargetMode="External"/><Relationship Id="rId162" Type="http://schemas.openxmlformats.org/officeDocument/2006/relationships/hyperlink" Target="https://www.foroplus.it/visualizza.php?id=id19420316CC00262ART2497000" TargetMode="External"/><Relationship Id="rId183" Type="http://schemas.openxmlformats.org/officeDocument/2006/relationships/hyperlink" Target="https://www.foroplus.it/visualizza.php?id=id2012????L00135&amp;ur=Mjg5NDU2MA==" TargetMode="External"/><Relationship Id="rId218" Type="http://schemas.openxmlformats.org/officeDocument/2006/relationships/hyperlink" Target="https://www.foroplus.it/visualizza.php?id=id2016????DLG00175&amp;ur=Mjg5NTAyOQ==&amp;w=giurisdizion*%20amministrat*%20hous*" TargetMode="External"/><Relationship Id="rId24" Type="http://schemas.openxmlformats.org/officeDocument/2006/relationships/hyperlink" Target="https://www.foroplus.it/visualizza.php?id=id2016????DLG00175&amp;ur=Mjg5MzE2Ng==" TargetMode="External"/><Relationship Id="rId45" Type="http://schemas.openxmlformats.org/officeDocument/2006/relationships/hyperlink" Target="https://www.foroplus.it/visualizza.php?id=id2009????L00196&amp;ur=Mjg5MzI5MA==" TargetMode="External"/><Relationship Id="rId66" Type="http://schemas.openxmlformats.org/officeDocument/2006/relationships/hyperlink" Target="https://www.foroplus.it/visualizza.php?id=id2015????DLG00112&amp;ur=Mjg5MzY2Nw==" TargetMode="External"/><Relationship Id="rId87" Type="http://schemas.openxmlformats.org/officeDocument/2006/relationships/hyperlink" Target="https://www.foroplus.it/visualizza.php?id=id1214????RD01234ART0052000&amp;ur=Mjg5Mzc0OA==" TargetMode="External"/><Relationship Id="rId110" Type="http://schemas.openxmlformats.org/officeDocument/2006/relationships/hyperlink" Target="https://www.foroplus.it/visualizza.php?id=id20010327L00097ART0007000&amp;ur=Mjg5Mzc0OA==" TargetMode="External"/><Relationship Id="rId131" Type="http://schemas.openxmlformats.org/officeDocument/2006/relationships/hyperlink" Target="https://www.foroplus.it/visualizza.php?id=id20160826DLG00174ART0001000&amp;ur=Mjg5MzgwNg==&amp;w=in%20house%20responsabilit" TargetMode="External"/><Relationship Id="rId152" Type="http://schemas.openxmlformats.org/officeDocument/2006/relationships/hyperlink" Target="https://www.foroplus.it/visualizza.php?id=id2002????DPR00115&amp;ur=Mjg5MzgwNg==&amp;w=in%20house%20responsabilit" TargetMode="External"/><Relationship Id="rId173" Type="http://schemas.openxmlformats.org/officeDocument/2006/relationships/hyperlink" Target="https://www.foroplus.it/visualizza.php?id=id19420316CC00262ART2396000&amp;ur=Mjg5NDU2MA==" TargetMode="External"/><Relationship Id="rId194" Type="http://schemas.openxmlformats.org/officeDocument/2006/relationships/hyperlink" Target="https://www.foroplus.it/visualizza.php?id=id19420316CC00262ART2407000&amp;ur=Mjg5NDU2MA==" TargetMode="External"/><Relationship Id="rId208" Type="http://schemas.openxmlformats.org/officeDocument/2006/relationships/hyperlink" Target="https://www.foroplus.it/visualizza.php?id=id19420316CC00262ART2393020&amp;ur=Mjg5NDc1NA==" TargetMode="External"/><Relationship Id="rId229" Type="http://schemas.openxmlformats.org/officeDocument/2006/relationships/hyperlink" Target="https://www.foroplus.it/visualizza.php?id=id20121224L00228ART0001000&amp;ur=Mjg5NTAyOQ==&amp;w=giurisdizion*%20amministrat*%20hous*" TargetMode="External"/><Relationship Id="rId14" Type="http://schemas.openxmlformats.org/officeDocument/2006/relationships/hyperlink" Target="https://www.foroplus.it/visualizza.php?id=id19471222DAC00000ART0103000&amp;ur=Mjg5MzE2Ng==" TargetMode="External"/><Relationship Id="rId35" Type="http://schemas.openxmlformats.org/officeDocument/2006/relationships/hyperlink" Target="https://www.foroplus.it/visualizza.php?id=id2016????DLG00175ART0012000&amp;ur=Mjg5MzI5MA==" TargetMode="External"/><Relationship Id="rId56" Type="http://schemas.openxmlformats.org/officeDocument/2006/relationships/hyperlink" Target="https://www.foroplus.it/visualizza.php?id=id19420316CC00262ART2393000&amp;ur=Mjg5MzI5MA==" TargetMode="External"/><Relationship Id="rId77" Type="http://schemas.openxmlformats.org/officeDocument/2006/relationships/hyperlink" Target="https://www.foroplus.it/visualizza.php?id=id19401028CPC01443ART0273000&amp;ur=Mjg5Mzc5OQ==" TargetMode="External"/><Relationship Id="rId100" Type="http://schemas.openxmlformats.org/officeDocument/2006/relationships/hyperlink" Target="https://www.foroplus.it/visualizza.php?id=id19420316CC00262ART2392000&amp;ur=Mjg5Mzc0OA==" TargetMode="External"/><Relationship Id="rId8" Type="http://schemas.openxmlformats.org/officeDocument/2006/relationships/image" Target="media/image1.png"/><Relationship Id="rId98" Type="http://schemas.openxmlformats.org/officeDocument/2006/relationships/hyperlink" Target="https://www.foroplus.it/visualizza.php?id=id20070215DL00010ART0003000&amp;ur=Mjg5Mzc0OA==" TargetMode="External"/><Relationship Id="rId121" Type="http://schemas.openxmlformats.org/officeDocument/2006/relationships/hyperlink" Target="https://www.foroplus.it/visualizza.php?id=id1923????RD02440ART0081000&amp;ur=Mjg5Mzc0OA==" TargetMode="External"/><Relationship Id="rId142" Type="http://schemas.openxmlformats.org/officeDocument/2006/relationships/hyperlink" Target="https://www.foroplus.it/visualizza.php?id=id20160826DLG00174ART0001000&amp;ur=Mjg5MzgwNg==&amp;w=in%20house%20responsabilit" TargetMode="External"/><Relationship Id="rId163" Type="http://schemas.openxmlformats.org/officeDocument/2006/relationships/hyperlink" Target="https://www.foroplus.it/visualizza.php?pag=1&amp;ndoc=1342914GF&amp;sha1=aa0bb25a8aac55414cc3011ec3514db3d1bc266b&amp;ur=Mjg5MzgwNg==&amp;id=massima-1342914GF&amp;w=in%20house%20responsabilit%C3%A0" TargetMode="External"/><Relationship Id="rId184" Type="http://schemas.openxmlformats.org/officeDocument/2006/relationships/hyperlink" Target="https://www.foroplus.it/visualizza.php?id=id2016????DLG00175ART0001000&amp;ur=Mjg5NDU2MA==" TargetMode="External"/><Relationship Id="rId219" Type="http://schemas.openxmlformats.org/officeDocument/2006/relationships/hyperlink" Target="https://www.foroplus.it/visualizza.php?id=id2016????DLG00175&amp;ur=Mjg5NTAyOQ==&amp;w=giurisdizion*%20amministrat*%20hous*" TargetMode="External"/><Relationship Id="rId230" Type="http://schemas.openxmlformats.org/officeDocument/2006/relationships/hyperlink" Target="https://www.foroplus.it/visualizza.php?id=id2002????DPR00115&amp;ur=Mjg5NTAyOQ==&amp;w=giurisdizion*%20amministrat*%20hous*" TargetMode="External"/><Relationship Id="rId25" Type="http://schemas.openxmlformats.org/officeDocument/2006/relationships/hyperlink" Target="https://www.foroplus.it/visualizza.php?id=id2016????DLG00050&amp;ur=Mjg5MzE2Ng==" TargetMode="External"/><Relationship Id="rId46" Type="http://schemas.openxmlformats.org/officeDocument/2006/relationships/hyperlink" Target="https://www.foroplus.it/visualizza.php?id=id2016????DLG00175ART0012000&amp;ur=Mjg5MzI5MA==" TargetMode="External"/><Relationship Id="rId67" Type="http://schemas.openxmlformats.org/officeDocument/2006/relationships/hyperlink" Target="https://www.foroplus.it/visualizza.php?id=id20160819DLG00175&amp;ur=Mjg5MzY2Nw==" TargetMode="External"/><Relationship Id="rId20" Type="http://schemas.openxmlformats.org/officeDocument/2006/relationships/hyperlink" Target="https://www.foroplus.it/visualizza.php?id=id19420316CC00262ART2479000&amp;ur=Mjg5MzE2Ng==" TargetMode="External"/><Relationship Id="rId41" Type="http://schemas.openxmlformats.org/officeDocument/2006/relationships/hyperlink" Target="https://www.foroplus.it/visualizza.php?id=id1955????DM00022ART0020000&amp;ur=Mjg5MzI5MA==" TargetMode="External"/><Relationship Id="rId62" Type="http://schemas.openxmlformats.org/officeDocument/2006/relationships/hyperlink" Target="https://www.foroplus.it/visualizza.php?id=id2006????DLG00155&amp;ur=Mjg5MzI5MA==" TargetMode="External"/><Relationship Id="rId83" Type="http://schemas.openxmlformats.org/officeDocument/2006/relationships/hyperlink" Target="https://www.foroplus.it/visualizza.php?id=id19401028CPC01443ART0360000&amp;ur=Mjg5Mzc0OA==" TargetMode="External"/><Relationship Id="rId88" Type="http://schemas.openxmlformats.org/officeDocument/2006/relationships/hyperlink" Target="https://www.foroplus.it/visualizza.php?id=id1994????L00020&amp;ur=Mjg5Mzc0OA==" TargetMode="External"/><Relationship Id="rId111" Type="http://schemas.openxmlformats.org/officeDocument/2006/relationships/hyperlink" Target="https://www.foroplus.it/visualizza.php?id=id19420316CC00262ART2497000&amp;ur=Mjg5Mzc0OA==" TargetMode="External"/><Relationship Id="rId132" Type="http://schemas.openxmlformats.org/officeDocument/2006/relationships/hyperlink" Target="https://www.foroplus.it/visualizza.php?id=id19420316CC00262ART2364000&amp;ur=Mjg5MzgwNg==&amp;w=in%20house%20responsabilit" TargetMode="External"/><Relationship Id="rId153" Type="http://schemas.openxmlformats.org/officeDocument/2006/relationships/hyperlink" Target="javascript:nuovoFascicolo()" TargetMode="External"/><Relationship Id="rId174" Type="http://schemas.openxmlformats.org/officeDocument/2006/relationships/hyperlink" Target="https://www.foroplus.it/visualizza.php?id=id19420316CC00262ART2047000&amp;ur=Mjg5NDU2MA==" TargetMode="External"/><Relationship Id="rId179" Type="http://schemas.openxmlformats.org/officeDocument/2006/relationships/hyperlink" Target="https://www.foroplus.it/visualizza.php?id=id2012????DL00095ART0004000&amp;ur=Mjg5NDU2MA==" TargetMode="External"/><Relationship Id="rId195" Type="http://schemas.openxmlformats.org/officeDocument/2006/relationships/hyperlink" Target="https://www.foroplus.it/visualizza.php?id=id19420316CC00262ART2043000&amp;ur=Mjg5NDU2MA==" TargetMode="External"/><Relationship Id="rId209" Type="http://schemas.openxmlformats.org/officeDocument/2006/relationships/hyperlink" Target="https://www.foroplus.it/visualizza.php?id=id19340712RD01214ART0053000&amp;ur=Mjg5NDc1NA==" TargetMode="External"/><Relationship Id="rId190" Type="http://schemas.openxmlformats.org/officeDocument/2006/relationships/hyperlink" Target="https://www.foroplus.it/visualizza.php?id=id19420316CC00262ART2485000&amp;ur=Mjg5NDU2MA==" TargetMode="External"/><Relationship Id="rId204" Type="http://schemas.openxmlformats.org/officeDocument/2006/relationships/hyperlink" Target="https://www.foroplus.it/visualizza.php?id=id19401028CPC01443ART0041000" TargetMode="External"/><Relationship Id="rId220" Type="http://schemas.openxmlformats.org/officeDocument/2006/relationships/hyperlink" Target="https://www.foroplus.it/visualizza.php?id=id19471222DAC00000ART0103000&amp;ur=Mjg5NTAyOQ==&amp;w=giurisdizion*%20amministrat*%20hous*" TargetMode="External"/><Relationship Id="rId225" Type="http://schemas.openxmlformats.org/officeDocument/2006/relationships/hyperlink" Target="https://www.foroplus.it/visualizza.php?id=id1994????L00020&amp;ur=Mjg5NTAyOQ==&amp;w=giurisdizion*%20amministrat*%20hous*" TargetMode="External"/><Relationship Id="rId15" Type="http://schemas.openxmlformats.org/officeDocument/2006/relationships/hyperlink" Target="https://www.foroplus.it/visualizza.php?id=id19471222DAC00000ART0111000&amp;ur=Mjg5MzE2Ng==" TargetMode="External"/><Relationship Id="rId36" Type="http://schemas.openxmlformats.org/officeDocument/2006/relationships/hyperlink" Target="https://www.foroplus.it/visualizza.php?id=id2016????DLG00175ART0012000&amp;ur=Mjg5MzI5MA==" TargetMode="External"/><Relationship Id="rId57" Type="http://schemas.openxmlformats.org/officeDocument/2006/relationships/hyperlink" Target="https://www.foroplus.it/visualizza.php?id=id19420316CC00262ART2476000&amp;ur=Mjg5MzI5MA==" TargetMode="External"/><Relationship Id="rId106" Type="http://schemas.openxmlformats.org/officeDocument/2006/relationships/hyperlink" Target="https://www.foroplus.it/visualizza.php?id=id19420316CC00262ART2395000&amp;ur=Mjg5Mzc0OA==" TargetMode="External"/><Relationship Id="rId127" Type="http://schemas.openxmlformats.org/officeDocument/2006/relationships/hyperlink" Target="https://www.foroplus.it/visualizza.php?id=id1934????RD01214ART0052000&amp;ur=Mjg5Mzc0OA==" TargetMode="External"/><Relationship Id="rId10" Type="http://schemas.openxmlformats.org/officeDocument/2006/relationships/hyperlink" Target="https://www.foroplus.it/visualizza.php?id=id2016????DLG00175&amp;ur=Mjc3MDU2Mw==" TargetMode="External"/><Relationship Id="rId31" Type="http://schemas.openxmlformats.org/officeDocument/2006/relationships/hyperlink" Target="https://www.foroplus.it/visualizza.php?id=id1994????L00020&amp;ur=Mjg5MzI5MA==" TargetMode="External"/><Relationship Id="rId52" Type="http://schemas.openxmlformats.org/officeDocument/2006/relationships/hyperlink" Target="https://www.foroplus.it/visualizza.php?id=id2007????L00046&amp;ur=Mjg5MzI5MA==" TargetMode="External"/><Relationship Id="rId73" Type="http://schemas.openxmlformats.org/officeDocument/2006/relationships/hyperlink" Target="https://www.foroplus.it/action/buildVosvQuery.php?vosv=UmVzcG9uc2FiaWxpdMOgIGNvbnRhYmlsZSBlIGFtbWluaXN0cmF0aXZh" TargetMode="External"/><Relationship Id="rId78" Type="http://schemas.openxmlformats.org/officeDocument/2006/relationships/hyperlink" Target="https://www.foroplus.it/visualizza.php?id=id20100702DLG00104ART0007000&amp;ur=Mjg5Mzc5OQ==" TargetMode="External"/><Relationship Id="rId94" Type="http://schemas.openxmlformats.org/officeDocument/2006/relationships/hyperlink" Target="https://www.foroplus.it/visualizza.php?id=id19340712RD01214ART0013000&amp;ur=Mjg5Mzc0OA==" TargetMode="External"/><Relationship Id="rId99" Type="http://schemas.openxmlformats.org/officeDocument/2006/relationships/hyperlink" Target="https://www.foroplus.it/visualizza.php?id=id20070406L00046&amp;ur=Mjg5Mzc0OA==" TargetMode="External"/><Relationship Id="rId101" Type="http://schemas.openxmlformats.org/officeDocument/2006/relationships/hyperlink" Target="https://www.foroplus.it/visualizza.php?id=id20080228L00031ART0016020&amp;ur=Mjg5Mzc0OA==" TargetMode="External"/><Relationship Id="rId122" Type="http://schemas.openxmlformats.org/officeDocument/2006/relationships/hyperlink" Target="https://www.foroplus.it/visualizza.php?id=id1214????RD01234ART0052000&amp;ur=Mjg5Mzc0OA==" TargetMode="External"/><Relationship Id="rId143" Type="http://schemas.openxmlformats.org/officeDocument/2006/relationships/hyperlink" Target="https://www.foroplus.it/visualizza.php?id=id19420316CC00262ART2380000&amp;ur=Mjg5MzgwNg==&amp;w=in%20house%20responsabilit" TargetMode="External"/><Relationship Id="rId148" Type="http://schemas.openxmlformats.org/officeDocument/2006/relationships/hyperlink" Target="https://www.foroplus.it/visualizza.php?id=id20080806L00133&amp;ur=Mjg5MzgwNg==&amp;w=in%20house%20responsabilit" TargetMode="External"/><Relationship Id="rId164" Type="http://schemas.openxmlformats.org/officeDocument/2006/relationships/hyperlink" Target="javascript:nuovoFascicolo()" TargetMode="External"/><Relationship Id="rId169" Type="http://schemas.openxmlformats.org/officeDocument/2006/relationships/hyperlink" Target="https://www.foroplus.it/visualizza.php?id=id19420316CC00262ART2485000&amp;ur=Mjg5NDU2MA==" TargetMode="External"/><Relationship Id="rId185" Type="http://schemas.openxmlformats.org/officeDocument/2006/relationships/hyperlink" Target="https://www.foroplus.it/visualizza.php?id=id2016????DLG00175ART0014000&amp;ur=Mjg5NDU2MA==" TargetMode="External"/><Relationship Id="rId4" Type="http://schemas.openxmlformats.org/officeDocument/2006/relationships/webSettings" Target="webSettings.xml"/><Relationship Id="rId9" Type="http://schemas.openxmlformats.org/officeDocument/2006/relationships/hyperlink" Target="https://www.foroplus.it/visualizza.php?id=id19401028CPC01443ART0360000&amp;ur=Mjc3MDU2Mw==" TargetMode="External"/><Relationship Id="rId180" Type="http://schemas.openxmlformats.org/officeDocument/2006/relationships/hyperlink" Target="https://www.foroplus.it/visualizza.php?id=id2012????L00135&amp;ur=Mjg5NDU2MA==" TargetMode="External"/><Relationship Id="rId210" Type="http://schemas.openxmlformats.org/officeDocument/2006/relationships/hyperlink" Target="https://www.foroplus.it/visualizza.php?id=id19940114L00020ART0001000&amp;ur=Mjg5NDc1NA==" TargetMode="External"/><Relationship Id="rId215" Type="http://schemas.openxmlformats.org/officeDocument/2006/relationships/hyperlink" Target="https://www.foroplus.it/visualizza.php?id=id2012????DL00095ART0006000&amp;ur=Mjg5NDc1NA==" TargetMode="External"/><Relationship Id="rId26" Type="http://schemas.openxmlformats.org/officeDocument/2006/relationships/hyperlink" Target="https://www.foroplus.it/visualizza.php?id=id2002????DPR00115&amp;ur=Mjg5MzE2Ng==" TargetMode="External"/><Relationship Id="rId231" Type="http://schemas.openxmlformats.org/officeDocument/2006/relationships/hyperlink" Target="https://www.foroplus.it/visualizza.php?id=id2002????DPR00115&amp;ur=Mjg5NTAyOQ==&amp;w=giurisdizion*%20amministrat*%20hous*" TargetMode="External"/><Relationship Id="rId47" Type="http://schemas.openxmlformats.org/officeDocument/2006/relationships/hyperlink" Target="https://www.foroplus.it/visualizza.php?id=id1936????L02174&amp;ur=Mjg5MzI5MA==" TargetMode="External"/><Relationship Id="rId68" Type="http://schemas.openxmlformats.org/officeDocument/2006/relationships/hyperlink" Target="https://www.foroplus.it/visualizza.php?id=id20120706DL00095ART0004000&amp;ur=Mjg5MzY2Nw==" TargetMode="External"/><Relationship Id="rId89" Type="http://schemas.openxmlformats.org/officeDocument/2006/relationships/hyperlink" Target="https://www.foroplus.it/visualizza.php?id=id2001????L00097ART0001000&amp;ur=Mjg5Mzc0OA==" TargetMode="External"/><Relationship Id="rId112" Type="http://schemas.openxmlformats.org/officeDocument/2006/relationships/hyperlink" Target="https://www.foroplus.it/visualizza.php?id=id2003????DLG00006&amp;ur=Mjg5Mzc0OA==" TargetMode="External"/><Relationship Id="rId133" Type="http://schemas.openxmlformats.org/officeDocument/2006/relationships/hyperlink" Target="https://www.foroplus.it/visualizza.php?id=id19420316CC00262ART2364000&amp;ur=Mjg5MzgwNg==&amp;w=in%20house%20responsabilit" TargetMode="External"/><Relationship Id="rId154" Type="http://schemas.openxmlformats.org/officeDocument/2006/relationships/hyperlink" Target="https://www.foroplus.it/action/buildVosvQuery.php?vosv=QW1taW5pc3RyYXppb25lIGRlbGxvIFN0YXRvIGUgZGVnbGkgZW50aSBwdWJibGljaSBpbiBnZW5lcmU=" TargetMode="External"/><Relationship Id="rId175" Type="http://schemas.openxmlformats.org/officeDocument/2006/relationships/hyperlink" Target="https://www.foroplus.it/visualizza.php?id=id19420316CC00262ART2043000&amp;ur=Mjg5NDU2MA==" TargetMode="External"/><Relationship Id="rId196" Type="http://schemas.openxmlformats.org/officeDocument/2006/relationships/hyperlink" Target="https://www.foroplus.it/visualizza.php?id=id19420316CC00262ART2393000&amp;ur=Mjg5NDU2MA==" TargetMode="External"/><Relationship Id="rId200" Type="http://schemas.openxmlformats.org/officeDocument/2006/relationships/hyperlink" Target="https://www.foroplus.it/visualizza.php?id=id19401028CPC01443ART0041000&amp;ur=Mjg5NDUzNA==" TargetMode="External"/><Relationship Id="rId16" Type="http://schemas.openxmlformats.org/officeDocument/2006/relationships/hyperlink" Target="https://www.foroplus.it/visualizza.php?id=id1994????L00020&amp;ur=Mjg5MzE2Ng==" TargetMode="External"/><Relationship Id="rId221" Type="http://schemas.openxmlformats.org/officeDocument/2006/relationships/hyperlink" Target="https://www.foroplus.it/visualizza.php?id=id2016????DLG00175&amp;ur=Mjg5NTAyOQ==&amp;w=giurisdizion*%20amministrat*%20hous*" TargetMode="External"/><Relationship Id="rId37" Type="http://schemas.openxmlformats.org/officeDocument/2006/relationships/hyperlink" Target="https://www.foroplus.it/visualizza.php?id=id2016????DLG00175ART0012000&amp;ur=Mjg5MzI5MA==" TargetMode="External"/><Relationship Id="rId58" Type="http://schemas.openxmlformats.org/officeDocument/2006/relationships/hyperlink" Target="https://www.foroplus.it/visualizza.php?id=id19420316CC00262ART2395000&amp;ur=Mjg5MzI5MA==" TargetMode="External"/><Relationship Id="rId79" Type="http://schemas.openxmlformats.org/officeDocument/2006/relationships/hyperlink" Target="https://www.foroplus.it/visualizza.php?id=id19931224L00537&amp;ur=Mjg5Mzc5OQ==" TargetMode="External"/><Relationship Id="rId102" Type="http://schemas.openxmlformats.org/officeDocument/2006/relationships/hyperlink" Target="https://www.foroplus.it/visualizza.php?id=id20071231DL00248&amp;ur=Mjg5Mzc0OA==" TargetMode="External"/><Relationship Id="rId123" Type="http://schemas.openxmlformats.org/officeDocument/2006/relationships/hyperlink" Target="https://www.foroplus.it/visualizza.php?id=id19471222DAC00000ART0111000&amp;ur=Mjg5Mzc0OA==" TargetMode="External"/><Relationship Id="rId144" Type="http://schemas.openxmlformats.org/officeDocument/2006/relationships/hyperlink" Target="https://www.foroplus.it/visualizza.php?id=id19401028CPC01443ART0360000&amp;ur=Mjg5MzgwNg==&amp;w=in%20house%20responsabilit" TargetMode="External"/><Relationship Id="rId90" Type="http://schemas.openxmlformats.org/officeDocument/2006/relationships/hyperlink" Target="https://www.foroplus.it/visualizza.php?id=id1923????RD02440ART0081000&amp;ur=Mjg5Mzc0OA==" TargetMode="External"/><Relationship Id="rId165" Type="http://schemas.openxmlformats.org/officeDocument/2006/relationships/hyperlink" Target="https://www.foroplus.it/visualizza.php?pag=0&amp;sha1=868b5909de27a26e19797e5537a9ab4c3cadc7d8&amp;ur=Mjg5NDU2MA==" TargetMode="External"/><Relationship Id="rId186" Type="http://schemas.openxmlformats.org/officeDocument/2006/relationships/hyperlink" Target="https://www.foroplus.it/visualizza.php?id=id1975????L00070&amp;ur=Mjg5NDU2MA==" TargetMode="External"/><Relationship Id="rId211" Type="http://schemas.openxmlformats.org/officeDocument/2006/relationships/hyperlink" Target="https://www.foroplus.it/visualizza.php?id=id20120124DL00001ART0025000&amp;ur=Mjg5NDc1NA==" TargetMode="External"/><Relationship Id="rId232" Type="http://schemas.openxmlformats.org/officeDocument/2006/relationships/hyperlink" Target="https://www.foroplus.it/visualizza.php?id=id20121224L00228ART0001000&amp;ur=Mjg5NTAyOQ==&amp;w=giurisdizion*%20amministrat*%20hous*" TargetMode="External"/><Relationship Id="rId27" Type="http://schemas.openxmlformats.org/officeDocument/2006/relationships/hyperlink" Target="https://www.foroplus.it/visualizza.php?id=id2012????L00228&amp;ur=Mjg5MzE2Ng==" TargetMode="External"/><Relationship Id="rId48" Type="http://schemas.openxmlformats.org/officeDocument/2006/relationships/hyperlink" Target="https://www.foroplus.it/visualizza.php?id=id1997????L00059&amp;ur=Mjg5MzI5MA==" TargetMode="External"/><Relationship Id="rId69" Type="http://schemas.openxmlformats.org/officeDocument/2006/relationships/hyperlink" Target="https://www.foroplus.it/visualizza.php?id=id20120807L00135ART0001000&amp;ur=Mjg5MzY2Nw==" TargetMode="External"/><Relationship Id="rId113" Type="http://schemas.openxmlformats.org/officeDocument/2006/relationships/hyperlink" Target="https://www.foroplus.it/visualizza.php?id=id19420316CC00262ART2393020&amp;ur=Mjg5Mzc0OA==" TargetMode="External"/><Relationship Id="rId134" Type="http://schemas.openxmlformats.org/officeDocument/2006/relationships/hyperlink" Target="https://www.foroplus.it/visualizza.php?id=id19420316CC00262ART2449000&amp;ur=Mjg5MzgwNg==&amp;w=in%20house%20responsabilit" TargetMode="External"/><Relationship Id="rId80" Type="http://schemas.openxmlformats.org/officeDocument/2006/relationships/hyperlink" Target="https://www.foroplus.it/visualizza.php?id=id19420316CC00262ART0012000&amp;ur=Mjg5Mzc5OQ==" TargetMode="External"/><Relationship Id="rId155" Type="http://schemas.openxmlformats.org/officeDocument/2006/relationships/hyperlink" Target="https://www.foroplus.it/action/buildVosvQuery.php?vosv=Q29tcGV0ZW56YSBjaXZpbGU=" TargetMode="External"/><Relationship Id="rId176" Type="http://schemas.openxmlformats.org/officeDocument/2006/relationships/hyperlink" Target="https://www.foroplus.it/visualizza.php?id=id19420316CC00262ART2395000&amp;ur=Mjg5NDU2MA==" TargetMode="External"/><Relationship Id="rId197" Type="http://schemas.openxmlformats.org/officeDocument/2006/relationships/hyperlink" Target="https://www.foroplus.it/visualizza.php?id=id19420316CC00262ART2394000&amp;ur=Mjg5NDU2MA==" TargetMode="External"/><Relationship Id="rId201" Type="http://schemas.openxmlformats.org/officeDocument/2006/relationships/hyperlink" Target="https://www.foroplus.it/visualizza.php?id=id20000818DLG00267&amp;ur=Mjg5NDUzNA==" TargetMode="External"/><Relationship Id="rId222" Type="http://schemas.openxmlformats.org/officeDocument/2006/relationships/hyperlink" Target="https://www.foroplus.it/visualizza.php?id=id1994????L00020&amp;ur=Mjg5NTAyOQ==&amp;w=giurisdizion*%20amministrat*%20hous*" TargetMode="External"/><Relationship Id="rId17" Type="http://schemas.openxmlformats.org/officeDocument/2006/relationships/hyperlink" Target="https://www.foroplus.it/visualizza.php?id=id2016????DLG00174ART0001000&amp;ur=Mjg5MzE2Ng==" TargetMode="External"/><Relationship Id="rId38" Type="http://schemas.openxmlformats.org/officeDocument/2006/relationships/hyperlink" Target="https://www.foroplus.it/visualizza.php?id=id19401028CPC01443ART0360000&amp;ur=Mjg5MzI5MA==" TargetMode="External"/><Relationship Id="rId59" Type="http://schemas.openxmlformats.org/officeDocument/2006/relationships/hyperlink" Target="https://www.foroplus.it/visualizza.php?id=id19420316CC00262ART2476000&amp;ur=Mjg5MzI5MA==" TargetMode="External"/><Relationship Id="rId103" Type="http://schemas.openxmlformats.org/officeDocument/2006/relationships/hyperlink" Target="https://www.foroplus.it/visualizza.php?id=id19420316CC00262ART2476000&amp;ur=Mjg5Mzc0OA==" TargetMode="External"/><Relationship Id="rId124" Type="http://schemas.openxmlformats.org/officeDocument/2006/relationships/hyperlink" Target="https://www.foroplus.it/visualizza.php?id=id1994????L00020&amp;ur=Mjg5Mzc0OA==" TargetMode="External"/><Relationship Id="rId70" Type="http://schemas.openxmlformats.org/officeDocument/2006/relationships/hyperlink" Target="https://www.foroplus.it/visualizza.php?id=id20060324DLG00155&amp;ur=Mjg5MzY2Nw==" TargetMode="External"/><Relationship Id="rId91" Type="http://schemas.openxmlformats.org/officeDocument/2006/relationships/hyperlink" Target="https://www.foroplus.it/visualizza.php?id=id1214????RD01234ART0052000&amp;ur=Mjg5Mzc0OA==" TargetMode="External"/><Relationship Id="rId145" Type="http://schemas.openxmlformats.org/officeDocument/2006/relationships/hyperlink" Target="https://www.foroplus.it/visualizza.php?id=id20160826DLG00174ART0001000&amp;ur=Mjg5MzgwNg==&amp;w=in%20house%20responsabilit" TargetMode="External"/><Relationship Id="rId166" Type="http://schemas.openxmlformats.org/officeDocument/2006/relationships/hyperlink" Target="https://www.foroplus.it/visualizza.php?id=id19420316CC00262ART2392000&amp;ur=Mjg5NDU2MA==" TargetMode="External"/><Relationship Id="rId187" Type="http://schemas.openxmlformats.org/officeDocument/2006/relationships/hyperlink" Target="https://www.foroplus.it/visualizza.php?id=id19420316CC00262ART2392000&amp;ur=Mjg5NDU2MA==" TargetMode="External"/><Relationship Id="rId1" Type="http://schemas.openxmlformats.org/officeDocument/2006/relationships/customXml" Target="../customXml/item1.xml"/><Relationship Id="rId212" Type="http://schemas.openxmlformats.org/officeDocument/2006/relationships/hyperlink" Target="https://www.foroplus.it/visualizza.php?id=id20120324L00027&amp;ur=Mjg5NDc1NA==" TargetMode="External"/><Relationship Id="rId233" Type="http://schemas.openxmlformats.org/officeDocument/2006/relationships/footer" Target="footer1.xml"/><Relationship Id="rId28" Type="http://schemas.openxmlformats.org/officeDocument/2006/relationships/hyperlink" Target="https://www.foroplus.it/visualizza.php?id=id19471222DAC00000ART0102000&amp;ur=Mjg5MzI5MA==" TargetMode="External"/><Relationship Id="rId49" Type="http://schemas.openxmlformats.org/officeDocument/2006/relationships/hyperlink" Target="https://www.foroplus.it/visualizza.php?id=id1999????DLG00304ART0011000&amp;ur=Mjg5MzI5MA==" TargetMode="External"/><Relationship Id="rId114" Type="http://schemas.openxmlformats.org/officeDocument/2006/relationships/hyperlink" Target="https://www.foroplus.it/visualizza.php?id=id19420316CC00262ART2476000&amp;ur=Mjg5Mzc0OA==" TargetMode="External"/><Relationship Id="rId60" Type="http://schemas.openxmlformats.org/officeDocument/2006/relationships/hyperlink" Target="https://www.foroplus.it/visualizza.php?id=id2016????DLG00175ART0012000&amp;ur=Mjg5MzI5MA==" TargetMode="External"/><Relationship Id="rId81" Type="http://schemas.openxmlformats.org/officeDocument/2006/relationships/hyperlink" Target="https://www.foroplus.it/visualizza.php?id=id2009????L00196&amp;ur=Mjg5Mzc5OQ==" TargetMode="External"/><Relationship Id="rId135" Type="http://schemas.openxmlformats.org/officeDocument/2006/relationships/hyperlink" Target="https://www.foroplus.it/visualizza.php?id=id2016????DLG00175&amp;ur=Mjg5MzgwNg==&amp;w=in%20house%20responsabilit" TargetMode="External"/><Relationship Id="rId156" Type="http://schemas.openxmlformats.org/officeDocument/2006/relationships/hyperlink" Target="https://www.foroplus.it/action/buildVosvQuery.php?vosv=U29jaWV0w6A=" TargetMode="External"/><Relationship Id="rId177" Type="http://schemas.openxmlformats.org/officeDocument/2006/relationships/hyperlink" Target="https://www.foroplus.it/visualizza.php?id=id19420316CC00262ART2476000&amp;ur=Mjg5NDU2MA==" TargetMode="External"/><Relationship Id="rId198" Type="http://schemas.openxmlformats.org/officeDocument/2006/relationships/hyperlink" Target="https://www.foroplus.it/visualizza.php?id=id20160819DLG00000&amp;ur=Mjg5NDU2MA==" TargetMode="External"/><Relationship Id="rId202" Type="http://schemas.openxmlformats.org/officeDocument/2006/relationships/hyperlink" Target="https://www.foroplus.it/visualizza.php?id=id20160819DLG00175ART0002000&amp;ur=Mjg5NDUzNA==" TargetMode="External"/><Relationship Id="rId223" Type="http://schemas.openxmlformats.org/officeDocument/2006/relationships/hyperlink" Target="https://www.foroplus.it/visualizza.php?id=id1994????L00020&amp;ur=Mjg5NTAyOQ==&amp;w=giurisdizion*%20amministrat*%20hous*" TargetMode="External"/><Relationship Id="rId18" Type="http://schemas.openxmlformats.org/officeDocument/2006/relationships/hyperlink" Target="https://www.foroplus.it/visualizza.php?id=id19401028CPC01443ART0360000&amp;ur=Mjg5MzE2Ng==" TargetMode="External"/><Relationship Id="rId39" Type="http://schemas.openxmlformats.org/officeDocument/2006/relationships/hyperlink" Target="https://www.foroplus.it/visualizza.php?id=id19401028CPC01443ART0362000&amp;ur=Mjg5MzI5MA==" TargetMode="External"/><Relationship Id="rId50" Type="http://schemas.openxmlformats.org/officeDocument/2006/relationships/hyperlink" Target="https://www.foroplus.it/visualizza.php?id=id19420316CC00262ART2450000&amp;ur=Mjg5MzI5MA==" TargetMode="External"/><Relationship Id="rId104" Type="http://schemas.openxmlformats.org/officeDocument/2006/relationships/hyperlink" Target="https://www.foroplus.it/visualizza.php?id=id19420316CC00262ART2395000&amp;ur=Mjg5Mzc0OA==" TargetMode="External"/><Relationship Id="rId125" Type="http://schemas.openxmlformats.org/officeDocument/2006/relationships/hyperlink" Target="https://www.foroplus.it/visualizza.php?id=id2001????L00097ART0001000&amp;ur=Mjg5Mzc0OA==" TargetMode="External"/><Relationship Id="rId146" Type="http://schemas.openxmlformats.org/officeDocument/2006/relationships/hyperlink" Target="https://www.foroplus.it/visualizza.php?id=id20160819DLG00175&amp;ur=Mjg5MzgwNg==&amp;w=in%20house%20responsabilit" TargetMode="External"/><Relationship Id="rId167" Type="http://schemas.openxmlformats.org/officeDocument/2006/relationships/hyperlink" Target="https://www.foroplus.it/visualizza.php?id=id19420316CC00262ART2393000&amp;ur=Mjg5NDU2MA==" TargetMode="External"/><Relationship Id="rId188" Type="http://schemas.openxmlformats.org/officeDocument/2006/relationships/hyperlink" Target="https://www.foroplus.it/visualizza.php?id=id19420316CC00262ART2393000&amp;ur=Mjg5NDU2MA==" TargetMode="External"/><Relationship Id="rId71" Type="http://schemas.openxmlformats.org/officeDocument/2006/relationships/hyperlink" Target="https://www.foroplus.it/visualizza.php?id=id20050613L00118&amp;ur=Mjg5MzY2Nw==" TargetMode="External"/><Relationship Id="rId92" Type="http://schemas.openxmlformats.org/officeDocument/2006/relationships/hyperlink" Target="https://www.foroplus.it/visualizza.php?id=id19401028CPC01443ART0335000&amp;ur=Mjg5Mzc0OA==" TargetMode="External"/><Relationship Id="rId213" Type="http://schemas.openxmlformats.org/officeDocument/2006/relationships/hyperlink" Target="https://www.foroplus.it/visualizza.php?id=id20120706DL00095ART0004000&amp;ur=Mjg5NDc1NA==" TargetMode="External"/><Relationship Id="rId234"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www.foroplus.it/visualizza.php?id=id19471222DAC00000ART0103000&amp;ur=Mjg5MzI5MA==" TargetMode="External"/><Relationship Id="rId40" Type="http://schemas.openxmlformats.org/officeDocument/2006/relationships/hyperlink" Target="https://www.foroplus.it/visualizza.php?id=id1999????DLG00304&amp;ur=Mjg5MzI5MA==" TargetMode="External"/><Relationship Id="rId115" Type="http://schemas.openxmlformats.org/officeDocument/2006/relationships/hyperlink" Target="https://www.foroplus.it/visualizza.php?id=id2009????DL00103&amp;ur=Mjg5Mzc0OA==" TargetMode="External"/><Relationship Id="rId136" Type="http://schemas.openxmlformats.org/officeDocument/2006/relationships/hyperlink" Target="https://www.foroplus.it/visualizza.php?id=id19401028CPC01443ART0360000&amp;ur=Mjg5MzgwNg==&amp;w=in%20house%20responsabilit" TargetMode="External"/><Relationship Id="rId157" Type="http://schemas.openxmlformats.org/officeDocument/2006/relationships/hyperlink" Target="https://www.foroplus.it/visualizza.php?id=id19420316CC00262ART2325000" TargetMode="External"/><Relationship Id="rId178" Type="http://schemas.openxmlformats.org/officeDocument/2006/relationships/hyperlink" Target="https://www.foroplus.it/visualizza.php?id=id19420316CC00262ART2449000&amp;ur=Mjg5NDU2MA==" TargetMode="External"/><Relationship Id="rId61" Type="http://schemas.openxmlformats.org/officeDocument/2006/relationships/hyperlink" Target="https://www.foroplus.it/visualizza.php?id=id19420316CC00262ART2511000&amp;ur=Mjg5MzI5MA==" TargetMode="External"/><Relationship Id="rId82" Type="http://schemas.openxmlformats.org/officeDocument/2006/relationships/hyperlink" Target="https://www.foroplus.it/visualizza.php?id=id2009????L00196&amp;ur=Mjg5Mzc5OQ==" TargetMode="External"/><Relationship Id="rId199" Type="http://schemas.openxmlformats.org/officeDocument/2006/relationships/hyperlink" Target="https://www.foroplus.it/visualizza.php?id=id19420316CC00262ART2497000&amp;ur=Mjg5NDU2MA==" TargetMode="External"/><Relationship Id="rId203" Type="http://schemas.openxmlformats.org/officeDocument/2006/relationships/hyperlink" Target="https://www.foroplus.it/visualizza.php?id=id20160819DLG00175ART0002000" TargetMode="External"/><Relationship Id="rId19" Type="http://schemas.openxmlformats.org/officeDocument/2006/relationships/hyperlink" Target="https://www.foroplus.it/visualizza.php?id=id19401028CPC01443ART0362000&amp;ur=Mjg5MzE2Ng==" TargetMode="External"/><Relationship Id="rId224" Type="http://schemas.openxmlformats.org/officeDocument/2006/relationships/hyperlink" Target="https://www.foroplus.it/visualizza.php?id=id1994????L00020&amp;ur=Mjg5NTAyOQ==&amp;w=giurisdizion*%20amministrat*%20hous*" TargetMode="External"/><Relationship Id="rId30" Type="http://schemas.openxmlformats.org/officeDocument/2006/relationships/hyperlink" Target="https://www.foroplus.it/visualizza.php?id=id1934????RD01214ART0013000&amp;ur=Mjg5MzI5MA==" TargetMode="External"/><Relationship Id="rId105" Type="http://schemas.openxmlformats.org/officeDocument/2006/relationships/hyperlink" Target="https://www.foroplus.it/visualizza.php?id=id19420316CC00262ART2476000&amp;ur=Mjg5Mzc0OA==" TargetMode="External"/><Relationship Id="rId126" Type="http://schemas.openxmlformats.org/officeDocument/2006/relationships/hyperlink" Target="https://www.foroplus.it/visualizza.php?id=id1923????RD02440ART0081000&amp;ur=Mjg5Mzc0OA==" TargetMode="External"/><Relationship Id="rId147" Type="http://schemas.openxmlformats.org/officeDocument/2006/relationships/hyperlink" Target="https://www.foroplus.it/visualizza.php?id=id20080625DL00112ART0023020&amp;ur=Mjg5MzgwNg==&amp;w=in%20house%20responsabilit" TargetMode="External"/><Relationship Id="rId168" Type="http://schemas.openxmlformats.org/officeDocument/2006/relationships/hyperlink" Target="https://www.foroplus.it/visualizza.php?id=id19420316CC00262ART2394000&amp;ur=Mjg5NDU2MA==" TargetMode="External"/><Relationship Id="rId51" Type="http://schemas.openxmlformats.org/officeDocument/2006/relationships/hyperlink" Target="https://www.foroplus.it/visualizza.php?id=id2007????DL00010ART0003000&amp;ur=Mjg5MzI5MA==" TargetMode="External"/><Relationship Id="rId72" Type="http://schemas.openxmlformats.org/officeDocument/2006/relationships/hyperlink" Target="https://www.foroplus.it/visualizza.php?id=id20170703DLG00112&amp;ur=Mjg5MzY2Nw==" TargetMode="External"/><Relationship Id="rId93" Type="http://schemas.openxmlformats.org/officeDocument/2006/relationships/hyperlink" Target="https://www.foroplus.it/visualizza.php?id=id19471222DAC00000ART0103000&amp;ur=Mjg5Mzc0OA==" TargetMode="External"/><Relationship Id="rId189" Type="http://schemas.openxmlformats.org/officeDocument/2006/relationships/hyperlink" Target="https://www.foroplus.it/visualizza.php?id=id19420316CC00262ART2394000&amp;ur=Mjg5NDU2MA==" TargetMode="External"/><Relationship Id="rId3" Type="http://schemas.openxmlformats.org/officeDocument/2006/relationships/settings" Target="settings.xml"/><Relationship Id="rId214" Type="http://schemas.openxmlformats.org/officeDocument/2006/relationships/hyperlink" Target="https://www.foroplus.it/visualizza.php?id=id20120807L00135&amp;ur=Mjg5NDc1NA==" TargetMode="External"/><Relationship Id="rId235" Type="http://schemas.openxmlformats.org/officeDocument/2006/relationships/theme" Target="theme/theme1.xml"/><Relationship Id="rId116" Type="http://schemas.openxmlformats.org/officeDocument/2006/relationships/hyperlink" Target="https://www.foroplus.it/visualizza.php?id=id2009????DL00078&amp;ur=Mjg5Mzc0OA==" TargetMode="External"/><Relationship Id="rId137" Type="http://schemas.openxmlformats.org/officeDocument/2006/relationships/hyperlink" Target="https://www.foroplus.it/visualizza.php?id=id20160826DLG00174ART0001000&amp;ur=Mjg5MzgwNg==&amp;w=in%20house%20responsabilit" TargetMode="External"/><Relationship Id="rId158" Type="http://schemas.openxmlformats.org/officeDocument/2006/relationships/hyperlink" Target="https://www.foroplus.it/visualizza.php?id=id19420316CC00262ART274000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B3174-E7C8-48BD-BC03-13B569D04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118</Pages>
  <Words>70941</Words>
  <Characters>404370</Characters>
  <Application>Microsoft Office Word</Application>
  <DocSecurity>0</DocSecurity>
  <Lines>3369</Lines>
  <Paragraphs>948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Gaetano Di Martino</dc:creator>
  <cp:keywords/>
  <dc:description/>
  <cp:lastModifiedBy>Gaetano Di Martino</cp:lastModifiedBy>
  <cp:revision>15</cp:revision>
  <dcterms:created xsi:type="dcterms:W3CDTF">2024-05-08T09:04:00Z</dcterms:created>
  <dcterms:modified xsi:type="dcterms:W3CDTF">2024-05-08T16:25:00Z</dcterms:modified>
</cp:coreProperties>
</file>