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60D" w:rsidRDefault="00E3460D" w:rsidP="00D77F64">
      <w:pPr>
        <w:jc w:val="center"/>
        <w:rPr>
          <w:b/>
          <w:sz w:val="40"/>
          <w:szCs w:val="40"/>
        </w:rPr>
      </w:pPr>
      <w:r w:rsidRPr="00D77F64">
        <w:rPr>
          <w:b/>
          <w:sz w:val="40"/>
          <w:szCs w:val="40"/>
        </w:rPr>
        <w:t>DISPARITA’ TERRITORIALI E SVILUPPO LOCALE</w:t>
      </w:r>
    </w:p>
    <w:p w:rsidR="00E3460D" w:rsidRDefault="00E3460D" w:rsidP="00D77F64">
      <w:pPr>
        <w:jc w:val="center"/>
        <w:rPr>
          <w:b/>
          <w:sz w:val="40"/>
          <w:szCs w:val="40"/>
        </w:rPr>
      </w:pPr>
    </w:p>
    <w:p w:rsidR="00E3460D" w:rsidRDefault="00E3460D" w:rsidP="00D77F64">
      <w:pPr>
        <w:jc w:val="both"/>
        <w:rPr>
          <w:sz w:val="40"/>
          <w:szCs w:val="40"/>
        </w:rPr>
      </w:pPr>
      <w:r>
        <w:rPr>
          <w:sz w:val="40"/>
          <w:szCs w:val="40"/>
        </w:rPr>
        <w:t>Disuguaglianze tra aree possono essere analizzate su scala diversa, rimandano a parametri economici integrati da fattori di natura socio-ambientale.</w:t>
      </w:r>
    </w:p>
    <w:p w:rsidR="00E3460D" w:rsidRDefault="00E3460D" w:rsidP="00D77F64">
      <w:pPr>
        <w:jc w:val="both"/>
        <w:rPr>
          <w:sz w:val="40"/>
          <w:szCs w:val="40"/>
        </w:rPr>
      </w:pPr>
      <w:r>
        <w:rPr>
          <w:sz w:val="40"/>
          <w:szCs w:val="40"/>
        </w:rPr>
        <w:t xml:space="preserve"> In genere stati nazionali come unità di analisi e PIL come indicatore.</w:t>
      </w:r>
    </w:p>
    <w:p w:rsidR="00E3460D" w:rsidRDefault="00E3460D" w:rsidP="009B6AA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Scala globale</w:t>
      </w:r>
    </w:p>
    <w:p w:rsidR="00E3460D" w:rsidRDefault="00E3460D" w:rsidP="00D77F64">
      <w:pPr>
        <w:jc w:val="both"/>
        <w:rPr>
          <w:sz w:val="40"/>
          <w:szCs w:val="40"/>
        </w:rPr>
      </w:pPr>
      <w:r w:rsidRPr="00064088">
        <w:rPr>
          <w:b/>
          <w:sz w:val="40"/>
          <w:szCs w:val="40"/>
        </w:rPr>
        <w:t>Prodotto interno lordo (PIL)</w:t>
      </w:r>
      <w:r>
        <w:rPr>
          <w:sz w:val="40"/>
          <w:szCs w:val="40"/>
        </w:rPr>
        <w:t xml:space="preserve"> : “valore monetario dei beni e dei servizi finali ( consumi, investimenti fissi, esportazioni, ecc. ) prodotti in un anno sul territorio nazionale al lordo degli ammortamenti” (Garzantina Economica 2006).</w:t>
      </w:r>
    </w:p>
    <w:p w:rsidR="00E3460D" w:rsidRDefault="00E3460D" w:rsidP="00D77F64">
      <w:pPr>
        <w:jc w:val="both"/>
        <w:rPr>
          <w:sz w:val="40"/>
          <w:szCs w:val="40"/>
        </w:rPr>
      </w:pPr>
      <w:r w:rsidRPr="00064088">
        <w:rPr>
          <w:sz w:val="40"/>
          <w:szCs w:val="40"/>
          <w:u w:val="single"/>
        </w:rPr>
        <w:t>Specificazioni del PIL</w:t>
      </w:r>
      <w:r>
        <w:rPr>
          <w:sz w:val="40"/>
          <w:szCs w:val="40"/>
        </w:rPr>
        <w:t>:</w:t>
      </w:r>
    </w:p>
    <w:p w:rsidR="00E3460D" w:rsidRDefault="00E3460D" w:rsidP="00064088">
      <w:pPr>
        <w:pStyle w:val="ListParagraph"/>
        <w:numPr>
          <w:ilvl w:val="0"/>
          <w:numId w:val="2"/>
        </w:numPr>
        <w:jc w:val="both"/>
        <w:rPr>
          <w:sz w:val="40"/>
          <w:szCs w:val="40"/>
        </w:rPr>
      </w:pPr>
      <w:r>
        <w:rPr>
          <w:sz w:val="40"/>
          <w:szCs w:val="40"/>
        </w:rPr>
        <w:t>PIL pro capite = PIL/numero di abitanti d un paese (comparazioni tra paesi)</w:t>
      </w:r>
    </w:p>
    <w:p w:rsidR="00E3460D" w:rsidRDefault="00E3460D" w:rsidP="00064088">
      <w:pPr>
        <w:pStyle w:val="ListParagraph"/>
        <w:numPr>
          <w:ilvl w:val="0"/>
          <w:numId w:val="2"/>
        </w:numPr>
        <w:jc w:val="both"/>
        <w:rPr>
          <w:sz w:val="40"/>
          <w:szCs w:val="40"/>
        </w:rPr>
      </w:pPr>
      <w:r>
        <w:rPr>
          <w:sz w:val="40"/>
          <w:szCs w:val="40"/>
        </w:rPr>
        <w:t>PIL reale = depurato della variazione dei prezzi = considera prezzi costanti riferiti a un anno base</w:t>
      </w:r>
    </w:p>
    <w:p w:rsidR="00E3460D" w:rsidRPr="00C974EA" w:rsidRDefault="00E3460D" w:rsidP="00D77F64">
      <w:pPr>
        <w:pStyle w:val="ListParagraph"/>
        <w:numPr>
          <w:ilvl w:val="0"/>
          <w:numId w:val="2"/>
        </w:numPr>
        <w:jc w:val="both"/>
        <w:rPr>
          <w:sz w:val="40"/>
          <w:szCs w:val="40"/>
        </w:rPr>
      </w:pPr>
      <w:r>
        <w:rPr>
          <w:sz w:val="40"/>
          <w:szCs w:val="40"/>
        </w:rPr>
        <w:t>PIL nominale = utilizza i prezzi correnti.</w:t>
      </w:r>
    </w:p>
    <w:p w:rsidR="00E3460D" w:rsidRDefault="00E3460D" w:rsidP="00D77F64">
      <w:pPr>
        <w:jc w:val="both"/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Pr="00C974EA">
        <w:rPr>
          <w:sz w:val="40"/>
          <w:szCs w:val="40"/>
          <w:u w:val="single"/>
        </w:rPr>
        <w:t>Limiti del PIL</w:t>
      </w:r>
      <w:r>
        <w:rPr>
          <w:sz w:val="40"/>
          <w:szCs w:val="40"/>
        </w:rPr>
        <w:t xml:space="preserve">: </w:t>
      </w:r>
    </w:p>
    <w:p w:rsidR="00E3460D" w:rsidRDefault="00E3460D" w:rsidP="00064088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064088">
        <w:rPr>
          <w:sz w:val="40"/>
          <w:szCs w:val="40"/>
        </w:rPr>
        <w:t>non distingue beni da servizi</w:t>
      </w:r>
    </w:p>
    <w:p w:rsidR="00E3460D" w:rsidRDefault="00E3460D" w:rsidP="00064088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>
        <w:rPr>
          <w:sz w:val="40"/>
          <w:szCs w:val="40"/>
        </w:rPr>
        <w:t>considera solo attività economiche monetarizzabili</w:t>
      </w:r>
    </w:p>
    <w:p w:rsidR="00E3460D" w:rsidRDefault="00E3460D" w:rsidP="00064088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>
        <w:rPr>
          <w:sz w:val="40"/>
          <w:szCs w:val="40"/>
        </w:rPr>
        <w:t>non conteggia le economie informali</w:t>
      </w:r>
    </w:p>
    <w:p w:rsidR="00E3460D" w:rsidRDefault="00E3460D" w:rsidP="00C974EA">
      <w:pPr>
        <w:jc w:val="both"/>
        <w:rPr>
          <w:sz w:val="40"/>
          <w:szCs w:val="40"/>
        </w:rPr>
      </w:pPr>
      <w:r>
        <w:rPr>
          <w:sz w:val="40"/>
          <w:szCs w:val="40"/>
        </w:rPr>
        <w:t xml:space="preserve">Utilizzato comunque per cogliere differenze tra paesi, in termini sia valoriali che diacronici. </w:t>
      </w:r>
    </w:p>
    <w:p w:rsidR="00E3460D" w:rsidRDefault="00E3460D" w:rsidP="00C974EA">
      <w:pPr>
        <w:jc w:val="both"/>
        <w:rPr>
          <w:sz w:val="40"/>
          <w:szCs w:val="40"/>
        </w:rPr>
      </w:pPr>
      <w:r>
        <w:rPr>
          <w:sz w:val="40"/>
          <w:szCs w:val="40"/>
        </w:rPr>
        <w:t>Grosse differenze tra un continente e l’altro, ma anche  tra i singoli paesi dentro i continenti. Situazione polarizzata con America del Nord = area più vasta e ricca /Africa subsahariana = area più povera de mondo.</w:t>
      </w:r>
    </w:p>
    <w:p w:rsidR="00E3460D" w:rsidRDefault="00E3460D" w:rsidP="00C974EA">
      <w:pPr>
        <w:jc w:val="both"/>
        <w:rPr>
          <w:sz w:val="40"/>
          <w:szCs w:val="40"/>
        </w:rPr>
      </w:pPr>
      <w:r>
        <w:rPr>
          <w:sz w:val="40"/>
          <w:szCs w:val="40"/>
        </w:rPr>
        <w:t>Difficile individuare regioni omogenee sotto il profilo del reddito monetario.</w:t>
      </w:r>
    </w:p>
    <w:p w:rsidR="00E3460D" w:rsidRDefault="00E3460D" w:rsidP="00C974EA">
      <w:pPr>
        <w:jc w:val="both"/>
        <w:rPr>
          <w:sz w:val="40"/>
          <w:szCs w:val="40"/>
        </w:rPr>
      </w:pPr>
      <w:r w:rsidRPr="00C974EA">
        <w:rPr>
          <w:b/>
          <w:sz w:val="40"/>
          <w:szCs w:val="40"/>
        </w:rPr>
        <w:t>Variazione del PIL</w:t>
      </w:r>
      <w:r>
        <w:rPr>
          <w:b/>
          <w:sz w:val="40"/>
          <w:szCs w:val="40"/>
        </w:rPr>
        <w:t xml:space="preserve"> =</w:t>
      </w:r>
      <w:r>
        <w:rPr>
          <w:sz w:val="40"/>
          <w:szCs w:val="40"/>
        </w:rPr>
        <w:t xml:space="preserve"> consente di confrontare le variazioni del PIL degli stesi paesi in diversi archi temporali (1913-1950; 1950-1973; 1973-1978):</w:t>
      </w:r>
    </w:p>
    <w:p w:rsidR="00E3460D" w:rsidRPr="00E955E9" w:rsidRDefault="00E3460D" w:rsidP="00E955E9">
      <w:pPr>
        <w:pStyle w:val="ListParagraph"/>
        <w:numPr>
          <w:ilvl w:val="0"/>
          <w:numId w:val="3"/>
        </w:numPr>
        <w:jc w:val="both"/>
        <w:rPr>
          <w:sz w:val="40"/>
          <w:szCs w:val="40"/>
        </w:rPr>
      </w:pPr>
      <w:r w:rsidRPr="00E955E9">
        <w:rPr>
          <w:sz w:val="40"/>
          <w:szCs w:val="40"/>
        </w:rPr>
        <w:t>Stati Uniti in crescita costante</w:t>
      </w:r>
    </w:p>
    <w:p w:rsidR="00E3460D" w:rsidRPr="00E955E9" w:rsidRDefault="00E3460D" w:rsidP="00E955E9">
      <w:pPr>
        <w:pStyle w:val="ListParagraph"/>
        <w:numPr>
          <w:ilvl w:val="0"/>
          <w:numId w:val="3"/>
        </w:numPr>
        <w:jc w:val="both"/>
        <w:rPr>
          <w:sz w:val="40"/>
          <w:szCs w:val="40"/>
        </w:rPr>
      </w:pPr>
      <w:r w:rsidRPr="00E955E9">
        <w:rPr>
          <w:sz w:val="40"/>
          <w:szCs w:val="40"/>
        </w:rPr>
        <w:t>Gran Bretagna con crescita meno regolare e picco nel dopoguerra</w:t>
      </w:r>
    </w:p>
    <w:p w:rsidR="00E3460D" w:rsidRPr="00E955E9" w:rsidRDefault="00E3460D" w:rsidP="00E955E9">
      <w:pPr>
        <w:pStyle w:val="ListParagraph"/>
        <w:numPr>
          <w:ilvl w:val="0"/>
          <w:numId w:val="3"/>
        </w:numPr>
        <w:jc w:val="both"/>
        <w:rPr>
          <w:sz w:val="40"/>
          <w:szCs w:val="40"/>
        </w:rPr>
      </w:pPr>
      <w:r w:rsidRPr="00E955E9">
        <w:rPr>
          <w:sz w:val="40"/>
          <w:szCs w:val="40"/>
        </w:rPr>
        <w:t>Italia con picco nel 1950-1970</w:t>
      </w:r>
    </w:p>
    <w:p w:rsidR="00E3460D" w:rsidRDefault="00E3460D" w:rsidP="00E955E9">
      <w:pPr>
        <w:pStyle w:val="ListParagraph"/>
        <w:numPr>
          <w:ilvl w:val="0"/>
          <w:numId w:val="3"/>
        </w:numPr>
        <w:jc w:val="both"/>
        <w:rPr>
          <w:sz w:val="40"/>
          <w:szCs w:val="40"/>
        </w:rPr>
      </w:pPr>
      <w:r w:rsidRPr="00E955E9">
        <w:rPr>
          <w:sz w:val="40"/>
          <w:szCs w:val="40"/>
        </w:rPr>
        <w:t>URSS in crescita nell’ultimo periodo</w:t>
      </w:r>
    </w:p>
    <w:p w:rsidR="00E3460D" w:rsidRDefault="00E3460D" w:rsidP="003449E5">
      <w:pPr>
        <w:jc w:val="both"/>
        <w:rPr>
          <w:sz w:val="40"/>
          <w:szCs w:val="40"/>
        </w:rPr>
      </w:pPr>
      <w:r>
        <w:rPr>
          <w:noProof/>
          <w:lang w:eastAsia="it-IT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Freccia in giù 1" o:spid="_x0000_s1026" type="#_x0000_t67" style="position:absolute;left:0;text-align:left;margin-left:251.45pt;margin-top:139pt;width:32.8pt;height:29.3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" adj="10800" fillcolor="#4f81bd" strokecolor="#243f60" strokeweight="2pt"/>
        </w:pict>
      </w:r>
      <w:r>
        <w:rPr>
          <w:sz w:val="40"/>
          <w:szCs w:val="40"/>
        </w:rPr>
        <w:t>Sono comunque misure che presentano limiti: non sono in grado di cogliere le differenze interne alle aree (es. Brasile, Cina e India, considerati “paesi emergenti” presentano tendenze non uniformi, che non giustificano la loro comprensione in una stessa categoria)</w:t>
      </w:r>
    </w:p>
    <w:p w:rsidR="00E3460D" w:rsidRPr="003449E5" w:rsidRDefault="00E3460D" w:rsidP="003449E5">
      <w:pPr>
        <w:jc w:val="center"/>
        <w:rPr>
          <w:sz w:val="40"/>
          <w:szCs w:val="40"/>
        </w:rPr>
      </w:pPr>
    </w:p>
    <w:p w:rsidR="00E3460D" w:rsidRDefault="00E3460D" w:rsidP="00C974EA">
      <w:pPr>
        <w:jc w:val="both"/>
        <w:rPr>
          <w:sz w:val="40"/>
          <w:szCs w:val="40"/>
        </w:rPr>
      </w:pPr>
      <w:r>
        <w:rPr>
          <w:sz w:val="40"/>
          <w:szCs w:val="40"/>
        </w:rPr>
        <w:t xml:space="preserve">Considerare </w:t>
      </w:r>
      <w:r w:rsidRPr="003449E5">
        <w:rPr>
          <w:b/>
          <w:sz w:val="40"/>
          <w:szCs w:val="40"/>
        </w:rPr>
        <w:t>archi temporali diversi</w:t>
      </w:r>
      <w:r>
        <w:rPr>
          <w:sz w:val="40"/>
          <w:szCs w:val="40"/>
        </w:rPr>
        <w:t xml:space="preserve"> e sia </w:t>
      </w:r>
      <w:r w:rsidRPr="003449E5">
        <w:rPr>
          <w:b/>
          <w:sz w:val="40"/>
          <w:szCs w:val="40"/>
        </w:rPr>
        <w:t>dati di flusso</w:t>
      </w:r>
      <w:r>
        <w:rPr>
          <w:sz w:val="40"/>
          <w:szCs w:val="40"/>
        </w:rPr>
        <w:t xml:space="preserve"> (la produzione in un anno) che </w:t>
      </w:r>
      <w:r w:rsidRPr="003449E5">
        <w:rPr>
          <w:b/>
          <w:sz w:val="40"/>
          <w:szCs w:val="40"/>
        </w:rPr>
        <w:t>dati di stock</w:t>
      </w:r>
      <w:r>
        <w:rPr>
          <w:sz w:val="40"/>
          <w:szCs w:val="40"/>
        </w:rPr>
        <w:t xml:space="preserve"> ( la produzione in un determinato periodo).</w:t>
      </w:r>
    </w:p>
    <w:p w:rsidR="00E3460D" w:rsidRDefault="00E3460D" w:rsidP="003449E5">
      <w:pPr>
        <w:jc w:val="center"/>
        <w:rPr>
          <w:b/>
          <w:sz w:val="40"/>
          <w:szCs w:val="40"/>
        </w:rPr>
      </w:pPr>
      <w:r w:rsidRPr="003449E5">
        <w:rPr>
          <w:b/>
          <w:sz w:val="40"/>
          <w:szCs w:val="40"/>
        </w:rPr>
        <w:t>Altri indici</w:t>
      </w:r>
    </w:p>
    <w:p w:rsidR="00E3460D" w:rsidRPr="009B6AA1" w:rsidRDefault="00E3460D" w:rsidP="009B6AA1">
      <w:pPr>
        <w:pStyle w:val="ListParagraph"/>
        <w:numPr>
          <w:ilvl w:val="0"/>
          <w:numId w:val="5"/>
        </w:numPr>
        <w:jc w:val="both"/>
        <w:rPr>
          <w:sz w:val="40"/>
          <w:szCs w:val="40"/>
        </w:rPr>
      </w:pPr>
      <w:r w:rsidRPr="009B6AA1">
        <w:rPr>
          <w:b/>
          <w:sz w:val="40"/>
          <w:szCs w:val="40"/>
        </w:rPr>
        <w:t>Indice di sviluppo umano</w:t>
      </w:r>
      <w:r w:rsidRPr="009B6AA1">
        <w:rPr>
          <w:sz w:val="40"/>
          <w:szCs w:val="40"/>
        </w:rPr>
        <w:t xml:space="preserve"> (ISU- HDI) conteggia il valore del capitale umano e quello del benessere fisico. Inserisce nel calcolo le </w:t>
      </w:r>
      <w:r w:rsidRPr="009B6AA1">
        <w:rPr>
          <w:i/>
          <w:sz w:val="40"/>
          <w:szCs w:val="40"/>
        </w:rPr>
        <w:t>capabilieties</w:t>
      </w:r>
      <w:r w:rsidRPr="009B6AA1">
        <w:rPr>
          <w:sz w:val="40"/>
          <w:szCs w:val="40"/>
        </w:rPr>
        <w:t xml:space="preserve"> ( Sen 1985) e i fattori demografici. Comprende:</w:t>
      </w:r>
    </w:p>
    <w:p w:rsidR="00E3460D" w:rsidRPr="004C0FDE" w:rsidRDefault="00E3460D" w:rsidP="004C0FDE">
      <w:pPr>
        <w:pStyle w:val="ListParagraph"/>
        <w:numPr>
          <w:ilvl w:val="0"/>
          <w:numId w:val="4"/>
        </w:numPr>
        <w:jc w:val="both"/>
        <w:rPr>
          <w:sz w:val="40"/>
          <w:szCs w:val="40"/>
        </w:rPr>
      </w:pPr>
      <w:r w:rsidRPr="004C0FDE">
        <w:rPr>
          <w:sz w:val="40"/>
          <w:szCs w:val="40"/>
        </w:rPr>
        <w:t>reddito pro capite</w:t>
      </w:r>
    </w:p>
    <w:p w:rsidR="00E3460D" w:rsidRPr="004C0FDE" w:rsidRDefault="00E3460D" w:rsidP="004C0FDE">
      <w:pPr>
        <w:pStyle w:val="ListParagraph"/>
        <w:numPr>
          <w:ilvl w:val="0"/>
          <w:numId w:val="4"/>
        </w:numPr>
        <w:jc w:val="both"/>
        <w:rPr>
          <w:sz w:val="40"/>
          <w:szCs w:val="40"/>
        </w:rPr>
      </w:pPr>
      <w:r w:rsidRPr="004C0FDE">
        <w:rPr>
          <w:sz w:val="40"/>
          <w:szCs w:val="40"/>
        </w:rPr>
        <w:t>livello di istruzione (istruzione adulti/numero frequentanti scuole)</w:t>
      </w:r>
    </w:p>
    <w:p w:rsidR="00E3460D" w:rsidRDefault="00E3460D" w:rsidP="004C0FDE">
      <w:pPr>
        <w:pStyle w:val="ListParagraph"/>
        <w:numPr>
          <w:ilvl w:val="0"/>
          <w:numId w:val="4"/>
        </w:numPr>
        <w:jc w:val="both"/>
        <w:rPr>
          <w:sz w:val="40"/>
          <w:szCs w:val="40"/>
        </w:rPr>
      </w:pPr>
      <w:r w:rsidRPr="004C0FDE">
        <w:rPr>
          <w:sz w:val="40"/>
          <w:szCs w:val="40"/>
        </w:rPr>
        <w:t>aspettativa di vita al</w:t>
      </w:r>
      <w:r>
        <w:rPr>
          <w:sz w:val="40"/>
          <w:szCs w:val="40"/>
        </w:rPr>
        <w:t>l</w:t>
      </w:r>
      <w:r w:rsidRPr="004C0FDE">
        <w:rPr>
          <w:sz w:val="40"/>
          <w:szCs w:val="40"/>
        </w:rPr>
        <w:t>a nascita (età media di coloro che muoiono nell’anno preso in considerazione)</w:t>
      </w:r>
    </w:p>
    <w:p w:rsidR="00E3460D" w:rsidRDefault="00E3460D" w:rsidP="009B6AA1">
      <w:pPr>
        <w:pStyle w:val="ListParagraph"/>
        <w:jc w:val="both"/>
        <w:rPr>
          <w:b/>
          <w:sz w:val="40"/>
          <w:szCs w:val="40"/>
        </w:rPr>
      </w:pPr>
    </w:p>
    <w:p w:rsidR="00E3460D" w:rsidRPr="009B6AA1" w:rsidRDefault="00E3460D" w:rsidP="009B6AA1">
      <w:pPr>
        <w:pStyle w:val="ListParagraph"/>
        <w:numPr>
          <w:ilvl w:val="1"/>
          <w:numId w:val="5"/>
        </w:numPr>
        <w:jc w:val="both"/>
        <w:rPr>
          <w:i/>
          <w:sz w:val="40"/>
          <w:szCs w:val="40"/>
        </w:rPr>
      </w:pPr>
      <w:r w:rsidRPr="009B6AA1">
        <w:rPr>
          <w:b/>
          <w:sz w:val="40"/>
          <w:szCs w:val="40"/>
        </w:rPr>
        <w:t>Indice di parità fra i sessi:</w:t>
      </w:r>
      <w:r w:rsidRPr="009B6AA1">
        <w:rPr>
          <w:sz w:val="40"/>
          <w:szCs w:val="40"/>
        </w:rPr>
        <w:t xml:space="preserve">  incrocia anche la variabile di genere.</w:t>
      </w:r>
    </w:p>
    <w:p w:rsidR="00E3460D" w:rsidRDefault="00E3460D" w:rsidP="004C0FDE">
      <w:pPr>
        <w:jc w:val="both"/>
        <w:rPr>
          <w:sz w:val="40"/>
          <w:szCs w:val="40"/>
        </w:rPr>
      </w:pPr>
      <w:r>
        <w:rPr>
          <w:sz w:val="40"/>
          <w:szCs w:val="40"/>
        </w:rPr>
        <w:t xml:space="preserve">ISU e PIL possono ( che in genere tendono a sovrapporsi) possono essere confrontati in graduatorie </w:t>
      </w:r>
      <w:r w:rsidRPr="004C0FDE">
        <w:rPr>
          <w:i/>
          <w:sz w:val="40"/>
          <w:szCs w:val="40"/>
        </w:rPr>
        <w:t>ranking</w:t>
      </w:r>
      <w:r>
        <w:rPr>
          <w:sz w:val="40"/>
          <w:szCs w:val="40"/>
        </w:rPr>
        <w:t>, su scale che vanno dai valori più alti a quelli più bassi registrati nelle aree considerate</w:t>
      </w:r>
      <w:r w:rsidRPr="004C0FDE">
        <w:rPr>
          <w:sz w:val="40"/>
          <w:szCs w:val="40"/>
        </w:rPr>
        <w:sym w:font="Wingdings" w:char="F0E0"/>
      </w:r>
      <w:r>
        <w:rPr>
          <w:sz w:val="40"/>
          <w:szCs w:val="40"/>
        </w:rPr>
        <w:t xml:space="preserve"> </w:t>
      </w:r>
      <w:r w:rsidRPr="004C0FDE">
        <w:rPr>
          <w:sz w:val="40"/>
          <w:szCs w:val="40"/>
          <w:u w:val="single"/>
        </w:rPr>
        <w:t>una elevata differenza tra le posizioni occupate dai due indici sulle relative scale indica una scarsa corrispondenza tra ri</w:t>
      </w:r>
      <w:r>
        <w:rPr>
          <w:sz w:val="40"/>
          <w:szCs w:val="40"/>
          <w:u w:val="single"/>
        </w:rPr>
        <w:t xml:space="preserve">cchezza e benessere di un paese </w:t>
      </w:r>
      <w:r w:rsidRPr="004C0FDE">
        <w:rPr>
          <w:sz w:val="40"/>
          <w:szCs w:val="40"/>
        </w:rPr>
        <w:t xml:space="preserve">(es. alcuni paesi arabi ricchi per il petrolio ma con </w:t>
      </w:r>
      <w:r>
        <w:rPr>
          <w:sz w:val="40"/>
          <w:szCs w:val="40"/>
        </w:rPr>
        <w:t>bassa qualità della vita degli abitanti).</w:t>
      </w:r>
    </w:p>
    <w:p w:rsidR="00E3460D" w:rsidRPr="00EA1AF9" w:rsidRDefault="00E3460D" w:rsidP="009B6AA1">
      <w:pPr>
        <w:pStyle w:val="ListParagraph"/>
        <w:numPr>
          <w:ilvl w:val="0"/>
          <w:numId w:val="5"/>
        </w:numPr>
        <w:jc w:val="both"/>
        <w:rPr>
          <w:b/>
          <w:sz w:val="40"/>
          <w:szCs w:val="40"/>
        </w:rPr>
      </w:pPr>
      <w:r w:rsidRPr="009B6AA1">
        <w:rPr>
          <w:b/>
          <w:sz w:val="40"/>
          <w:szCs w:val="40"/>
        </w:rPr>
        <w:t>Indicatore di progresso genuino (Gpi)</w:t>
      </w:r>
      <w:r>
        <w:rPr>
          <w:b/>
          <w:sz w:val="40"/>
          <w:szCs w:val="40"/>
        </w:rPr>
        <w:t xml:space="preserve">: </w:t>
      </w:r>
      <w:r>
        <w:rPr>
          <w:sz w:val="40"/>
          <w:szCs w:val="40"/>
        </w:rPr>
        <w:t>sottrae al valore del PIL una serie di costi (economici, sociali, ambientali) e somma il valore di una serie di benefici (lavoro domestico e di cura, volontariato, investimenti di capitali) (tab.4.2).</w:t>
      </w:r>
    </w:p>
    <w:p w:rsidR="00E3460D" w:rsidRDefault="00E3460D" w:rsidP="00EA1AF9">
      <w:pPr>
        <w:pStyle w:val="ListParagraph"/>
        <w:jc w:val="both"/>
        <w:rPr>
          <w:b/>
          <w:sz w:val="40"/>
          <w:szCs w:val="40"/>
        </w:rPr>
      </w:pPr>
    </w:p>
    <w:p w:rsidR="00E3460D" w:rsidRDefault="00E3460D" w:rsidP="00EA1AF9">
      <w:pPr>
        <w:pStyle w:val="ListParagraph"/>
        <w:jc w:val="both"/>
        <w:rPr>
          <w:sz w:val="40"/>
          <w:szCs w:val="40"/>
        </w:rPr>
      </w:pPr>
      <w:r>
        <w:rPr>
          <w:b/>
          <w:sz w:val="40"/>
          <w:szCs w:val="40"/>
        </w:rPr>
        <w:t>Problemi del Gpi:</w:t>
      </w:r>
      <w:r>
        <w:rPr>
          <w:sz w:val="40"/>
          <w:szCs w:val="40"/>
        </w:rPr>
        <w:t xml:space="preserve"> </w:t>
      </w:r>
    </w:p>
    <w:p w:rsidR="00E3460D" w:rsidRPr="00EA1AF9" w:rsidRDefault="00E3460D" w:rsidP="00EA1AF9">
      <w:pPr>
        <w:pStyle w:val="ListParagraph"/>
        <w:numPr>
          <w:ilvl w:val="0"/>
          <w:numId w:val="7"/>
        </w:numPr>
        <w:jc w:val="both"/>
        <w:rPr>
          <w:b/>
          <w:sz w:val="40"/>
          <w:szCs w:val="40"/>
        </w:rPr>
      </w:pPr>
      <w:r>
        <w:rPr>
          <w:sz w:val="40"/>
          <w:szCs w:val="40"/>
        </w:rPr>
        <w:t>calcolare il valore di beni non monetari (</w:t>
      </w:r>
      <w:r w:rsidRPr="00EA1AF9">
        <w:rPr>
          <w:i/>
          <w:sz w:val="40"/>
          <w:szCs w:val="40"/>
        </w:rPr>
        <w:t>attendibilità</w:t>
      </w:r>
      <w:r>
        <w:rPr>
          <w:sz w:val="40"/>
          <w:szCs w:val="40"/>
        </w:rPr>
        <w:t>)</w:t>
      </w:r>
    </w:p>
    <w:p w:rsidR="00E3460D" w:rsidRPr="00245166" w:rsidRDefault="00E3460D" w:rsidP="00EA1AF9">
      <w:pPr>
        <w:pStyle w:val="ListParagraph"/>
        <w:numPr>
          <w:ilvl w:val="0"/>
          <w:numId w:val="7"/>
        </w:numPr>
        <w:jc w:val="both"/>
        <w:rPr>
          <w:b/>
          <w:sz w:val="40"/>
          <w:szCs w:val="40"/>
        </w:rPr>
      </w:pPr>
      <w:r>
        <w:rPr>
          <w:sz w:val="40"/>
          <w:szCs w:val="40"/>
        </w:rPr>
        <w:t>individuare una batteria di indicatori disponibili in tutti i paesi messi a confronto (</w:t>
      </w:r>
      <w:r w:rsidRPr="00245166">
        <w:rPr>
          <w:i/>
          <w:sz w:val="40"/>
          <w:szCs w:val="40"/>
        </w:rPr>
        <w:t>validità</w:t>
      </w:r>
      <w:r>
        <w:rPr>
          <w:sz w:val="40"/>
          <w:szCs w:val="40"/>
        </w:rPr>
        <w:t>)</w:t>
      </w:r>
    </w:p>
    <w:p w:rsidR="00E3460D" w:rsidRPr="00245166" w:rsidRDefault="00E3460D" w:rsidP="00EA1AF9">
      <w:pPr>
        <w:pStyle w:val="ListParagraph"/>
        <w:numPr>
          <w:ilvl w:val="0"/>
          <w:numId w:val="7"/>
        </w:numPr>
        <w:jc w:val="both"/>
        <w:rPr>
          <w:b/>
          <w:sz w:val="40"/>
          <w:szCs w:val="40"/>
        </w:rPr>
      </w:pPr>
      <w:r>
        <w:rPr>
          <w:sz w:val="40"/>
          <w:szCs w:val="40"/>
        </w:rPr>
        <w:t>disponibilità banche dati</w:t>
      </w:r>
    </w:p>
    <w:p w:rsidR="00E3460D" w:rsidRDefault="00E3460D" w:rsidP="00245166">
      <w:pPr>
        <w:jc w:val="both"/>
        <w:rPr>
          <w:sz w:val="40"/>
          <w:szCs w:val="40"/>
        </w:rPr>
      </w:pPr>
    </w:p>
    <w:p w:rsidR="00E3460D" w:rsidRPr="00245166" w:rsidRDefault="00E3460D" w:rsidP="00245166">
      <w:pPr>
        <w:jc w:val="both"/>
        <w:rPr>
          <w:color w:val="FF0000"/>
          <w:sz w:val="40"/>
          <w:szCs w:val="40"/>
        </w:rPr>
      </w:pPr>
      <w:r w:rsidRPr="00245166">
        <w:rPr>
          <w:color w:val="FF0000"/>
          <w:sz w:val="40"/>
          <w:szCs w:val="40"/>
        </w:rPr>
        <w:t>Enormi disparità socioeconomiche su scala mondiale e incongruenza degli indicatori-</w:t>
      </w:r>
      <w:r w:rsidRPr="00245166">
        <w:rPr>
          <w:color w:val="FF0000"/>
          <w:sz w:val="40"/>
          <w:szCs w:val="40"/>
        </w:rPr>
        <w:sym w:font="Wingdings" w:char="F0E0"/>
      </w:r>
      <w:r w:rsidRPr="00245166">
        <w:rPr>
          <w:color w:val="FF0000"/>
          <w:sz w:val="40"/>
          <w:szCs w:val="40"/>
        </w:rPr>
        <w:t>implicazioni importante nelle scelte del ricercatore</w:t>
      </w:r>
      <w:bookmarkStart w:id="0" w:name="_GoBack"/>
      <w:bookmarkEnd w:id="0"/>
    </w:p>
    <w:sectPr w:rsidR="00E3460D" w:rsidRPr="00245166" w:rsidSect="00F53B5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6113E"/>
    <w:multiLevelType w:val="hybridMultilevel"/>
    <w:tmpl w:val="4CA8490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5B5945"/>
    <w:multiLevelType w:val="hybridMultilevel"/>
    <w:tmpl w:val="C76027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A23877"/>
    <w:multiLevelType w:val="hybridMultilevel"/>
    <w:tmpl w:val="7556CDC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DE719A"/>
    <w:multiLevelType w:val="multilevel"/>
    <w:tmpl w:val="240076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cs="Times New Roman"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2160" w:hanging="1080"/>
      </w:pPr>
      <w:rPr>
        <w:rFonts w:cs="Times New Roman"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2880" w:hanging="1440"/>
      </w:pPr>
      <w:rPr>
        <w:rFonts w:cs="Times New Roman" w:hint="default"/>
        <w:b/>
        <w:i w:val="0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cs="Times New Roman" w:hint="default"/>
        <w:b/>
        <w:i w:val="0"/>
      </w:rPr>
    </w:lvl>
    <w:lvl w:ilvl="5">
      <w:start w:val="1"/>
      <w:numFmt w:val="decimal"/>
      <w:isLgl/>
      <w:lvlText w:val="%1.%2.%3.%4.%5.%6"/>
      <w:lvlJc w:val="left"/>
      <w:pPr>
        <w:ind w:left="3960" w:hanging="1800"/>
      </w:pPr>
      <w:rPr>
        <w:rFonts w:cs="Times New Roman" w:hint="default"/>
        <w:b/>
        <w:i w:val="0"/>
      </w:rPr>
    </w:lvl>
    <w:lvl w:ilvl="6">
      <w:start w:val="1"/>
      <w:numFmt w:val="decimal"/>
      <w:isLgl/>
      <w:lvlText w:val="%1.%2.%3.%4.%5.%6.%7"/>
      <w:lvlJc w:val="left"/>
      <w:pPr>
        <w:ind w:left="4680" w:hanging="2160"/>
      </w:pPr>
      <w:rPr>
        <w:rFonts w:cs="Times New Roman" w:hint="default"/>
        <w:b/>
        <w:i w:val="0"/>
      </w:rPr>
    </w:lvl>
    <w:lvl w:ilvl="7">
      <w:start w:val="1"/>
      <w:numFmt w:val="decimal"/>
      <w:isLgl/>
      <w:lvlText w:val="%1.%2.%3.%4.%5.%6.%7.%8"/>
      <w:lvlJc w:val="left"/>
      <w:pPr>
        <w:ind w:left="5400" w:hanging="2520"/>
      </w:pPr>
      <w:rPr>
        <w:rFonts w:cs="Times New Roman" w:hint="default"/>
        <w:b/>
        <w:i w:val="0"/>
      </w:rPr>
    </w:lvl>
    <w:lvl w:ilvl="8">
      <w:start w:val="1"/>
      <w:numFmt w:val="decimal"/>
      <w:isLgl/>
      <w:lvlText w:val="%1.%2.%3.%4.%5.%6.%7.%8.%9"/>
      <w:lvlJc w:val="left"/>
      <w:pPr>
        <w:ind w:left="6120" w:hanging="2880"/>
      </w:pPr>
      <w:rPr>
        <w:rFonts w:cs="Times New Roman" w:hint="default"/>
        <w:b/>
        <w:i w:val="0"/>
      </w:rPr>
    </w:lvl>
  </w:abstractNum>
  <w:abstractNum w:abstractNumId="4">
    <w:nsid w:val="35941E47"/>
    <w:multiLevelType w:val="hybridMultilevel"/>
    <w:tmpl w:val="75C69510"/>
    <w:lvl w:ilvl="0" w:tplc="FA622A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F531071"/>
    <w:multiLevelType w:val="hybridMultilevel"/>
    <w:tmpl w:val="EE306792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828309E"/>
    <w:multiLevelType w:val="hybridMultilevel"/>
    <w:tmpl w:val="A3DEEFC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36BB"/>
    <w:rsid w:val="00064088"/>
    <w:rsid w:val="00245166"/>
    <w:rsid w:val="003449E5"/>
    <w:rsid w:val="004B36BB"/>
    <w:rsid w:val="004C0FDE"/>
    <w:rsid w:val="00527B8C"/>
    <w:rsid w:val="00661B9B"/>
    <w:rsid w:val="0088588F"/>
    <w:rsid w:val="009B6AA1"/>
    <w:rsid w:val="00AB34A9"/>
    <w:rsid w:val="00C974EA"/>
    <w:rsid w:val="00CD1E19"/>
    <w:rsid w:val="00D338B9"/>
    <w:rsid w:val="00D77F64"/>
    <w:rsid w:val="00DF59CC"/>
    <w:rsid w:val="00E3460D"/>
    <w:rsid w:val="00E955E9"/>
    <w:rsid w:val="00EA1AF9"/>
    <w:rsid w:val="00F53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B5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640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4</Pages>
  <Words>523</Words>
  <Characters>2982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DISPARITA’ TERRITORIALI E SVILUPPO LOCALE</dc:title>
  <dc:subject/>
  <dc:creator>Annamaria</dc:creator>
  <cp:keywords/>
  <dc:description/>
  <cp:lastModifiedBy>Federico II</cp:lastModifiedBy>
  <cp:revision>2</cp:revision>
  <dcterms:created xsi:type="dcterms:W3CDTF">2017-05-17T13:33:00Z</dcterms:created>
  <dcterms:modified xsi:type="dcterms:W3CDTF">2017-05-17T13:33:00Z</dcterms:modified>
</cp:coreProperties>
</file>