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72E" w:rsidRPr="00DA172E" w:rsidRDefault="00C00012" w:rsidP="00C00012">
      <w:pPr>
        <w:spacing w:after="0" w:line="240" w:lineRule="auto"/>
        <w:jc w:val="both"/>
        <w:rPr>
          <w:rFonts w:ascii="Times New Roman" w:eastAsia="Times New Roman" w:hAnsi="Times New Roman" w:cs="Times New Roman"/>
          <w:color w:val="000000"/>
          <w:sz w:val="24"/>
          <w:szCs w:val="24"/>
          <w:lang w:eastAsia="it-IT"/>
        </w:rPr>
      </w:pPr>
      <w:r w:rsidRPr="00C00012">
        <w:rPr>
          <w:rFonts w:ascii="Times New Roman" w:eastAsia="Times New Roman" w:hAnsi="Times New Roman" w:cs="Times New Roman"/>
          <w:color w:val="000000"/>
          <w:sz w:val="24"/>
          <w:szCs w:val="24"/>
          <w:lang w:eastAsia="it-IT"/>
        </w:rPr>
        <w:t>Nel 2017, i</w:t>
      </w:r>
      <w:r w:rsidR="00DA172E" w:rsidRPr="00DA172E">
        <w:rPr>
          <w:rFonts w:ascii="Times New Roman" w:eastAsia="Times New Roman" w:hAnsi="Times New Roman" w:cs="Times New Roman"/>
          <w:color w:val="000000"/>
          <w:sz w:val="24"/>
          <w:szCs w:val="24"/>
          <w:lang w:eastAsia="it-IT"/>
        </w:rPr>
        <w:t xml:space="preserve">l Tribunale di primo grado dell'Unione europea (UE) ha vietato il </w:t>
      </w:r>
      <w:proofErr w:type="spellStart"/>
      <w:r w:rsidR="00DA172E" w:rsidRPr="00DA172E">
        <w:rPr>
          <w:rFonts w:ascii="Times New Roman" w:eastAsia="Times New Roman" w:hAnsi="Times New Roman" w:cs="Times New Roman"/>
          <w:color w:val="000000"/>
          <w:sz w:val="24"/>
          <w:szCs w:val="24"/>
          <w:lang w:eastAsia="it-IT"/>
        </w:rPr>
        <w:t>paraquat</w:t>
      </w:r>
      <w:proofErr w:type="spellEnd"/>
      <w:r w:rsidR="00DA172E" w:rsidRPr="00DA172E">
        <w:rPr>
          <w:rFonts w:ascii="Times New Roman" w:eastAsia="Times New Roman" w:hAnsi="Times New Roman" w:cs="Times New Roman"/>
          <w:color w:val="000000"/>
          <w:sz w:val="24"/>
          <w:szCs w:val="24"/>
          <w:lang w:eastAsia="it-IT"/>
        </w:rPr>
        <w:t xml:space="preserve">, un erbicida fabbricato dalla multinazionale svizzera </w:t>
      </w:r>
      <w:proofErr w:type="spellStart"/>
      <w:r w:rsidR="00DA172E" w:rsidRPr="00DA172E">
        <w:rPr>
          <w:rFonts w:ascii="Times New Roman" w:eastAsia="Times New Roman" w:hAnsi="Times New Roman" w:cs="Times New Roman"/>
          <w:color w:val="000000"/>
          <w:sz w:val="24"/>
          <w:szCs w:val="24"/>
          <w:lang w:eastAsia="it-IT"/>
        </w:rPr>
        <w:t>Syngenta</w:t>
      </w:r>
      <w:proofErr w:type="spellEnd"/>
      <w:r w:rsidR="00DA172E" w:rsidRPr="00DA172E">
        <w:rPr>
          <w:rFonts w:ascii="Times New Roman" w:eastAsia="Times New Roman" w:hAnsi="Times New Roman" w:cs="Times New Roman"/>
          <w:color w:val="000000"/>
          <w:sz w:val="24"/>
          <w:szCs w:val="24"/>
          <w:lang w:eastAsia="it-IT"/>
        </w:rPr>
        <w:t xml:space="preserve"> e spesso utilizzato in condizioni pericolose nei Paesi in via di sviluppo.</w:t>
      </w: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L'ONG svizzera Dichiarazione di Berna, che da anni si batte per mettere al bando questo prodotto, parla di decisione storica.</w:t>
      </w:r>
    </w:p>
    <w:p w:rsidR="00C00012"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 xml:space="preserve">Il verdetto dei giudici del Tribunale di primo grado (TPG) dell'UE è in linea con quanto formulato dal governo svedese, il quale considera che il </w:t>
      </w:r>
      <w:proofErr w:type="spellStart"/>
      <w:r w:rsidRPr="00DA172E">
        <w:rPr>
          <w:rFonts w:ascii="Times New Roman" w:eastAsia="Times New Roman" w:hAnsi="Times New Roman" w:cs="Times New Roman"/>
          <w:color w:val="000000"/>
          <w:sz w:val="24"/>
          <w:szCs w:val="24"/>
          <w:lang w:eastAsia="it-IT"/>
        </w:rPr>
        <w:t>paraquat</w:t>
      </w:r>
      <w:proofErr w:type="spellEnd"/>
      <w:r w:rsidRPr="00DA172E">
        <w:rPr>
          <w:rFonts w:ascii="Times New Roman" w:eastAsia="Times New Roman" w:hAnsi="Times New Roman" w:cs="Times New Roman"/>
          <w:color w:val="000000"/>
          <w:sz w:val="24"/>
          <w:szCs w:val="24"/>
          <w:lang w:eastAsia="it-IT"/>
        </w:rPr>
        <w:t xml:space="preserve"> non rispetta gli standard sanitari europei.</w:t>
      </w:r>
      <w:r w:rsidRPr="00DA172E">
        <w:rPr>
          <w:rFonts w:ascii="Times New Roman" w:eastAsia="Times New Roman" w:hAnsi="Times New Roman" w:cs="Times New Roman"/>
          <w:color w:val="000000"/>
          <w:sz w:val="24"/>
          <w:szCs w:val="24"/>
          <w:lang w:eastAsia="it-IT"/>
        </w:rPr>
        <w:br/>
      </w:r>
      <w:r w:rsidRPr="00DA172E">
        <w:rPr>
          <w:rFonts w:ascii="Times New Roman" w:eastAsia="Times New Roman" w:hAnsi="Times New Roman" w:cs="Times New Roman"/>
          <w:color w:val="000000"/>
          <w:sz w:val="24"/>
          <w:szCs w:val="24"/>
          <w:lang w:eastAsia="it-IT"/>
        </w:rPr>
        <w:br/>
        <w:t xml:space="preserve">Nella sua sentenza, la corte ha criticato la Commissione europea per non aver analizzato, in modo approfondito, il grado di tossicità del prodotto per gli esseri viventi prima di autorizzarne la vendita nel 2003. I giudici sostengono che Bruxelles non abbia rispettato le esigenze procedurali, </w:t>
      </w:r>
      <w:r w:rsidR="00C00012" w:rsidRPr="00C00012">
        <w:rPr>
          <w:rFonts w:ascii="Times New Roman" w:eastAsia="Times New Roman" w:hAnsi="Times New Roman" w:cs="Times New Roman"/>
          <w:color w:val="000000"/>
          <w:sz w:val="24"/>
          <w:szCs w:val="24"/>
          <w:lang w:eastAsia="it-IT"/>
        </w:rPr>
        <w:t>s</w:t>
      </w:r>
      <w:r w:rsidRPr="00DA172E">
        <w:rPr>
          <w:rFonts w:ascii="Times New Roman" w:eastAsia="Times New Roman" w:hAnsi="Times New Roman" w:cs="Times New Roman"/>
          <w:color w:val="000000"/>
          <w:sz w:val="24"/>
          <w:szCs w:val="24"/>
          <w:lang w:eastAsia="it-IT"/>
        </w:rPr>
        <w:t>upponendo che l'erbicida non avesse alcuna conseguenza sul sistema nervoso di persone e animali.</w:t>
      </w:r>
      <w:r w:rsidRPr="00DA172E">
        <w:rPr>
          <w:rFonts w:ascii="Times New Roman" w:eastAsia="Times New Roman" w:hAnsi="Times New Roman" w:cs="Times New Roman"/>
          <w:color w:val="000000"/>
          <w:sz w:val="24"/>
          <w:szCs w:val="24"/>
          <w:lang w:eastAsia="it-IT"/>
        </w:rPr>
        <w:br/>
      </w:r>
      <w:r w:rsidRPr="00DA172E">
        <w:rPr>
          <w:rFonts w:ascii="Times New Roman" w:eastAsia="Times New Roman" w:hAnsi="Times New Roman" w:cs="Times New Roman"/>
          <w:color w:val="000000"/>
          <w:sz w:val="24"/>
          <w:szCs w:val="24"/>
          <w:lang w:eastAsia="it-IT"/>
        </w:rPr>
        <w:br/>
        <w:t xml:space="preserve">Fabbricato dalla multinazionale agrochimica </w:t>
      </w:r>
      <w:proofErr w:type="spellStart"/>
      <w:r w:rsidRPr="00DA172E">
        <w:rPr>
          <w:rFonts w:ascii="Times New Roman" w:eastAsia="Times New Roman" w:hAnsi="Times New Roman" w:cs="Times New Roman"/>
          <w:color w:val="000000"/>
          <w:sz w:val="24"/>
          <w:szCs w:val="24"/>
          <w:lang w:eastAsia="it-IT"/>
        </w:rPr>
        <w:t>basilese</w:t>
      </w:r>
      <w:proofErr w:type="spellEnd"/>
      <w:r w:rsidRPr="00DA172E">
        <w:rPr>
          <w:rFonts w:ascii="Times New Roman" w:eastAsia="Times New Roman" w:hAnsi="Times New Roman" w:cs="Times New Roman"/>
          <w:color w:val="000000"/>
          <w:sz w:val="24"/>
          <w:szCs w:val="24"/>
          <w:lang w:eastAsia="it-IT"/>
        </w:rPr>
        <w:t xml:space="preserve"> </w:t>
      </w:r>
      <w:proofErr w:type="spellStart"/>
      <w:r w:rsidRPr="00DA172E">
        <w:rPr>
          <w:rFonts w:ascii="Times New Roman" w:eastAsia="Times New Roman" w:hAnsi="Times New Roman" w:cs="Times New Roman"/>
          <w:color w:val="000000"/>
          <w:sz w:val="24"/>
          <w:szCs w:val="24"/>
          <w:lang w:eastAsia="it-IT"/>
        </w:rPr>
        <w:t>Syngenta</w:t>
      </w:r>
      <w:proofErr w:type="spellEnd"/>
      <w:r w:rsidRPr="00DA172E">
        <w:rPr>
          <w:rFonts w:ascii="Times New Roman" w:eastAsia="Times New Roman" w:hAnsi="Times New Roman" w:cs="Times New Roman"/>
          <w:color w:val="000000"/>
          <w:sz w:val="24"/>
          <w:szCs w:val="24"/>
          <w:lang w:eastAsia="it-IT"/>
        </w:rPr>
        <w:t xml:space="preserve">, il </w:t>
      </w:r>
      <w:proofErr w:type="spellStart"/>
      <w:r w:rsidRPr="00DA172E">
        <w:rPr>
          <w:rFonts w:ascii="Times New Roman" w:eastAsia="Times New Roman" w:hAnsi="Times New Roman" w:cs="Times New Roman"/>
          <w:color w:val="000000"/>
          <w:sz w:val="24"/>
          <w:szCs w:val="24"/>
          <w:lang w:eastAsia="it-IT"/>
        </w:rPr>
        <w:t>paraquat</w:t>
      </w:r>
      <w:proofErr w:type="spellEnd"/>
      <w:r w:rsidRPr="00DA172E">
        <w:rPr>
          <w:rFonts w:ascii="Times New Roman" w:eastAsia="Times New Roman" w:hAnsi="Times New Roman" w:cs="Times New Roman"/>
          <w:color w:val="000000"/>
          <w:sz w:val="24"/>
          <w:szCs w:val="24"/>
          <w:lang w:eastAsia="it-IT"/>
        </w:rPr>
        <w:t xml:space="preserve"> è la sostanza principale che compone il </w:t>
      </w:r>
      <w:proofErr w:type="spellStart"/>
      <w:r w:rsidRPr="00DA172E">
        <w:rPr>
          <w:rFonts w:ascii="Times New Roman" w:eastAsia="Times New Roman" w:hAnsi="Times New Roman" w:cs="Times New Roman"/>
          <w:color w:val="000000"/>
          <w:sz w:val="24"/>
          <w:szCs w:val="24"/>
          <w:lang w:eastAsia="it-IT"/>
        </w:rPr>
        <w:t>Gramoxone</w:t>
      </w:r>
      <w:proofErr w:type="spellEnd"/>
      <w:r w:rsidRPr="00DA172E">
        <w:rPr>
          <w:rFonts w:ascii="Times New Roman" w:eastAsia="Times New Roman" w:hAnsi="Times New Roman" w:cs="Times New Roman"/>
          <w:color w:val="000000"/>
          <w:sz w:val="24"/>
          <w:szCs w:val="24"/>
          <w:lang w:eastAsia="it-IT"/>
        </w:rPr>
        <w:t>, uno dei tre diser</w:t>
      </w:r>
      <w:r w:rsidR="00C00012">
        <w:rPr>
          <w:rFonts w:ascii="Times New Roman" w:eastAsia="Times New Roman" w:hAnsi="Times New Roman" w:cs="Times New Roman"/>
          <w:color w:val="000000"/>
          <w:sz w:val="24"/>
          <w:szCs w:val="24"/>
          <w:lang w:eastAsia="it-IT"/>
        </w:rPr>
        <w:t>banti più utilizzati al mondo.</w:t>
      </w: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 xml:space="preserve">«E una grande vittoria per la società civile e per i paesi in via di sviluppo», ha reagito Oliver </w:t>
      </w:r>
      <w:proofErr w:type="spellStart"/>
      <w:r w:rsidRPr="00DA172E">
        <w:rPr>
          <w:rFonts w:ascii="Times New Roman" w:eastAsia="Times New Roman" w:hAnsi="Times New Roman" w:cs="Times New Roman"/>
          <w:color w:val="000000"/>
          <w:sz w:val="24"/>
          <w:szCs w:val="24"/>
          <w:lang w:eastAsia="it-IT"/>
        </w:rPr>
        <w:t>Classen</w:t>
      </w:r>
      <w:proofErr w:type="spellEnd"/>
      <w:r w:rsidRPr="00DA172E">
        <w:rPr>
          <w:rFonts w:ascii="Times New Roman" w:eastAsia="Times New Roman" w:hAnsi="Times New Roman" w:cs="Times New Roman"/>
          <w:color w:val="000000"/>
          <w:sz w:val="24"/>
          <w:szCs w:val="24"/>
          <w:lang w:eastAsia="it-IT"/>
        </w:rPr>
        <w:t>, portavoce dell'organizzazione non governativa Dichiarazione di Berna.</w:t>
      </w:r>
      <w:r w:rsidRPr="00DA172E">
        <w:rPr>
          <w:rFonts w:ascii="Times New Roman" w:eastAsia="Times New Roman" w:hAnsi="Times New Roman" w:cs="Times New Roman"/>
          <w:color w:val="000000"/>
          <w:sz w:val="24"/>
          <w:szCs w:val="24"/>
          <w:lang w:eastAsia="it-IT"/>
        </w:rPr>
        <w:br/>
        <w:t>«</w:t>
      </w:r>
      <w:proofErr w:type="spellStart"/>
      <w:r w:rsidRPr="00DA172E">
        <w:rPr>
          <w:rFonts w:ascii="Times New Roman" w:eastAsia="Times New Roman" w:hAnsi="Times New Roman" w:cs="Times New Roman"/>
          <w:color w:val="000000"/>
          <w:sz w:val="24"/>
          <w:szCs w:val="24"/>
          <w:lang w:eastAsia="it-IT"/>
        </w:rPr>
        <w:t>Syngenta</w:t>
      </w:r>
      <w:proofErr w:type="spellEnd"/>
      <w:r w:rsidRPr="00DA172E">
        <w:rPr>
          <w:rFonts w:ascii="Times New Roman" w:eastAsia="Times New Roman" w:hAnsi="Times New Roman" w:cs="Times New Roman"/>
          <w:color w:val="000000"/>
          <w:sz w:val="24"/>
          <w:szCs w:val="24"/>
          <w:lang w:eastAsia="it-IT"/>
        </w:rPr>
        <w:t xml:space="preserve"> aveva sempre affermato che ciò che non era proibito nell'UE non poteva essere nocivo. Hanno impugnato questi argomenti per anni, ma ora è finita. Si tratta di una decisione storica», ha aggiunto.</w:t>
      </w:r>
    </w:p>
    <w:p w:rsidR="00C00012" w:rsidRDefault="00C00012" w:rsidP="00C00012">
      <w:pPr>
        <w:spacing w:after="0" w:line="240" w:lineRule="auto"/>
        <w:jc w:val="both"/>
        <w:rPr>
          <w:rFonts w:ascii="Times New Roman" w:eastAsia="Times New Roman" w:hAnsi="Times New Roman" w:cs="Times New Roman"/>
          <w:color w:val="000000"/>
          <w:sz w:val="24"/>
          <w:szCs w:val="24"/>
          <w:lang w:eastAsia="it-IT"/>
        </w:rPr>
      </w:pP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Migliaia di atroci decessi</w:t>
      </w:r>
    </w:p>
    <w:p w:rsidR="00C00012"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 xml:space="preserve">Secondo le organizzazioni terzomondiste, il </w:t>
      </w:r>
      <w:proofErr w:type="spellStart"/>
      <w:r w:rsidRPr="00DA172E">
        <w:rPr>
          <w:rFonts w:ascii="Times New Roman" w:eastAsia="Times New Roman" w:hAnsi="Times New Roman" w:cs="Times New Roman"/>
          <w:color w:val="000000"/>
          <w:sz w:val="24"/>
          <w:szCs w:val="24"/>
          <w:lang w:eastAsia="it-IT"/>
        </w:rPr>
        <w:t>Gramoxone</w:t>
      </w:r>
      <w:proofErr w:type="spellEnd"/>
      <w:r w:rsidRPr="00DA172E">
        <w:rPr>
          <w:rFonts w:ascii="Times New Roman" w:eastAsia="Times New Roman" w:hAnsi="Times New Roman" w:cs="Times New Roman"/>
          <w:color w:val="000000"/>
          <w:sz w:val="24"/>
          <w:szCs w:val="24"/>
          <w:lang w:eastAsia="it-IT"/>
        </w:rPr>
        <w:t xml:space="preserve"> è responsabile dell'intossicazione di decine di migliaia di persone e ha provocato migliaia di</w:t>
      </w:r>
      <w:r w:rsidR="00C00012">
        <w:rPr>
          <w:rFonts w:ascii="Times New Roman" w:eastAsia="Times New Roman" w:hAnsi="Times New Roman" w:cs="Times New Roman"/>
          <w:color w:val="000000"/>
          <w:sz w:val="24"/>
          <w:szCs w:val="24"/>
          <w:lang w:eastAsia="it-IT"/>
        </w:rPr>
        <w:t xml:space="preserve"> decessi in condizioni atroci. </w:t>
      </w:r>
      <w:r w:rsidRPr="00DA172E">
        <w:rPr>
          <w:rFonts w:ascii="Times New Roman" w:eastAsia="Times New Roman" w:hAnsi="Times New Roman" w:cs="Times New Roman"/>
          <w:color w:val="000000"/>
          <w:sz w:val="24"/>
          <w:szCs w:val="24"/>
          <w:lang w:eastAsia="it-IT"/>
        </w:rPr>
        <w:t>Il prodotto è all'origine di lesioni oculari, cutanee, al sistema nervoso e agli organi interni, in particolare ai polmoni (fibrosi polmonare responsabile della morte</w:t>
      </w:r>
      <w:r w:rsidR="00C00012">
        <w:rPr>
          <w:rFonts w:ascii="Times New Roman" w:eastAsia="Times New Roman" w:hAnsi="Times New Roman" w:cs="Times New Roman"/>
          <w:color w:val="000000"/>
          <w:sz w:val="24"/>
          <w:szCs w:val="24"/>
          <w:lang w:eastAsia="it-IT"/>
        </w:rPr>
        <w:t xml:space="preserve"> per deficienza respiratoria).</w:t>
      </w:r>
    </w:p>
    <w:p w:rsidR="00C00012" w:rsidRDefault="00C00012" w:rsidP="00C00012">
      <w:pPr>
        <w:spacing w:after="0" w:line="240" w:lineRule="auto"/>
        <w:jc w:val="both"/>
        <w:rPr>
          <w:rFonts w:ascii="Times New Roman" w:eastAsia="Times New Roman" w:hAnsi="Times New Roman" w:cs="Times New Roman"/>
          <w:color w:val="000000"/>
          <w:sz w:val="24"/>
          <w:szCs w:val="24"/>
          <w:lang w:eastAsia="it-IT"/>
        </w:rPr>
      </w:pP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proofErr w:type="spellStart"/>
      <w:r w:rsidRPr="00DA172E">
        <w:rPr>
          <w:rFonts w:ascii="Times New Roman" w:eastAsia="Times New Roman" w:hAnsi="Times New Roman" w:cs="Times New Roman"/>
          <w:color w:val="000000"/>
          <w:sz w:val="24"/>
          <w:szCs w:val="24"/>
          <w:lang w:eastAsia="it-IT"/>
        </w:rPr>
        <w:t>Syngenta</w:t>
      </w:r>
      <w:proofErr w:type="spellEnd"/>
      <w:r w:rsidRPr="00DA172E">
        <w:rPr>
          <w:rFonts w:ascii="Times New Roman" w:eastAsia="Times New Roman" w:hAnsi="Times New Roman" w:cs="Times New Roman"/>
          <w:color w:val="000000"/>
          <w:sz w:val="24"/>
          <w:szCs w:val="24"/>
          <w:lang w:eastAsia="it-IT"/>
        </w:rPr>
        <w:t xml:space="preserve"> si è detta da parte sua sorpresa della sentenza. Un portavoce del gruppo renano ha riferito che la multinazionale intende cooperare con le autorità di sorveglianza e con l'esecutivo comunitario per capire le implicazioni della decisione e per </w:t>
      </w:r>
      <w:r w:rsidR="00C00012">
        <w:rPr>
          <w:rFonts w:ascii="Times New Roman" w:eastAsia="Times New Roman" w:hAnsi="Times New Roman" w:cs="Times New Roman"/>
          <w:color w:val="000000"/>
          <w:sz w:val="24"/>
          <w:szCs w:val="24"/>
          <w:lang w:eastAsia="it-IT"/>
        </w:rPr>
        <w:t xml:space="preserve">comprendere i «dubbi» del TPG. </w:t>
      </w:r>
      <w:proofErr w:type="spellStart"/>
      <w:r w:rsidRPr="00DA172E">
        <w:rPr>
          <w:rFonts w:ascii="Times New Roman" w:eastAsia="Times New Roman" w:hAnsi="Times New Roman" w:cs="Times New Roman"/>
          <w:color w:val="000000"/>
          <w:sz w:val="24"/>
          <w:szCs w:val="24"/>
          <w:lang w:eastAsia="it-IT"/>
        </w:rPr>
        <w:t>Syngenta</w:t>
      </w:r>
      <w:proofErr w:type="spellEnd"/>
      <w:r w:rsidRPr="00DA172E">
        <w:rPr>
          <w:rFonts w:ascii="Times New Roman" w:eastAsia="Times New Roman" w:hAnsi="Times New Roman" w:cs="Times New Roman"/>
          <w:color w:val="000000"/>
          <w:sz w:val="24"/>
          <w:szCs w:val="24"/>
          <w:lang w:eastAsia="it-IT"/>
        </w:rPr>
        <w:t xml:space="preserve"> ha sempre sostenuto che il pesticida non rappresenta alcun problema se il suo utilizzo avviene nel rispetto delle necessarie precauzioni. Nei Paesi in via di sviluppo spesso viene però usato a mani nude, come hanno documentato inchieste giornalistiche.</w:t>
      </w:r>
    </w:p>
    <w:p w:rsidR="00C00012" w:rsidRDefault="00C00012" w:rsidP="00C00012">
      <w:pPr>
        <w:spacing w:after="0" w:line="240" w:lineRule="auto"/>
        <w:jc w:val="both"/>
        <w:rPr>
          <w:rFonts w:ascii="Times New Roman" w:eastAsia="Times New Roman" w:hAnsi="Times New Roman" w:cs="Times New Roman"/>
          <w:color w:val="000000"/>
          <w:sz w:val="24"/>
          <w:szCs w:val="24"/>
          <w:lang w:eastAsia="it-IT"/>
        </w:rPr>
      </w:pP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Proibito in Svizzera</w:t>
      </w:r>
    </w:p>
    <w:p w:rsidR="00C00012"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 xml:space="preserve">In Svizzera qualsiasi prodotto fitosanitario contenente </w:t>
      </w:r>
      <w:proofErr w:type="spellStart"/>
      <w:r w:rsidRPr="00DA172E">
        <w:rPr>
          <w:rFonts w:ascii="Times New Roman" w:eastAsia="Times New Roman" w:hAnsi="Times New Roman" w:cs="Times New Roman"/>
          <w:color w:val="000000"/>
          <w:sz w:val="24"/>
          <w:szCs w:val="24"/>
          <w:lang w:eastAsia="it-IT"/>
        </w:rPr>
        <w:t>paraquat</w:t>
      </w:r>
      <w:proofErr w:type="spellEnd"/>
      <w:r w:rsidRPr="00DA172E">
        <w:rPr>
          <w:rFonts w:ascii="Times New Roman" w:eastAsia="Times New Roman" w:hAnsi="Times New Roman" w:cs="Times New Roman"/>
          <w:color w:val="000000"/>
          <w:sz w:val="24"/>
          <w:szCs w:val="24"/>
          <w:lang w:eastAsia="it-IT"/>
        </w:rPr>
        <w:t xml:space="preserve"> è proibito dal 31 dicembre 1989. Un divieto era stato pronunciato in passato anche da più di dieci paesi europei, prima che la commissione UE, nel 2003, auto</w:t>
      </w:r>
      <w:r w:rsidR="00C00012">
        <w:rPr>
          <w:rFonts w:ascii="Times New Roman" w:eastAsia="Times New Roman" w:hAnsi="Times New Roman" w:cs="Times New Roman"/>
          <w:color w:val="000000"/>
          <w:sz w:val="24"/>
          <w:szCs w:val="24"/>
          <w:lang w:eastAsia="it-IT"/>
        </w:rPr>
        <w:t xml:space="preserve">rizzasse di nuovo il prodotto. </w:t>
      </w:r>
      <w:r w:rsidRPr="00DA172E">
        <w:rPr>
          <w:rFonts w:ascii="Times New Roman" w:eastAsia="Times New Roman" w:hAnsi="Times New Roman" w:cs="Times New Roman"/>
          <w:color w:val="000000"/>
          <w:sz w:val="24"/>
          <w:szCs w:val="24"/>
          <w:lang w:eastAsia="it-IT"/>
        </w:rPr>
        <w:t>Uno degli stati interessati, la Svezia, ha quindi impugnato la decisione presso il TPG, il secondo più importante tribunale dell'UE. Ora la Commissione</w:t>
      </w:r>
      <w:r w:rsidR="00C00012">
        <w:rPr>
          <w:rFonts w:ascii="Times New Roman" w:eastAsia="Times New Roman" w:hAnsi="Times New Roman" w:cs="Times New Roman"/>
          <w:color w:val="000000"/>
          <w:sz w:val="24"/>
          <w:szCs w:val="24"/>
          <w:lang w:eastAsia="it-IT"/>
        </w:rPr>
        <w:t xml:space="preserve"> può a sua volta fare </w:t>
      </w:r>
      <w:proofErr w:type="spellStart"/>
      <w:r w:rsidR="00C00012">
        <w:rPr>
          <w:rFonts w:ascii="Times New Roman" w:eastAsia="Times New Roman" w:hAnsi="Times New Roman" w:cs="Times New Roman"/>
          <w:color w:val="000000"/>
          <w:sz w:val="24"/>
          <w:szCs w:val="24"/>
          <w:lang w:eastAsia="it-IT"/>
        </w:rPr>
        <w:t>ricorso.</w:t>
      </w: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proofErr w:type="spellEnd"/>
    </w:p>
    <w:p w:rsidR="00DA172E" w:rsidRPr="00DA172E" w:rsidRDefault="00DA172E" w:rsidP="00C00012">
      <w:pPr>
        <w:spacing w:after="60" w:line="288" w:lineRule="atLeast"/>
        <w:jc w:val="both"/>
        <w:outlineLvl w:val="1"/>
        <w:rPr>
          <w:rFonts w:ascii="Times New Roman" w:eastAsia="Times New Roman" w:hAnsi="Times New Roman" w:cs="Times New Roman"/>
          <w:b/>
          <w:bCs/>
          <w:color w:val="222222"/>
          <w:sz w:val="36"/>
          <w:szCs w:val="36"/>
          <w:lang w:eastAsia="it-IT"/>
        </w:rPr>
      </w:pPr>
      <w:r w:rsidRPr="00DA172E">
        <w:rPr>
          <w:rFonts w:ascii="Times New Roman" w:eastAsia="Times New Roman" w:hAnsi="Times New Roman" w:cs="Times New Roman"/>
          <w:b/>
          <w:bCs/>
          <w:color w:val="222222"/>
          <w:sz w:val="36"/>
          <w:szCs w:val="36"/>
          <w:lang w:eastAsia="it-IT"/>
        </w:rPr>
        <w:t>Fatti e cifre</w:t>
      </w: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proofErr w:type="spellStart"/>
      <w:r w:rsidRPr="00DA172E">
        <w:rPr>
          <w:rFonts w:ascii="Times New Roman" w:eastAsia="Times New Roman" w:hAnsi="Times New Roman" w:cs="Times New Roman"/>
          <w:color w:val="000000"/>
          <w:sz w:val="24"/>
          <w:szCs w:val="24"/>
          <w:lang w:eastAsia="it-IT"/>
        </w:rPr>
        <w:t>Syngenta</w:t>
      </w:r>
      <w:proofErr w:type="spellEnd"/>
      <w:r w:rsidRPr="00DA172E">
        <w:rPr>
          <w:rFonts w:ascii="Times New Roman" w:eastAsia="Times New Roman" w:hAnsi="Times New Roman" w:cs="Times New Roman"/>
          <w:color w:val="000000"/>
          <w:sz w:val="24"/>
          <w:szCs w:val="24"/>
          <w:lang w:eastAsia="it-IT"/>
        </w:rPr>
        <w:t xml:space="preserve"> è il leader mondiale per i prodotti fitosanitari ed è tra gli attori principali sul mer</w:t>
      </w:r>
      <w:r w:rsidR="00C00012">
        <w:rPr>
          <w:rFonts w:ascii="Times New Roman" w:eastAsia="Times New Roman" w:hAnsi="Times New Roman" w:cs="Times New Roman"/>
          <w:color w:val="000000"/>
          <w:sz w:val="24"/>
          <w:szCs w:val="24"/>
          <w:lang w:eastAsia="it-IT"/>
        </w:rPr>
        <w:t xml:space="preserve">cato delle sementi commerciali. </w:t>
      </w:r>
      <w:r w:rsidRPr="00DA172E">
        <w:rPr>
          <w:rFonts w:ascii="Times New Roman" w:eastAsia="Times New Roman" w:hAnsi="Times New Roman" w:cs="Times New Roman"/>
          <w:color w:val="000000"/>
          <w:sz w:val="24"/>
          <w:szCs w:val="24"/>
          <w:lang w:eastAsia="it-IT"/>
        </w:rPr>
        <w:t>Nel 2006 ha incrementato l'utile netto del 12% alla cifra record di 872 milioni di doll</w:t>
      </w:r>
      <w:r w:rsidR="00C00012">
        <w:rPr>
          <w:rFonts w:ascii="Times New Roman" w:eastAsia="Times New Roman" w:hAnsi="Times New Roman" w:cs="Times New Roman"/>
          <w:color w:val="000000"/>
          <w:sz w:val="24"/>
          <w:szCs w:val="24"/>
          <w:lang w:eastAsia="it-IT"/>
        </w:rPr>
        <w:t xml:space="preserve">ari (1,05 miliardi di franchi). </w:t>
      </w:r>
      <w:proofErr w:type="spellStart"/>
      <w:r w:rsidRPr="00DA172E">
        <w:rPr>
          <w:rFonts w:ascii="Times New Roman" w:eastAsia="Times New Roman" w:hAnsi="Times New Roman" w:cs="Times New Roman"/>
          <w:color w:val="000000"/>
          <w:sz w:val="24"/>
          <w:szCs w:val="24"/>
          <w:lang w:eastAsia="it-IT"/>
        </w:rPr>
        <w:t>Syngenta</w:t>
      </w:r>
      <w:proofErr w:type="spellEnd"/>
      <w:r w:rsidRPr="00DA172E">
        <w:rPr>
          <w:rFonts w:ascii="Times New Roman" w:eastAsia="Times New Roman" w:hAnsi="Times New Roman" w:cs="Times New Roman"/>
          <w:color w:val="000000"/>
          <w:sz w:val="24"/>
          <w:szCs w:val="24"/>
          <w:lang w:eastAsia="it-IT"/>
        </w:rPr>
        <w:t xml:space="preserve"> è nata nel 2000 dalla fusione tra la britannica AstraZeneca e la divisione Protezione delle</w:t>
      </w:r>
      <w:r w:rsidR="00C00012">
        <w:rPr>
          <w:rFonts w:ascii="Times New Roman" w:eastAsia="Times New Roman" w:hAnsi="Times New Roman" w:cs="Times New Roman"/>
          <w:color w:val="000000"/>
          <w:sz w:val="24"/>
          <w:szCs w:val="24"/>
          <w:lang w:eastAsia="it-IT"/>
        </w:rPr>
        <w:t xml:space="preserve"> piante dell'elvetica Novartis. Impiega circa 21.</w:t>
      </w:r>
      <w:r w:rsidRPr="00DA172E">
        <w:rPr>
          <w:rFonts w:ascii="Times New Roman" w:eastAsia="Times New Roman" w:hAnsi="Times New Roman" w:cs="Times New Roman"/>
          <w:color w:val="000000"/>
          <w:sz w:val="24"/>
          <w:szCs w:val="24"/>
          <w:lang w:eastAsia="it-IT"/>
        </w:rPr>
        <w:t>000 persone in oltre 90 paesi.</w:t>
      </w:r>
    </w:p>
    <w:p w:rsidR="00DA172E" w:rsidRPr="00DA172E" w:rsidRDefault="00DA172E" w:rsidP="00C00012">
      <w:pPr>
        <w:spacing w:after="60" w:line="288" w:lineRule="atLeast"/>
        <w:jc w:val="both"/>
        <w:outlineLvl w:val="1"/>
        <w:rPr>
          <w:rFonts w:ascii="Times New Roman" w:eastAsia="Times New Roman" w:hAnsi="Times New Roman" w:cs="Times New Roman"/>
          <w:b/>
          <w:bCs/>
          <w:color w:val="222222"/>
          <w:sz w:val="36"/>
          <w:szCs w:val="36"/>
          <w:lang w:eastAsia="it-IT"/>
        </w:rPr>
      </w:pPr>
      <w:proofErr w:type="spellStart"/>
      <w:r w:rsidRPr="00DA172E">
        <w:rPr>
          <w:rFonts w:ascii="Times New Roman" w:eastAsia="Times New Roman" w:hAnsi="Times New Roman" w:cs="Times New Roman"/>
          <w:b/>
          <w:bCs/>
          <w:color w:val="222222"/>
          <w:sz w:val="36"/>
          <w:szCs w:val="36"/>
          <w:lang w:eastAsia="it-IT"/>
        </w:rPr>
        <w:lastRenderedPageBreak/>
        <w:t>Paraquat</w:t>
      </w:r>
      <w:proofErr w:type="spellEnd"/>
      <w:r w:rsidRPr="00DA172E">
        <w:rPr>
          <w:rFonts w:ascii="Times New Roman" w:eastAsia="Times New Roman" w:hAnsi="Times New Roman" w:cs="Times New Roman"/>
          <w:b/>
          <w:bCs/>
          <w:color w:val="222222"/>
          <w:sz w:val="36"/>
          <w:szCs w:val="36"/>
          <w:lang w:eastAsia="it-IT"/>
        </w:rPr>
        <w:t>, un prodotto controverso</w:t>
      </w:r>
    </w:p>
    <w:p w:rsidR="00DA172E" w:rsidRPr="00DA172E" w:rsidRDefault="00DA172E" w:rsidP="00C00012">
      <w:pPr>
        <w:spacing w:after="0" w:line="240" w:lineRule="auto"/>
        <w:jc w:val="both"/>
        <w:rPr>
          <w:rFonts w:ascii="Times New Roman" w:eastAsia="Times New Roman" w:hAnsi="Times New Roman" w:cs="Times New Roman"/>
          <w:color w:val="000000"/>
          <w:sz w:val="24"/>
          <w:szCs w:val="24"/>
          <w:lang w:eastAsia="it-IT"/>
        </w:rPr>
      </w:pPr>
      <w:r w:rsidRPr="00DA172E">
        <w:rPr>
          <w:rFonts w:ascii="Times New Roman" w:eastAsia="Times New Roman" w:hAnsi="Times New Roman" w:cs="Times New Roman"/>
          <w:color w:val="000000"/>
          <w:sz w:val="24"/>
          <w:szCs w:val="24"/>
          <w:lang w:eastAsia="it-IT"/>
        </w:rPr>
        <w:t xml:space="preserve">Gli oppositori al </w:t>
      </w:r>
      <w:proofErr w:type="spellStart"/>
      <w:r w:rsidRPr="00DA172E">
        <w:rPr>
          <w:rFonts w:ascii="Times New Roman" w:eastAsia="Times New Roman" w:hAnsi="Times New Roman" w:cs="Times New Roman"/>
          <w:color w:val="000000"/>
          <w:sz w:val="24"/>
          <w:szCs w:val="24"/>
          <w:lang w:eastAsia="it-IT"/>
        </w:rPr>
        <w:t>paraquat</w:t>
      </w:r>
      <w:proofErr w:type="spellEnd"/>
      <w:r w:rsidRPr="00DA172E">
        <w:rPr>
          <w:rFonts w:ascii="Times New Roman" w:eastAsia="Times New Roman" w:hAnsi="Times New Roman" w:cs="Times New Roman"/>
          <w:color w:val="000000"/>
          <w:sz w:val="24"/>
          <w:szCs w:val="24"/>
          <w:lang w:eastAsia="it-IT"/>
        </w:rPr>
        <w:t xml:space="preserve"> sostengono che un'esposizione durante la fase di miscelatura e di vaporizzazione può produrre, a corto termine, acuti effetti tossici come epistassi, irritaz</w:t>
      </w:r>
      <w:r w:rsidR="00C00012">
        <w:rPr>
          <w:rFonts w:ascii="Times New Roman" w:eastAsia="Times New Roman" w:hAnsi="Times New Roman" w:cs="Times New Roman"/>
          <w:color w:val="000000"/>
          <w:sz w:val="24"/>
          <w:szCs w:val="24"/>
          <w:lang w:eastAsia="it-IT"/>
        </w:rPr>
        <w:t xml:space="preserve">ioni e bruciature della pelle. </w:t>
      </w:r>
      <w:r w:rsidRPr="00DA172E">
        <w:rPr>
          <w:rFonts w:ascii="Times New Roman" w:eastAsia="Times New Roman" w:hAnsi="Times New Roman" w:cs="Times New Roman"/>
          <w:color w:val="000000"/>
          <w:sz w:val="24"/>
          <w:szCs w:val="24"/>
          <w:lang w:eastAsia="it-IT"/>
        </w:rPr>
        <w:t xml:space="preserve">Un'esposizione cronica potrebbe poi incidere sui polmoni, il sistema nervoso o il cervello. Alcuni studi epidemiologici hanno rilevato che a lungo termine il </w:t>
      </w:r>
      <w:proofErr w:type="spellStart"/>
      <w:r w:rsidRPr="00DA172E">
        <w:rPr>
          <w:rFonts w:ascii="Times New Roman" w:eastAsia="Times New Roman" w:hAnsi="Times New Roman" w:cs="Times New Roman"/>
          <w:color w:val="000000"/>
          <w:sz w:val="24"/>
          <w:szCs w:val="24"/>
          <w:lang w:eastAsia="it-IT"/>
        </w:rPr>
        <w:t>paraquat</w:t>
      </w:r>
      <w:proofErr w:type="spellEnd"/>
      <w:r w:rsidRPr="00DA172E">
        <w:rPr>
          <w:rFonts w:ascii="Times New Roman" w:eastAsia="Times New Roman" w:hAnsi="Times New Roman" w:cs="Times New Roman"/>
          <w:color w:val="000000"/>
          <w:sz w:val="24"/>
          <w:szCs w:val="24"/>
          <w:lang w:eastAsia="it-IT"/>
        </w:rPr>
        <w:t xml:space="preserve"> aumenta il rischio di svi</w:t>
      </w:r>
      <w:r w:rsidR="00C00012">
        <w:rPr>
          <w:rFonts w:ascii="Times New Roman" w:eastAsia="Times New Roman" w:hAnsi="Times New Roman" w:cs="Times New Roman"/>
          <w:color w:val="000000"/>
          <w:sz w:val="24"/>
          <w:szCs w:val="24"/>
          <w:lang w:eastAsia="it-IT"/>
        </w:rPr>
        <w:t xml:space="preserve">luppare il morbo di Parkinson. </w:t>
      </w:r>
      <w:bookmarkStart w:id="0" w:name="_GoBack"/>
      <w:bookmarkEnd w:id="0"/>
      <w:proofErr w:type="spellStart"/>
      <w:r w:rsidRPr="00DA172E">
        <w:rPr>
          <w:rFonts w:ascii="Times New Roman" w:eastAsia="Times New Roman" w:hAnsi="Times New Roman" w:cs="Times New Roman"/>
          <w:color w:val="000000"/>
          <w:sz w:val="24"/>
          <w:szCs w:val="24"/>
          <w:lang w:eastAsia="it-IT"/>
        </w:rPr>
        <w:t>Syngenta</w:t>
      </w:r>
      <w:proofErr w:type="spellEnd"/>
      <w:r w:rsidRPr="00DA172E">
        <w:rPr>
          <w:rFonts w:ascii="Times New Roman" w:eastAsia="Times New Roman" w:hAnsi="Times New Roman" w:cs="Times New Roman"/>
          <w:color w:val="000000"/>
          <w:sz w:val="24"/>
          <w:szCs w:val="24"/>
          <w:lang w:eastAsia="it-IT"/>
        </w:rPr>
        <w:t xml:space="preserve"> afferma dal canto suo che il </w:t>
      </w:r>
      <w:proofErr w:type="spellStart"/>
      <w:r w:rsidRPr="00DA172E">
        <w:rPr>
          <w:rFonts w:ascii="Times New Roman" w:eastAsia="Times New Roman" w:hAnsi="Times New Roman" w:cs="Times New Roman"/>
          <w:color w:val="000000"/>
          <w:sz w:val="24"/>
          <w:szCs w:val="24"/>
          <w:lang w:eastAsia="it-IT"/>
        </w:rPr>
        <w:t>Gramoxone</w:t>
      </w:r>
      <w:proofErr w:type="spellEnd"/>
      <w:r w:rsidRPr="00DA172E">
        <w:rPr>
          <w:rFonts w:ascii="Times New Roman" w:eastAsia="Times New Roman" w:hAnsi="Times New Roman" w:cs="Times New Roman"/>
          <w:color w:val="000000"/>
          <w:sz w:val="24"/>
          <w:szCs w:val="24"/>
          <w:lang w:eastAsia="it-IT"/>
        </w:rPr>
        <w:t xml:space="preserve">, che contiene il </w:t>
      </w:r>
      <w:proofErr w:type="spellStart"/>
      <w:r w:rsidRPr="00DA172E">
        <w:rPr>
          <w:rFonts w:ascii="Times New Roman" w:eastAsia="Times New Roman" w:hAnsi="Times New Roman" w:cs="Times New Roman"/>
          <w:color w:val="000000"/>
          <w:sz w:val="24"/>
          <w:szCs w:val="24"/>
          <w:lang w:eastAsia="it-IT"/>
        </w:rPr>
        <w:t>paraquat</w:t>
      </w:r>
      <w:proofErr w:type="spellEnd"/>
      <w:r w:rsidRPr="00DA172E">
        <w:rPr>
          <w:rFonts w:ascii="Times New Roman" w:eastAsia="Times New Roman" w:hAnsi="Times New Roman" w:cs="Times New Roman"/>
          <w:color w:val="000000"/>
          <w:sz w:val="24"/>
          <w:szCs w:val="24"/>
          <w:lang w:eastAsia="it-IT"/>
        </w:rPr>
        <w:t>, è stato approvato dalle maggiori istanze internazionali. Le sue proprietà fisiche lo renderebbero un prodotto sicuro. Basta rispettare le prescrizioni di sicurezza ed equipaggiarsi con abiti protettivi.</w:t>
      </w:r>
    </w:p>
    <w:p w:rsidR="005C09CD" w:rsidRPr="00C00012" w:rsidRDefault="005C09CD" w:rsidP="00C00012">
      <w:pPr>
        <w:jc w:val="both"/>
        <w:rPr>
          <w:rFonts w:ascii="Times New Roman" w:hAnsi="Times New Roman" w:cs="Times New Roman"/>
        </w:rPr>
      </w:pPr>
    </w:p>
    <w:sectPr w:rsidR="005C09CD" w:rsidRPr="00C00012" w:rsidSect="00831DCF">
      <w:pgSz w:w="11905" w:h="16837"/>
      <w:pgMar w:top="1701" w:right="1134" w:bottom="1701" w:left="1134" w:header="357" w:footer="3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ource Sans Pro">
    <w:altName w:val="Times New Roman"/>
    <w:charset w:val="00"/>
    <w:family w:val="auto"/>
    <w:pitch w:val="default"/>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drawingGridHorizontalSpacing w:val="140"/>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3B"/>
    <w:rsid w:val="005C09CD"/>
    <w:rsid w:val="00831DCF"/>
    <w:rsid w:val="00C00012"/>
    <w:rsid w:val="00C22C3B"/>
    <w:rsid w:val="00DA1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DA172E"/>
    <w:pPr>
      <w:spacing w:after="60" w:line="288" w:lineRule="atLeast"/>
      <w:outlineLvl w:val="1"/>
    </w:pPr>
    <w:rPr>
      <w:rFonts w:ascii="Source Sans Pro" w:eastAsia="Times New Roman" w:hAnsi="Source Sans Pro" w:cs="Helvetica"/>
      <w:b/>
      <w:bCs/>
      <w:color w:val="222222"/>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A172E"/>
    <w:rPr>
      <w:rFonts w:ascii="Source Sans Pro" w:eastAsia="Times New Roman" w:hAnsi="Source Sans Pro" w:cs="Helvetica"/>
      <w:b/>
      <w:bCs/>
      <w:color w:val="222222"/>
      <w:sz w:val="36"/>
      <w:szCs w:val="36"/>
      <w:lang w:eastAsia="it-IT"/>
    </w:rPr>
  </w:style>
  <w:style w:type="paragraph" w:styleId="NormaleWeb">
    <w:name w:val="Normal (Web)"/>
    <w:basedOn w:val="Normale"/>
    <w:uiPriority w:val="99"/>
    <w:semiHidden/>
    <w:unhideWhenUsed/>
    <w:rsid w:val="00DA172E"/>
    <w:pPr>
      <w:spacing w:after="0" w:line="240" w:lineRule="auto"/>
    </w:pPr>
    <w:rPr>
      <w:rFonts w:ascii="inherit" w:eastAsia="Times New Roman" w:hAnsi="inherit" w:cs="Times New Roman"/>
      <w:color w:val="000000"/>
      <w:sz w:val="24"/>
      <w:szCs w:val="24"/>
      <w:lang w:eastAsia="it-IT"/>
    </w:rPr>
  </w:style>
  <w:style w:type="paragraph" w:customStyle="1" w:styleId="lead-text">
    <w:name w:val="lead-text"/>
    <w:basedOn w:val="Normale"/>
    <w:rsid w:val="00DA172E"/>
    <w:pPr>
      <w:spacing w:after="0" w:line="240" w:lineRule="auto"/>
    </w:pPr>
    <w:rPr>
      <w:rFonts w:ascii="inherit" w:eastAsia="Times New Roman" w:hAnsi="inherit" w:cs="Times New Roman"/>
      <w:color w:val="000000"/>
      <w:sz w:val="24"/>
      <w:szCs w:val="24"/>
      <w:lang w:eastAsia="it-IT"/>
    </w:rPr>
  </w:style>
  <w:style w:type="character" w:customStyle="1" w:styleId="show-for-sr1">
    <w:name w:val="show-for-sr1"/>
    <w:basedOn w:val="Carpredefinitoparagrafo"/>
    <w:rsid w:val="00DA17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DA172E"/>
    <w:pPr>
      <w:spacing w:after="60" w:line="288" w:lineRule="atLeast"/>
      <w:outlineLvl w:val="1"/>
    </w:pPr>
    <w:rPr>
      <w:rFonts w:ascii="Source Sans Pro" w:eastAsia="Times New Roman" w:hAnsi="Source Sans Pro" w:cs="Helvetica"/>
      <w:b/>
      <w:bCs/>
      <w:color w:val="222222"/>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A172E"/>
    <w:rPr>
      <w:rFonts w:ascii="Source Sans Pro" w:eastAsia="Times New Roman" w:hAnsi="Source Sans Pro" w:cs="Helvetica"/>
      <w:b/>
      <w:bCs/>
      <w:color w:val="222222"/>
      <w:sz w:val="36"/>
      <w:szCs w:val="36"/>
      <w:lang w:eastAsia="it-IT"/>
    </w:rPr>
  </w:style>
  <w:style w:type="paragraph" w:styleId="NormaleWeb">
    <w:name w:val="Normal (Web)"/>
    <w:basedOn w:val="Normale"/>
    <w:uiPriority w:val="99"/>
    <w:semiHidden/>
    <w:unhideWhenUsed/>
    <w:rsid w:val="00DA172E"/>
    <w:pPr>
      <w:spacing w:after="0" w:line="240" w:lineRule="auto"/>
    </w:pPr>
    <w:rPr>
      <w:rFonts w:ascii="inherit" w:eastAsia="Times New Roman" w:hAnsi="inherit" w:cs="Times New Roman"/>
      <w:color w:val="000000"/>
      <w:sz w:val="24"/>
      <w:szCs w:val="24"/>
      <w:lang w:eastAsia="it-IT"/>
    </w:rPr>
  </w:style>
  <w:style w:type="paragraph" w:customStyle="1" w:styleId="lead-text">
    <w:name w:val="lead-text"/>
    <w:basedOn w:val="Normale"/>
    <w:rsid w:val="00DA172E"/>
    <w:pPr>
      <w:spacing w:after="0" w:line="240" w:lineRule="auto"/>
    </w:pPr>
    <w:rPr>
      <w:rFonts w:ascii="inherit" w:eastAsia="Times New Roman" w:hAnsi="inherit" w:cs="Times New Roman"/>
      <w:color w:val="000000"/>
      <w:sz w:val="24"/>
      <w:szCs w:val="24"/>
      <w:lang w:eastAsia="it-IT"/>
    </w:rPr>
  </w:style>
  <w:style w:type="character" w:customStyle="1" w:styleId="show-for-sr1">
    <w:name w:val="show-for-sr1"/>
    <w:basedOn w:val="Carpredefinitoparagrafo"/>
    <w:rsid w:val="00DA1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456978">
      <w:bodyDiv w:val="1"/>
      <w:marLeft w:val="0"/>
      <w:marRight w:val="0"/>
      <w:marTop w:val="0"/>
      <w:marBottom w:val="0"/>
      <w:divBdr>
        <w:top w:val="none" w:sz="0" w:space="0" w:color="auto"/>
        <w:left w:val="none" w:sz="0" w:space="0" w:color="auto"/>
        <w:bottom w:val="none" w:sz="0" w:space="0" w:color="auto"/>
        <w:right w:val="none" w:sz="0" w:space="0" w:color="auto"/>
      </w:divBdr>
      <w:divsChild>
        <w:div w:id="1310331963">
          <w:marLeft w:val="0"/>
          <w:marRight w:val="0"/>
          <w:marTop w:val="0"/>
          <w:marBottom w:val="0"/>
          <w:divBdr>
            <w:top w:val="none" w:sz="0" w:space="0" w:color="auto"/>
            <w:left w:val="none" w:sz="0" w:space="0" w:color="auto"/>
            <w:bottom w:val="none" w:sz="0" w:space="0" w:color="auto"/>
            <w:right w:val="none" w:sz="0" w:space="0" w:color="auto"/>
          </w:divBdr>
          <w:divsChild>
            <w:div w:id="214047774">
              <w:marLeft w:val="0"/>
              <w:marRight w:val="0"/>
              <w:marTop w:val="0"/>
              <w:marBottom w:val="0"/>
              <w:divBdr>
                <w:top w:val="none" w:sz="0" w:space="0" w:color="auto"/>
                <w:left w:val="none" w:sz="0" w:space="0" w:color="auto"/>
                <w:bottom w:val="none" w:sz="0" w:space="0" w:color="auto"/>
                <w:right w:val="none" w:sz="0" w:space="0" w:color="auto"/>
              </w:divBdr>
              <w:divsChild>
                <w:div w:id="940525687">
                  <w:marLeft w:val="0"/>
                  <w:marRight w:val="0"/>
                  <w:marTop w:val="0"/>
                  <w:marBottom w:val="0"/>
                  <w:divBdr>
                    <w:top w:val="none" w:sz="0" w:space="0" w:color="auto"/>
                    <w:left w:val="none" w:sz="0" w:space="0" w:color="auto"/>
                    <w:bottom w:val="none" w:sz="0" w:space="0" w:color="auto"/>
                    <w:right w:val="none" w:sz="0" w:space="0" w:color="auto"/>
                  </w:divBdr>
                  <w:divsChild>
                    <w:div w:id="2035615095">
                      <w:marLeft w:val="0"/>
                      <w:marRight w:val="0"/>
                      <w:marTop w:val="0"/>
                      <w:marBottom w:val="0"/>
                      <w:divBdr>
                        <w:top w:val="none" w:sz="0" w:space="0" w:color="auto"/>
                        <w:left w:val="none" w:sz="0" w:space="0" w:color="auto"/>
                        <w:bottom w:val="none" w:sz="0" w:space="0" w:color="auto"/>
                        <w:right w:val="none" w:sz="0" w:space="0" w:color="auto"/>
                      </w:divBdr>
                      <w:divsChild>
                        <w:div w:id="1163201836">
                          <w:marLeft w:val="0"/>
                          <w:marRight w:val="0"/>
                          <w:marTop w:val="0"/>
                          <w:marBottom w:val="0"/>
                          <w:divBdr>
                            <w:top w:val="none" w:sz="0" w:space="0" w:color="auto"/>
                            <w:left w:val="none" w:sz="0" w:space="0" w:color="auto"/>
                            <w:bottom w:val="none" w:sz="0" w:space="0" w:color="auto"/>
                            <w:right w:val="none" w:sz="0" w:space="0" w:color="auto"/>
                          </w:divBdr>
                        </w:div>
                        <w:div w:id="18090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611</Words>
  <Characters>3489</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dc:creator>
  <cp:keywords/>
  <dc:description/>
  <cp:lastModifiedBy>Armando</cp:lastModifiedBy>
  <cp:revision>3</cp:revision>
  <dcterms:created xsi:type="dcterms:W3CDTF">2017-11-19T07:52:00Z</dcterms:created>
  <dcterms:modified xsi:type="dcterms:W3CDTF">2017-11-19T08:26:00Z</dcterms:modified>
</cp:coreProperties>
</file>