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A6E" w:rsidRDefault="00D30A6E" w:rsidP="00D30A6E">
      <w:pPr>
        <w:autoSpaceDE w:val="0"/>
        <w:autoSpaceDN w:val="0"/>
        <w:adjustRightInd w:val="0"/>
        <w:spacing w:after="0" w:line="240" w:lineRule="auto"/>
        <w:rPr>
          <w:rFonts w:ascii="Times New Roman" w:hAnsi="Times New Roman" w:cs="Times New Roman"/>
          <w:i/>
          <w:iCs/>
          <w:sz w:val="32"/>
          <w:szCs w:val="32"/>
        </w:rPr>
      </w:pPr>
      <w:bookmarkStart w:id="0" w:name="_GoBack"/>
      <w:bookmarkEnd w:id="0"/>
      <w:r>
        <w:rPr>
          <w:rFonts w:ascii="Times New Roman" w:hAnsi="Times New Roman" w:cs="Times New Roman"/>
          <w:i/>
          <w:iCs/>
          <w:sz w:val="32"/>
          <w:szCs w:val="32"/>
        </w:rPr>
        <w:t>1. I disegni di ricerca</w:t>
      </w:r>
    </w:p>
    <w:p w:rsidR="00D30A6E" w:rsidRDefault="00D30A6E" w:rsidP="00D30A6E">
      <w:pPr>
        <w:autoSpaceDE w:val="0"/>
        <w:autoSpaceDN w:val="0"/>
        <w:adjustRightInd w:val="0"/>
        <w:spacing w:after="0" w:line="240" w:lineRule="auto"/>
        <w:rPr>
          <w:rFonts w:ascii="SymbolMT" w:eastAsia="SymbolMT" w:hAnsi="Times New Roman" w:cs="SymbolMT"/>
          <w:sz w:val="17"/>
          <w:szCs w:val="17"/>
        </w:rPr>
      </w:pPr>
      <w:r>
        <w:rPr>
          <w:rFonts w:ascii="TimesNewRomanPSMT" w:hAnsi="TimesNewRomanPSMT" w:cs="TimesNewRomanPSMT"/>
          <w:sz w:val="26"/>
          <w:szCs w:val="26"/>
        </w:rPr>
        <w:t xml:space="preserve">di </w:t>
      </w:r>
      <w:r>
        <w:rPr>
          <w:rFonts w:ascii="Times New Roman" w:hAnsi="Times New Roman" w:cs="Times New Roman"/>
          <w:i/>
          <w:iCs/>
          <w:sz w:val="26"/>
          <w:szCs w:val="26"/>
        </w:rPr>
        <w:t xml:space="preserve">Amalia Caputo </w:t>
      </w:r>
      <w:r>
        <w:rPr>
          <w:rFonts w:ascii="TimesNewRomanPSMT" w:hAnsi="TimesNewRomanPSMT" w:cs="TimesNewRomanPSMT"/>
          <w:sz w:val="26"/>
          <w:szCs w:val="26"/>
        </w:rPr>
        <w:t xml:space="preserve">e </w:t>
      </w:r>
      <w:r>
        <w:rPr>
          <w:rFonts w:ascii="Times New Roman" w:hAnsi="Times New Roman" w:cs="Times New Roman"/>
          <w:i/>
          <w:iCs/>
          <w:sz w:val="26"/>
          <w:szCs w:val="26"/>
        </w:rPr>
        <w:t>Gabriella Punziano</w:t>
      </w:r>
      <w:r w:rsidR="00192F31">
        <w:rPr>
          <w:rStyle w:val="Rimandonotaapidipagina"/>
          <w:rFonts w:ascii="Times New Roman" w:hAnsi="Times New Roman" w:cs="Times New Roman"/>
          <w:i/>
          <w:iCs/>
          <w:sz w:val="26"/>
          <w:szCs w:val="26"/>
        </w:rPr>
        <w:footnoteReference w:id="1"/>
      </w:r>
    </w:p>
    <w:p w:rsidR="00D30A6E" w:rsidRDefault="00D30A6E" w:rsidP="00D30A6E">
      <w:pPr>
        <w:autoSpaceDE w:val="0"/>
        <w:autoSpaceDN w:val="0"/>
        <w:adjustRightInd w:val="0"/>
        <w:spacing w:after="0" w:line="240" w:lineRule="auto"/>
        <w:rPr>
          <w:rFonts w:ascii="TimesNewRomanPS-BoldMT" w:hAnsi="TimesNewRomanPS-BoldMT" w:cs="TimesNewRomanPS-BoldMT"/>
          <w:b/>
          <w:bCs/>
          <w:sz w:val="24"/>
          <w:szCs w:val="24"/>
        </w:rPr>
      </w:pPr>
      <w:r>
        <w:rPr>
          <w:rFonts w:ascii="TimesNewRomanPS-BoldMT" w:hAnsi="TimesNewRomanPS-BoldMT" w:cs="TimesNewRomanPS-BoldMT"/>
          <w:b/>
          <w:bCs/>
          <w:sz w:val="24"/>
          <w:szCs w:val="24"/>
        </w:rPr>
        <w:t>1.1. Il disegno di ricerca</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La ricerca sociale prevede un processo conoscitivo che a partire da interrogativi ritenuti rilevanti – teoricamente o empiricamente – cerca di fornire a questi risposte adeguate attraverso un uso consapevole di metodi e tecniche di indagine. Ma gli obiettivi conoscitivi che ci si propone possono essere molteplici ed è per questo che esistono più modi possibili per raggiungerli. Compito del ricercatore sarà quello di destreggiarsi sapientemente scegliendo in base alle situazioni specifiche di ricerca il percorso più adatto, tra i tanti possibili, all’interno di un quadro preciso di regole e logiche di metodo che ne rendano coerente ed efficace l’applicazione (</w:t>
      </w:r>
      <w:proofErr w:type="spellStart"/>
      <w:r>
        <w:rPr>
          <w:rFonts w:ascii="TimesNewRomanPSMT" w:hAnsi="TimesNewRomanPSMT" w:cs="TimesNewRomanPSMT"/>
        </w:rPr>
        <w:t>Amaturo</w:t>
      </w:r>
      <w:proofErr w:type="spellEnd"/>
      <w:r>
        <w:rPr>
          <w:rFonts w:ascii="TimesNewRomanPSMT" w:hAnsi="TimesNewRomanPSMT" w:cs="TimesNewRomanPSMT"/>
        </w:rPr>
        <w:t>, Caputo, 2012).</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xml:space="preserve">Nella ricerca sociale si è soliti immaginare la struttura della propria ricerca come un percorso o processo più o meno lineare a seconda dell’approccio metodologico che lo genera e lo guida, per l’appunto un </w:t>
      </w:r>
      <w:r>
        <w:rPr>
          <w:rFonts w:ascii="Times New Roman" w:hAnsi="Times New Roman" w:cs="Times New Roman"/>
          <w:i/>
          <w:iCs/>
        </w:rPr>
        <w:t>disegno di ricerca</w:t>
      </w:r>
      <w:r>
        <w:rPr>
          <w:rFonts w:ascii="TimesNewRomanPSMT" w:hAnsi="TimesNewRomanPSMT" w:cs="TimesNewRomanPSMT"/>
        </w:rPr>
        <w:t xml:space="preserve">. Questo rappresenterà l’insieme delle decisioni che il ricercatore è spinto a prendere prima di avviare la fase di “campo”, quindi prima di procedere alla raccolta delle informazioni utili a rispondere ai suoi interrogativi e alle sue domande conoscitive. Il disegno di ricerca, pertanto, si configura come una progettazione preliminare della struttura che seguirà l’intera indagine diventando così imprescindibile, qualunque sia l’orientamento o l’approccio entro il quale si inserisca lo studio condotto. Resta tuttavia variabile il grado di strutturazione del processo progettato. Infatti, se per un approccio di stampo quantitativo o </w:t>
      </w:r>
      <w:r>
        <w:rPr>
          <w:rFonts w:ascii="Times New Roman" w:hAnsi="Times New Roman" w:cs="Times New Roman"/>
          <w:i/>
          <w:iCs/>
        </w:rPr>
        <w:t xml:space="preserve">standard </w:t>
      </w:r>
      <w:r>
        <w:rPr>
          <w:rFonts w:ascii="TimesNewRomanPSMT" w:hAnsi="TimesNewRomanPSMT" w:cs="TimesNewRomanPSMT"/>
        </w:rPr>
        <w:t xml:space="preserve">l’iter da seguire sarà rigido e ben delineato, in un approccio di stampo qualitativo o </w:t>
      </w:r>
      <w:r>
        <w:rPr>
          <w:rFonts w:ascii="Times New Roman" w:hAnsi="Times New Roman" w:cs="Times New Roman"/>
          <w:i/>
          <w:iCs/>
        </w:rPr>
        <w:t xml:space="preserve">non standard </w:t>
      </w:r>
      <w:r>
        <w:rPr>
          <w:rFonts w:ascii="TimesNewRomanPSMT" w:hAnsi="TimesNewRomanPSMT" w:cs="TimesNewRomanPSMT"/>
        </w:rPr>
        <w:t xml:space="preserve">le medesime fasi di definizione possono avere tempistiche, modalità e finalità differenti, configurando un iter flessibile e non predefinito a monte della ricerca (Marradi, 2007). Pertanto, il disegno di ricerca tipico </w:t>
      </w:r>
      <w:r>
        <w:rPr>
          <w:rFonts w:ascii="Times New Roman" w:hAnsi="Times New Roman" w:cs="Times New Roman"/>
          <w:i/>
          <w:iCs/>
        </w:rPr>
        <w:t xml:space="preserve">dell’approccio standard </w:t>
      </w:r>
      <w:r>
        <w:rPr>
          <w:rFonts w:ascii="TimesNewRomanPSMT" w:hAnsi="TimesNewRomanPSMT" w:cs="TimesNewRomanPSMT"/>
        </w:rPr>
        <w:t>deve contenere alcuni elementi volti a definire e ritagliare con precisione lo spazio entro il quale sviluppare l’indagine</w:t>
      </w:r>
      <w:r>
        <w:rPr>
          <w:rStyle w:val="Rimandonotaapidipagina"/>
          <w:rFonts w:ascii="TimesNewRomanPSMT" w:hAnsi="TimesNewRomanPSMT" w:cs="TimesNewRomanPSMT"/>
        </w:rPr>
        <w:footnoteReference w:id="2"/>
      </w:r>
      <w:r>
        <w:rPr>
          <w:rFonts w:ascii="TimesNewRomanPSMT" w:hAnsi="TimesNewRomanPSMT" w:cs="TimesNewRomanPSMT"/>
        </w:rPr>
        <w:t>.</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xml:space="preserve">Il primo è la </w:t>
      </w:r>
      <w:r>
        <w:rPr>
          <w:rFonts w:ascii="Times New Roman" w:hAnsi="Times New Roman" w:cs="Times New Roman"/>
          <w:i/>
          <w:iCs/>
        </w:rPr>
        <w:t xml:space="preserve">domanda conoscitiva </w:t>
      </w:r>
      <w:r>
        <w:rPr>
          <w:rFonts w:ascii="TimesNewRomanPSMT" w:hAnsi="TimesNewRomanPSMT" w:cs="TimesNewRomanPSMT"/>
        </w:rPr>
        <w:t xml:space="preserve">che è alla base dello studio. Questa può essere formulata seguendo due modalità, sotto forma di </w:t>
      </w:r>
      <w:r>
        <w:rPr>
          <w:rFonts w:ascii="Times New Roman" w:hAnsi="Times New Roman" w:cs="Times New Roman"/>
          <w:i/>
          <w:iCs/>
        </w:rPr>
        <w:t xml:space="preserve">interrogativo di ricerca </w:t>
      </w:r>
      <w:r>
        <w:rPr>
          <w:rFonts w:ascii="TimesNewRomanPSMT" w:hAnsi="TimesNewRomanPSMT" w:cs="TimesNewRomanPSMT"/>
        </w:rPr>
        <w:t xml:space="preserve">per cui il ricercatore baserà lo studio tenendo saldo un obiettivo conoscitivo specifico che può essere evaporativo, ad esempio chiedendosi quale sia la condizione dei migranti in Italia, ma anche confermativo, ad esempio chiedendosi se il processo di integrazione dei migranti in Italia abbia raggiunto adeguati livelli di gestione; la seconda modalità è quella di porre la domanda sotto forma di </w:t>
      </w:r>
      <w:r>
        <w:rPr>
          <w:rFonts w:ascii="Times New Roman" w:hAnsi="Times New Roman" w:cs="Times New Roman"/>
          <w:i/>
          <w:iCs/>
        </w:rPr>
        <w:t xml:space="preserve">ipotesi di ricerca </w:t>
      </w:r>
      <w:r>
        <w:rPr>
          <w:rFonts w:ascii="TimesNewRomanPSMT" w:hAnsi="TimesNewRomanPSMT" w:cs="TimesNewRomanPSMT"/>
        </w:rPr>
        <w:t>per cui il ricercatore si interrogherà sull’interconnessione di diversi fenomeni, ad esempio partendo dall’asserzione “lo status socio-economico influenza i diversi gradi di integrazione di un migrante”.</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xml:space="preserve">Il secondo elemento consiste nella </w:t>
      </w:r>
      <w:r>
        <w:rPr>
          <w:rFonts w:ascii="Times New Roman" w:hAnsi="Times New Roman" w:cs="Times New Roman"/>
          <w:i/>
          <w:iCs/>
        </w:rPr>
        <w:t xml:space="preserve">delimitazione del contesto </w:t>
      </w:r>
      <w:r>
        <w:rPr>
          <w:rFonts w:ascii="TimesNewRomanPSMT" w:hAnsi="TimesNewRomanPSMT" w:cs="TimesNewRomanPSMT"/>
        </w:rPr>
        <w:t>in cui vengono definiti i confini temporali, geografici e di scenario entro i quali sono ritenute valide e valutabili le ipotesi e gli interrogativi di ricerca formulate nella fase precedente.</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L’</w:t>
      </w:r>
      <w:proofErr w:type="spellStart"/>
      <w:r>
        <w:rPr>
          <w:rFonts w:ascii="Times New Roman" w:hAnsi="Times New Roman" w:cs="Times New Roman"/>
          <w:i/>
          <w:iCs/>
        </w:rPr>
        <w:t>operativizzazione</w:t>
      </w:r>
      <w:proofErr w:type="spellEnd"/>
      <w:r>
        <w:rPr>
          <w:rFonts w:ascii="Times New Roman" w:hAnsi="Times New Roman" w:cs="Times New Roman"/>
          <w:i/>
          <w:iCs/>
        </w:rPr>
        <w:t xml:space="preserve"> dei concetti</w:t>
      </w:r>
      <w:r>
        <w:rPr>
          <w:rFonts w:ascii="TimesNewRomanPSMT" w:hAnsi="TimesNewRomanPSMT" w:cs="TimesNewRomanPSMT"/>
        </w:rPr>
        <w:t xml:space="preserve">, terzo elemento, è la fase entro la quale vengono definiti quei concetti complessi e astratti rilevanti per l’itera ricerca: ciascun concetto, ad esempio quello di integrazione o quello relativo alla condizione di migrante, viene articolato in </w:t>
      </w:r>
      <w:r>
        <w:rPr>
          <w:rFonts w:ascii="Times New Roman" w:hAnsi="Times New Roman" w:cs="Times New Roman"/>
          <w:i/>
          <w:iCs/>
        </w:rPr>
        <w:t xml:space="preserve">dimensioni </w:t>
      </w:r>
      <w:r>
        <w:rPr>
          <w:rFonts w:ascii="TimesNewRomanPSMT" w:hAnsi="TimesNewRomanPSMT" w:cs="TimesNewRomanPSMT"/>
        </w:rPr>
        <w:t xml:space="preserve">dal livello di astrazione superiore a quello inferiore. Per tornare all’esempio sull’integrazione, si potrebbe indagare la componente lavorativa, quella legata all’educazione, al contesto sociale, e così via. Questo perché i concetti utilizzati nella ricerca sociale sono spesso molto o troppo generali, astratti e non definibili operativamente in maniera diretta come possono esserlo il sesso, l’età o la residenza. Vi è la necessità di semplificare tali concetti scindendoli in concetti con estensioni semantiche più limitate cui si associano stati empiricamente rilevabili </w:t>
      </w:r>
      <w:r>
        <w:rPr>
          <w:rFonts w:ascii="SymbolMT" w:eastAsia="SymbolMT" w:hAnsi="TimesNewRomanPSMT" w:cs="SymbolMT"/>
        </w:rPr>
        <w:t>–</w:t>
      </w:r>
      <w:r>
        <w:rPr>
          <w:rFonts w:ascii="SymbolMT" w:eastAsia="SymbolMT" w:hAnsi="TimesNewRomanPSMT" w:cs="SymbolMT"/>
        </w:rPr>
        <w:t xml:space="preserve"> </w:t>
      </w:r>
      <w:r>
        <w:rPr>
          <w:rFonts w:ascii="TimesNewRomanPSMT" w:hAnsi="TimesNewRomanPSMT" w:cs="TimesNewRomanPSMT"/>
        </w:rPr>
        <w:t xml:space="preserve">gli </w:t>
      </w:r>
      <w:r>
        <w:rPr>
          <w:rFonts w:ascii="Times New Roman" w:hAnsi="Times New Roman" w:cs="Times New Roman"/>
          <w:i/>
          <w:iCs/>
        </w:rPr>
        <w:t xml:space="preserve">indicatori </w:t>
      </w:r>
      <w:r>
        <w:rPr>
          <w:rFonts w:ascii="TimesNewRomanPSMT" w:hAnsi="TimesNewRomanPSMT" w:cs="TimesNewRomanPSMT"/>
        </w:rPr>
        <w:t xml:space="preserve">o concetti di proprietà che forniscono “indicazioni” appunto su un altro concetto di proprietà più specifico che ha un legame di rappresentazione semantica con il concetto più generale (Marradi 2007). Dunque, per rendere empiricamente rilevabile un concetto complesso, sarà necessario innanzitutto individuare le dimensioni che lo compongono e successivamente selezionare gli indicatori più appropriati. E quindi, ad esempio, potrà essere ritenuto un indicatore della dimensione di integrazione lavorativa </w:t>
      </w:r>
      <w:r>
        <w:rPr>
          <w:rFonts w:ascii="TimesNewRomanPSMT" w:hAnsi="TimesNewRomanPSMT" w:cs="TimesNewRomanPSMT"/>
        </w:rPr>
        <w:lastRenderedPageBreak/>
        <w:t>lo status occupazionale, della dimensione di integrazione educativa il livello di istruzione, e così via.</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xml:space="preserve">L’ultimo passaggio consiste nella trasformazione di ciascun indicatore in una o più variabili. Lo status occupazionale potrebbe essere rilevato, ad esempio, individuando le differenti modalità in cui tale status può manifestarsi, inattivo, disoccupato/inoccupato, occupato a tempo determinato, occupato a tempo indeterminato e in altra condizione (come studente, casalinga, pensionato, etc.). Questi </w:t>
      </w:r>
      <w:r>
        <w:rPr>
          <w:rFonts w:ascii="Times New Roman" w:hAnsi="Times New Roman" w:cs="Times New Roman"/>
          <w:i/>
          <w:iCs/>
        </w:rPr>
        <w:t>stati sulla proprietà</w:t>
      </w:r>
      <w:r>
        <w:rPr>
          <w:rFonts w:ascii="TimesNewRomanPSMT" w:hAnsi="TimesNewRomanPSMT" w:cs="TimesNewRomanPSMT"/>
        </w:rPr>
        <w:t xml:space="preserve">, debitamente codificati, diventeranno dati da inserire in matrice dei dati. L’intero processo prende il nome di </w:t>
      </w:r>
      <w:proofErr w:type="spellStart"/>
      <w:r>
        <w:rPr>
          <w:rFonts w:ascii="Times New Roman" w:hAnsi="Times New Roman" w:cs="Times New Roman"/>
          <w:i/>
          <w:iCs/>
        </w:rPr>
        <w:t>operativizzazione</w:t>
      </w:r>
      <w:proofErr w:type="spellEnd"/>
      <w:r>
        <w:rPr>
          <w:rFonts w:ascii="TimesNewRomanPSMT" w:hAnsi="TimesNewRomanPSMT" w:cs="TimesNewRomanPSMT"/>
        </w:rPr>
        <w:t xml:space="preserve">, mentre del concetto si dirà che ha subito una </w:t>
      </w:r>
      <w:r>
        <w:rPr>
          <w:rFonts w:ascii="Times New Roman" w:hAnsi="Times New Roman" w:cs="Times New Roman"/>
          <w:i/>
          <w:iCs/>
        </w:rPr>
        <w:t xml:space="preserve">definizione operativa </w:t>
      </w:r>
      <w:r>
        <w:rPr>
          <w:rFonts w:ascii="TimesNewRomanPSMT" w:hAnsi="TimesNewRomanPSMT" w:cs="TimesNewRomanPSMT"/>
        </w:rPr>
        <w:t xml:space="preserve">intesa quale complesso di regole che guidano il processo di </w:t>
      </w:r>
      <w:proofErr w:type="spellStart"/>
      <w:r>
        <w:rPr>
          <w:rFonts w:ascii="Times New Roman" w:hAnsi="Times New Roman" w:cs="Times New Roman"/>
          <w:i/>
          <w:iCs/>
        </w:rPr>
        <w:t>operativizzazione</w:t>
      </w:r>
      <w:proofErr w:type="spellEnd"/>
      <w:r>
        <w:rPr>
          <w:rFonts w:ascii="Times New Roman" w:hAnsi="Times New Roman" w:cs="Times New Roman"/>
          <w:i/>
          <w:iCs/>
        </w:rPr>
        <w:t xml:space="preserve"> </w:t>
      </w:r>
      <w:r>
        <w:rPr>
          <w:rFonts w:ascii="TimesNewRomanPSMT" w:hAnsi="TimesNewRomanPSMT" w:cs="TimesNewRomanPSMT"/>
        </w:rPr>
        <w:t>(Marradi 1987).</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xml:space="preserve">Nella quarta fase si procede alla </w:t>
      </w:r>
      <w:r>
        <w:rPr>
          <w:rFonts w:ascii="Times New Roman" w:hAnsi="Times New Roman" w:cs="Times New Roman"/>
          <w:i/>
          <w:iCs/>
        </w:rPr>
        <w:t xml:space="preserve">selezione delle unità di analisi </w:t>
      </w:r>
      <w:r>
        <w:rPr>
          <w:rFonts w:ascii="TimesNewRomanPSMT" w:hAnsi="TimesNewRomanPSMT" w:cs="TimesNewRomanPSMT"/>
        </w:rPr>
        <w:t xml:space="preserve">ovvero dei soggetti/oggetti sui i quali il ricercatore condurrà il suo studio; si tratta dell’oggetto sociale al quale afferiscono le proprietà del concetto considerato; così, ritornando al nostro esempio, bisognerà chiedersi: chi possiede la proprietà dell’integrazione che si intende indagare? Gli oggetti del discorso scientifico sono i soggetti sociali della ricerca a cui si riferiscono le proprietà studiate. Sarà fondamentale tenere a mente che il rapporto tra </w:t>
      </w:r>
      <w:r>
        <w:rPr>
          <w:rFonts w:ascii="Times New Roman" w:hAnsi="Times New Roman" w:cs="Times New Roman"/>
          <w:i/>
          <w:iCs/>
        </w:rPr>
        <w:t xml:space="preserve">oggetti </w:t>
      </w:r>
      <w:r>
        <w:rPr>
          <w:rFonts w:ascii="TimesNewRomanPSMT" w:hAnsi="TimesNewRomanPSMT" w:cs="TimesNewRomanPSMT"/>
        </w:rPr>
        <w:t xml:space="preserve">e </w:t>
      </w:r>
      <w:r>
        <w:rPr>
          <w:rFonts w:ascii="Times New Roman" w:hAnsi="Times New Roman" w:cs="Times New Roman"/>
          <w:i/>
          <w:iCs/>
        </w:rPr>
        <w:t xml:space="preserve">proprietà degli oggetti </w:t>
      </w:r>
      <w:r>
        <w:rPr>
          <w:rFonts w:ascii="TimesNewRomanPSMT" w:hAnsi="TimesNewRomanPSMT" w:cs="TimesNewRomanPSMT"/>
        </w:rPr>
        <w:t xml:space="preserve">è diretto; la traduzione empirica dei concetti avviene assegnando proprietà ad oggetti. È a partire dalle proprietà e dalle relazioni che si ipotizzano tra queste che è possibile individuare gli oggetti che entreranno a far parte della ricerca che si ha intenzione di condurre. Si parlerà a tal proposito di </w:t>
      </w:r>
      <w:r>
        <w:rPr>
          <w:rFonts w:ascii="Times New Roman" w:hAnsi="Times New Roman" w:cs="Times New Roman"/>
          <w:i/>
          <w:iCs/>
        </w:rPr>
        <w:t xml:space="preserve">campionamento </w:t>
      </w:r>
      <w:r>
        <w:rPr>
          <w:rFonts w:ascii="TimesNewRomanPSMT" w:hAnsi="TimesNewRomanPSMT" w:cs="TimesNewRomanPSMT"/>
        </w:rPr>
        <w:t>ovvero una serie di regole e criteri che consentono il passaggio da unità a casi; una procedura di selezione tra tutti i potenziali casi (popolazione) in modo che quelli che entrano effettivamente nella ricerca siano rappresentativi dell’insieme di tutti i potenziali casi. Possono essere distinte diverse unità di analisi: l’</w:t>
      </w:r>
      <w:r>
        <w:rPr>
          <w:rFonts w:ascii="Times New Roman" w:hAnsi="Times New Roman" w:cs="Times New Roman"/>
          <w:i/>
          <w:iCs/>
        </w:rPr>
        <w:t xml:space="preserve">individuo </w:t>
      </w:r>
      <w:r>
        <w:rPr>
          <w:rFonts w:ascii="TimesNewRomanPSMT" w:hAnsi="TimesNewRomanPSMT" w:cs="TimesNewRomanPSMT"/>
        </w:rPr>
        <w:t>è l’unità a cui la maggior parte delle indagini sociali fa riferimento, non è scomponibile e costituisce l’unità elementare delle unità aggregati; l’</w:t>
      </w:r>
      <w:r>
        <w:rPr>
          <w:rFonts w:ascii="Times New Roman" w:hAnsi="Times New Roman" w:cs="Times New Roman"/>
          <w:i/>
          <w:iCs/>
        </w:rPr>
        <w:t xml:space="preserve">aggregato </w:t>
      </w:r>
      <w:r>
        <w:rPr>
          <w:rFonts w:ascii="TimesNewRomanPSMT" w:hAnsi="TimesNewRomanPSMT" w:cs="TimesNewRomanPSMT"/>
        </w:rPr>
        <w:t xml:space="preserve">– o collettivo – è un tipo di unità di analisi che a differenza dell’individuo è scomponibile in unità più piccole, nella ricerca sociale se ne individuano tre tipi ovvero gruppi di individui (le informazioni sono rilevate su individui per essere poi estese al collettivo cui si riferiscono, ad esempio intervistando i componenti del nucleo familiare per rilevare il reddito familiare annuo riferito alla famiglia nel suo insieme e non al singolo), unità ecologiche o territoriali (le informazioni vengono rilevate al livello territoriale ad esempio su città, comuni, etc.), l’ente in qualità di gruppi, organizzazioni e istituzioni che hanno un obiettivo in comune, una propria regolamentazione e struttura formalmente organizzata e sui quali si rilevano proprietà riferite direttamente all’ente (ad esempio associazioni, gruppi etnici, </w:t>
      </w:r>
      <w:r>
        <w:rPr>
          <w:rFonts w:ascii="Times New Roman" w:hAnsi="Times New Roman" w:cs="Times New Roman"/>
          <w:i/>
          <w:iCs/>
        </w:rPr>
        <w:t>gang</w:t>
      </w:r>
      <w:r>
        <w:rPr>
          <w:rFonts w:ascii="TimesNewRomanPSMT" w:hAnsi="TimesNewRomanPSMT" w:cs="TimesNewRomanPSMT"/>
        </w:rPr>
        <w:t>, sindacati, partiti politici, organizzazioni lavorative, ospedali, fabbriche, istituzioni pubbliche, etc. sui quali si possono rilevare variabili come il numero di iscritti all’associazione e così via); l’</w:t>
      </w:r>
      <w:r>
        <w:rPr>
          <w:rFonts w:ascii="Times New Roman" w:hAnsi="Times New Roman" w:cs="Times New Roman"/>
          <w:i/>
          <w:iCs/>
        </w:rPr>
        <w:t xml:space="preserve">evento sociale </w:t>
      </w:r>
      <w:r>
        <w:rPr>
          <w:rFonts w:ascii="TimesNewRomanPSMT" w:hAnsi="TimesNewRomanPSMT" w:cs="TimesNewRomanPSMT"/>
        </w:rPr>
        <w:t xml:space="preserve">che fa riferimento a quella serie di informazioni relative ad accadimenti periodici unici (elezioni politiche, scioperi, cortei, manifestazioni, processi, etc.); il </w:t>
      </w:r>
      <w:r>
        <w:rPr>
          <w:rFonts w:ascii="Times New Roman" w:hAnsi="Times New Roman" w:cs="Times New Roman"/>
          <w:i/>
          <w:iCs/>
        </w:rPr>
        <w:t xml:space="preserve">prodotto culturale </w:t>
      </w:r>
      <w:r>
        <w:rPr>
          <w:rFonts w:ascii="TimesNewRomanPSMT" w:hAnsi="TimesNewRomanPSMT" w:cs="TimesNewRomanPSMT"/>
        </w:rPr>
        <w:t>o rappresentazione simbolica ad esempio costituita dall’insieme dei messaggi di comunicazione di massa, dei libri pubblicati, dei discorsi politici, dei programmi televisivi e radiofonici, e così via.</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xml:space="preserve">Una fase ulteriore è la </w:t>
      </w:r>
      <w:r>
        <w:rPr>
          <w:rFonts w:ascii="Times New Roman" w:hAnsi="Times New Roman" w:cs="Times New Roman"/>
          <w:i/>
          <w:iCs/>
        </w:rPr>
        <w:t xml:space="preserve">strutturazione delle situazioni </w:t>
      </w:r>
      <w:r>
        <w:rPr>
          <w:rFonts w:ascii="TimesNewRomanPSMT" w:hAnsi="TimesNewRomanPSMT" w:cs="TimesNewRomanPSMT"/>
        </w:rPr>
        <w:t>in cui verranno raccolte le informazioni; si dovrà stabilire il livello di rigidità da conferire alla situazione di rilevazione scegliendo di volta in volta i metodi e le tecniche più adeguate alla situazione di ricerca. Ovviamente tale scelta deve essere coerente con l’approccio entro il quale il ricercatore si pone, ad esempio l’esperimento o l’inchiesta campionaria si porranno dal versante dell’approccio quantitativo, mentre l’osservazione o l’intervista afferiranno a quello qualitativo. Ma la scelta del livello di strutturazione deve soprattutto seguire l’interrogativo o ipotesi formulata a monte del disegno di ricerca. Risulterà, pertanto, opportuno usare situazioni altamente formalizzate se l’intento del ricercatore è tenere sotto controllo eventuali fattori intervenienti, come nel caso delle indagini condotte sotto forma di esperimento o in laboratorio, oppure ricorrere a indagini campionarie se l’intento è di studiare relazioni tra variabili su uno specifico campione al fine di generalizzare i risultati ottenuti alla più ampia popolazione di riferimento, e così via. Sarà auspicabile ricorrere a situazioni di indagine meno formalizzate e strutturate se l’intento è indagare fenomeni poco conosciuti oppure popolazioni difficilmente raggiungibili, indagini, queste, per le quali sarà decisamente più proficuo ricorrere a metodi come l’osservazione in ambiente naturale, le interviste in profondità, e così via.</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xml:space="preserve">La scelta degli </w:t>
      </w:r>
      <w:r>
        <w:rPr>
          <w:rFonts w:ascii="Times New Roman" w:hAnsi="Times New Roman" w:cs="Times New Roman"/>
          <w:i/>
          <w:iCs/>
        </w:rPr>
        <w:t xml:space="preserve">strumenti </w:t>
      </w:r>
      <w:r>
        <w:rPr>
          <w:rFonts w:ascii="TimesNewRomanPSMT" w:hAnsi="TimesNewRomanPSMT" w:cs="TimesNewRomanPSMT"/>
        </w:rPr>
        <w:t xml:space="preserve">per la raccolta e la rilevazione delle informazioni e il </w:t>
      </w:r>
      <w:r>
        <w:rPr>
          <w:rFonts w:ascii="Times New Roman" w:hAnsi="Times New Roman" w:cs="Times New Roman"/>
          <w:i/>
          <w:iCs/>
        </w:rPr>
        <w:t xml:space="preserve">ruolo del ricercatore </w:t>
      </w:r>
      <w:r>
        <w:rPr>
          <w:rFonts w:ascii="TimesNewRomanPSMT" w:hAnsi="TimesNewRomanPSMT" w:cs="TimesNewRomanPSMT"/>
        </w:rPr>
        <w:t xml:space="preserve">caratterizzano le fasi successive. Ovvio che se si perseguono oggettività, standardizzazione e </w:t>
      </w:r>
      <w:proofErr w:type="spellStart"/>
      <w:r>
        <w:rPr>
          <w:rFonts w:ascii="TimesNewRomanPSMT" w:hAnsi="TimesNewRomanPSMT" w:cs="TimesNewRomanPSMT"/>
        </w:rPr>
        <w:t>generalizzabilità</w:t>
      </w:r>
      <w:proofErr w:type="spellEnd"/>
      <w:r>
        <w:rPr>
          <w:rFonts w:ascii="TimesNewRomanPSMT" w:hAnsi="TimesNewRomanPSMT" w:cs="TimesNewRomanPSMT"/>
        </w:rPr>
        <w:t xml:space="preserve"> sarà opportuno ricorrere a indagini basate su strumenti come il questionario o le </w:t>
      </w:r>
      <w:r>
        <w:rPr>
          <w:rFonts w:ascii="TimesNewRomanPSMT" w:hAnsi="TimesNewRomanPSMT" w:cs="TimesNewRomanPSMT"/>
        </w:rPr>
        <w:lastRenderedPageBreak/>
        <w:t>fonti statistiche ufficiali; mentre, se si persegue una conoscenza profonda, densa e particolareggiata di un fenomeno risulterà maggiormente adeguato l’uso di strumenti quali l’intervista, le note di campo, e così via. L’</w:t>
      </w:r>
      <w:r>
        <w:rPr>
          <w:rFonts w:ascii="Times New Roman" w:hAnsi="Times New Roman" w:cs="Times New Roman"/>
          <w:i/>
          <w:iCs/>
        </w:rPr>
        <w:t xml:space="preserve">organizzazione delle informazioni, </w:t>
      </w:r>
      <w:r>
        <w:rPr>
          <w:rFonts w:ascii="TimesNewRomanPSMT" w:hAnsi="TimesNewRomanPSMT" w:cs="TimesNewRomanPSMT"/>
        </w:rPr>
        <w:t xml:space="preserve">fase successiva, avviene a partire dalla </w:t>
      </w:r>
      <w:r>
        <w:rPr>
          <w:rFonts w:ascii="Times New Roman" w:hAnsi="Times New Roman" w:cs="Times New Roman"/>
          <w:i/>
          <w:iCs/>
        </w:rPr>
        <w:t xml:space="preserve">codifica dei dati raccolti </w:t>
      </w:r>
      <w:r>
        <w:rPr>
          <w:rFonts w:ascii="TimesNewRomanPSMT" w:hAnsi="TimesNewRomanPSMT" w:cs="TimesNewRomanPSMT"/>
        </w:rPr>
        <w:t xml:space="preserve">e inseriti in una </w:t>
      </w:r>
      <w:r>
        <w:rPr>
          <w:rFonts w:ascii="Times New Roman" w:hAnsi="Times New Roman" w:cs="Times New Roman"/>
          <w:i/>
          <w:iCs/>
        </w:rPr>
        <w:t xml:space="preserve">matrice dei dati </w:t>
      </w:r>
      <w:r>
        <w:rPr>
          <w:rFonts w:ascii="TimesNewRomanPSMT" w:hAnsi="TimesNewRomanPSMT" w:cs="TimesNewRomanPSMT"/>
        </w:rPr>
        <w:t>in cui in riga sono collocati i casi ed in colonna le variabili, la finalità è di condurre analisi statistiche necessarie agli scopi della ricerca. Molto diversa è l’organizzazione dei dati se il processo di ricerca è non formalizzato e fondato su informazioni non strutturate come quelle prodotte nell’ambito dell’approccio qualitativo.</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xml:space="preserve">La fase finale è la </w:t>
      </w:r>
      <w:r>
        <w:rPr>
          <w:rFonts w:ascii="Times New Roman" w:hAnsi="Times New Roman" w:cs="Times New Roman"/>
          <w:i/>
          <w:iCs/>
        </w:rPr>
        <w:t xml:space="preserve">prefigurazione dei tipi di analisi </w:t>
      </w:r>
      <w:r>
        <w:rPr>
          <w:rFonts w:ascii="TimesNewRomanPSMT" w:hAnsi="TimesNewRomanPSMT" w:cs="TimesNewRomanPSMT"/>
        </w:rPr>
        <w:t xml:space="preserve">realizzabili con le informazioni recuperate empiricamente. In questo ultimo </w:t>
      </w:r>
      <w:proofErr w:type="spellStart"/>
      <w:r>
        <w:rPr>
          <w:rFonts w:ascii="Times New Roman" w:hAnsi="Times New Roman" w:cs="Times New Roman"/>
          <w:i/>
          <w:iCs/>
        </w:rPr>
        <w:t>step</w:t>
      </w:r>
      <w:proofErr w:type="spellEnd"/>
      <w:r>
        <w:rPr>
          <w:rFonts w:ascii="Times New Roman" w:hAnsi="Times New Roman" w:cs="Times New Roman"/>
          <w:i/>
          <w:iCs/>
        </w:rPr>
        <w:t xml:space="preserve"> </w:t>
      </w:r>
      <w:r>
        <w:rPr>
          <w:rFonts w:ascii="TimesNewRomanPSMT" w:hAnsi="TimesNewRomanPSMT" w:cs="TimesNewRomanPSMT"/>
        </w:rPr>
        <w:t>si definiscono i tipi di confronti, le comparazioni, i meccanismi di influenza, i rapporti; la statistica fornisce un utile strumento quando i dati raccolti sono altamente formali, standardizzati e strutturati, dalle semplici distribuzioni di frequenza all’elaborazione di modelli multivariati di analisi; viceversa, se i dati raccolti sono non standardizzati e strutturati si ricorrerà ad altre modalità analitiche, come ad esempio l’analisi ermeneutica.</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Realizzare un disegno di ricerca vuol dire definire le scelte compiute per ciascuno degli elementi passati in rassegna; prenderà così forma per il ricercatore un piano operativo che guiderà la discesa sul campo e il collegamento logico e sequenziale tra le domande conoscitive, le procedure e gli strumenti adottati, i risultati prodotti e gli obiettivi perseguibili. Ma ulteriori elementi di differenziazione vanno presi in considerazione al fine di compiere una adeguata progettazione della ricerca che si intende porre in essere.</w:t>
      </w:r>
    </w:p>
    <w:p w:rsidR="00D30A6E" w:rsidRDefault="00D30A6E" w:rsidP="00D30A6E">
      <w:pPr>
        <w:autoSpaceDE w:val="0"/>
        <w:autoSpaceDN w:val="0"/>
        <w:adjustRightInd w:val="0"/>
        <w:spacing w:after="0" w:line="240" w:lineRule="auto"/>
        <w:rPr>
          <w:rFonts w:ascii="TimesNewRomanPS-BoldMT" w:hAnsi="TimesNewRomanPS-BoldMT" w:cs="TimesNewRomanPS-BoldMT"/>
          <w:b/>
          <w:bCs/>
          <w:sz w:val="24"/>
          <w:szCs w:val="24"/>
        </w:rPr>
      </w:pPr>
      <w:r>
        <w:rPr>
          <w:rFonts w:ascii="TimesNewRomanPS-BoldMT" w:hAnsi="TimesNewRomanPS-BoldMT" w:cs="TimesNewRomanPS-BoldMT"/>
          <w:b/>
          <w:bCs/>
          <w:sz w:val="24"/>
          <w:szCs w:val="24"/>
        </w:rPr>
        <w:t>1.2. Differenze nei disegni di ricerca</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xml:space="preserve">Stando a quanto pocanzi affermato, è d’obbligo esporre alcune differenze basilari che possano servire da </w:t>
      </w:r>
      <w:r>
        <w:rPr>
          <w:rFonts w:ascii="Times New Roman" w:hAnsi="Times New Roman" w:cs="Times New Roman"/>
          <w:i/>
          <w:iCs/>
        </w:rPr>
        <w:t xml:space="preserve">vademecum </w:t>
      </w:r>
      <w:r>
        <w:rPr>
          <w:rFonts w:ascii="TimesNewRomanPSMT" w:hAnsi="TimesNewRomanPSMT" w:cs="TimesNewRomanPSMT"/>
        </w:rPr>
        <w:t>che, anche se non esaustivo, possa risultare funzionale al ragionamento metodologico critico e al ricercatore in fase di strutturazione della propria indagine empirica.</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xml:space="preserve">La prima differenza da sottolineare è sicuramente quella che intercorre in </w:t>
      </w:r>
      <w:r>
        <w:rPr>
          <w:rFonts w:ascii="Times New Roman" w:hAnsi="Times New Roman" w:cs="Times New Roman"/>
          <w:i/>
          <w:iCs/>
        </w:rPr>
        <w:t>fase di strutturazione iniziale del disegno di ricerca</w:t>
      </w:r>
      <w:r>
        <w:rPr>
          <w:rFonts w:ascii="TimesNewRomanPSMT" w:hAnsi="TimesNewRomanPSMT" w:cs="TimesNewRomanPSMT"/>
        </w:rPr>
        <w:t>. Questa attiene all’inquadramento generale ovvero all’</w:t>
      </w:r>
      <w:r>
        <w:rPr>
          <w:rFonts w:ascii="Times New Roman" w:hAnsi="Times New Roman" w:cs="Times New Roman"/>
          <w:i/>
          <w:iCs/>
        </w:rPr>
        <w:t>approccio cui si fa riferimento</w:t>
      </w:r>
      <w:r>
        <w:rPr>
          <w:rFonts w:ascii="TimesNewRomanPSMT" w:hAnsi="TimesNewRomanPSMT" w:cs="TimesNewRomanPSMT"/>
        </w:rPr>
        <w:t xml:space="preserve">. Per quanto, per molti studiosi (cfr. tra i tanti de Lillo, Cipolla, </w:t>
      </w:r>
      <w:proofErr w:type="spellStart"/>
      <w:r>
        <w:rPr>
          <w:rFonts w:ascii="TimesNewRomanPSMT" w:hAnsi="TimesNewRomanPSMT" w:cs="TimesNewRomanPSMT"/>
        </w:rPr>
        <w:t>Ruspini</w:t>
      </w:r>
      <w:proofErr w:type="spellEnd"/>
      <w:r>
        <w:rPr>
          <w:rFonts w:ascii="TimesNewRomanPSMT" w:hAnsi="TimesNewRomanPSMT" w:cs="TimesNewRomanPSMT"/>
        </w:rPr>
        <w:t xml:space="preserve">, 2012), tale differenza resti di fatto solo un principio che struttura la fase di costruzione del disegno di ricerca – principio messo continuamente in discussione nella pratica – il linguaggio, le procedure e la dinamica dell’intera esperienza empirica vengono impregnate dai significati che la distinzione d’approccio porta con sé. Gli approcci vigenti nella ricerca sociale sono distinti in tre grandi famiglie: quantitativo o </w:t>
      </w:r>
      <w:r>
        <w:rPr>
          <w:rFonts w:ascii="Times New Roman" w:hAnsi="Times New Roman" w:cs="Times New Roman"/>
          <w:i/>
          <w:iCs/>
        </w:rPr>
        <w:t>standard</w:t>
      </w:r>
      <w:r>
        <w:rPr>
          <w:rFonts w:ascii="TimesNewRomanPSMT" w:hAnsi="TimesNewRomanPSMT" w:cs="TimesNewRomanPSMT"/>
        </w:rPr>
        <w:t xml:space="preserve">, qualitativo o </w:t>
      </w:r>
      <w:r>
        <w:rPr>
          <w:rFonts w:ascii="Times New Roman" w:hAnsi="Times New Roman" w:cs="Times New Roman"/>
          <w:i/>
          <w:iCs/>
        </w:rPr>
        <w:t xml:space="preserve">non standard </w:t>
      </w:r>
      <w:r>
        <w:rPr>
          <w:rFonts w:ascii="TimesNewRomanPSMT" w:hAnsi="TimesNewRomanPSMT" w:cs="TimesNewRomanPSMT"/>
        </w:rPr>
        <w:t xml:space="preserve">e integrato o </w:t>
      </w:r>
      <w:proofErr w:type="spellStart"/>
      <w:r>
        <w:rPr>
          <w:rFonts w:ascii="Times New Roman" w:hAnsi="Times New Roman" w:cs="Times New Roman"/>
          <w:i/>
          <w:iCs/>
        </w:rPr>
        <w:t>mixed</w:t>
      </w:r>
      <w:proofErr w:type="spellEnd"/>
      <w:r>
        <w:rPr>
          <w:rFonts w:ascii="Times New Roman" w:hAnsi="Times New Roman" w:cs="Times New Roman"/>
          <w:i/>
          <w:iCs/>
        </w:rPr>
        <w:t xml:space="preserve"> </w:t>
      </w:r>
      <w:proofErr w:type="spellStart"/>
      <w:r>
        <w:rPr>
          <w:rFonts w:ascii="Times New Roman" w:hAnsi="Times New Roman" w:cs="Times New Roman"/>
          <w:i/>
          <w:iCs/>
        </w:rPr>
        <w:t>methods</w:t>
      </w:r>
      <w:proofErr w:type="spellEnd"/>
      <w:r>
        <w:rPr>
          <w:rFonts w:ascii="TimesNewRomanPSMT" w:hAnsi="TimesNewRomanPSMT" w:cs="TimesNewRomanPSMT"/>
        </w:rPr>
        <w:t>.</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xml:space="preserve">Largo spazio, in questo volume, sarà dato all’approccio </w:t>
      </w:r>
      <w:r>
        <w:rPr>
          <w:rFonts w:ascii="Times New Roman" w:hAnsi="Times New Roman" w:cs="Times New Roman"/>
          <w:i/>
          <w:iCs/>
        </w:rPr>
        <w:t>standard</w:t>
      </w:r>
      <w:r>
        <w:rPr>
          <w:rFonts w:ascii="TimesNewRomanPSMT" w:hAnsi="TimesNewRomanPSMT" w:cs="TimesNewRomanPSMT"/>
        </w:rPr>
        <w:t xml:space="preserve">, in quanto è a partire dai principi che lo strutturano che molte delle altre differenze elencate di seguito possono essere rese possibili. In questa modalità di indagine, i dati sono raccolti su un elevato numero di casi in maniera sistematica (tutte le proprietà oggetto di indagine vengono rilevate nello stesso modo su ciascun caso) con il chiaro intento di lavorare sul rapporto tra le proprietà possedute dai casi oggetto d’indagine più che sull’unitarietà di questi. Ciò in quanto l’obiettivo finale è la generalizzazione o estensione a casi non coinvolti nella ricerca, ma facenti comunque parte della popolazione cui si riferisce l’intero studio. A tale scopo, questo approccio fa ampio utilizzo dell’analisi statistica applicando uno schema procedurale fisso o </w:t>
      </w:r>
      <w:r>
        <w:rPr>
          <w:rFonts w:ascii="Times New Roman" w:hAnsi="Times New Roman" w:cs="Times New Roman"/>
          <w:i/>
          <w:iCs/>
        </w:rPr>
        <w:t>standardizzato</w:t>
      </w:r>
      <w:r>
        <w:rPr>
          <w:rFonts w:ascii="TimesNewRomanPSMT" w:hAnsi="TimesNewRomanPSMT" w:cs="TimesNewRomanPSMT"/>
        </w:rPr>
        <w:t>. Questo si compone essenzialmente di quattro fasi consequenziali (cfr. Gambardella, 2012a, pp. 3-21):</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la progettazione del disegno di ricerca;</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la raccolta dei dati e la costruzione della base empirica;</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l’analisi della documentazione empirica;</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la comunicazione dei risultati.</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xml:space="preserve">Si tratta di un processo circolare che a partire da un dato inquadramento teorico porta alla formulazione di ipotesi specifiche che guidano la ricerca di campo e il recupero di dati, nonché la scelta di strumenti e tecniche di analisi adeguate al fine di produrre risultati validi che possano corroborare le ipotesi di partenza e, quindi, validare o meno la teoria guida. È un processo circolare a lungo raggio che procede in maniera lineare e, spesso, senza consentire </w:t>
      </w:r>
      <w:r>
        <w:rPr>
          <w:rFonts w:ascii="Times New Roman" w:hAnsi="Times New Roman" w:cs="Times New Roman"/>
          <w:i/>
          <w:iCs/>
        </w:rPr>
        <w:t xml:space="preserve">aggiustamenti di rotta </w:t>
      </w:r>
      <w:r>
        <w:rPr>
          <w:rFonts w:ascii="TimesNewRomanPSMT" w:hAnsi="TimesNewRomanPSMT" w:cs="TimesNewRomanPSMT"/>
        </w:rPr>
        <w:t>durante la conduzione dello studio, ciò in quanto la rigidità del procedimento è funzione stessa del suo livello di accuratezza e scientificità.</w:t>
      </w:r>
    </w:p>
    <w:p w:rsidR="00934D60"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Diverso è il discorso per l’</w:t>
      </w:r>
      <w:r>
        <w:rPr>
          <w:rFonts w:ascii="Times New Roman" w:hAnsi="Times New Roman" w:cs="Times New Roman"/>
          <w:i/>
          <w:iCs/>
        </w:rPr>
        <w:t xml:space="preserve">approccio non standard </w:t>
      </w:r>
      <w:r>
        <w:rPr>
          <w:rFonts w:ascii="TimesNewRomanPSMT" w:hAnsi="TimesNewRomanPSMT" w:cs="TimesNewRomanPSMT"/>
        </w:rPr>
        <w:t>con il quale si identifica</w:t>
      </w:r>
      <w:r w:rsidR="00934D60">
        <w:rPr>
          <w:rFonts w:ascii="TimesNewRomanPSMT" w:hAnsi="TimesNewRomanPSMT" w:cs="TimesNewRomanPSMT"/>
        </w:rPr>
        <w:t xml:space="preserve"> </w:t>
      </w:r>
      <w:r>
        <w:rPr>
          <w:rFonts w:ascii="TimesNewRomanPSMT" w:hAnsi="TimesNewRomanPSMT" w:cs="TimesNewRomanPSMT"/>
        </w:rPr>
        <w:t>un’ampia famiglia di procedure di ricerca accomunate dal fatto di abbandonare</w:t>
      </w:r>
      <w:r w:rsidR="00934D60">
        <w:rPr>
          <w:rFonts w:ascii="TimesNewRomanPSMT" w:hAnsi="TimesNewRomanPSMT" w:cs="TimesNewRomanPSMT"/>
        </w:rPr>
        <w:t xml:space="preserve"> </w:t>
      </w:r>
      <w:r>
        <w:rPr>
          <w:rFonts w:ascii="TimesNewRomanPSMT" w:hAnsi="TimesNewRomanPSMT" w:cs="TimesNewRomanPSMT"/>
        </w:rPr>
        <w:t>uno schema rigido e fisso a favore di un’intensa comunicazione</w:t>
      </w:r>
      <w:r w:rsidR="00934D60">
        <w:rPr>
          <w:rFonts w:ascii="TimesNewRomanPSMT" w:hAnsi="TimesNewRomanPSMT" w:cs="TimesNewRomanPSMT"/>
        </w:rPr>
        <w:t xml:space="preserve"> </w:t>
      </w:r>
      <w:r>
        <w:rPr>
          <w:rFonts w:ascii="TimesNewRomanPSMT" w:hAnsi="TimesNewRomanPSMT" w:cs="TimesNewRomanPSMT"/>
        </w:rPr>
        <w:t>tra una fase e l’altra della ricerca e un ritorno all’unitarietà dell’oggetto d’analisi,</w:t>
      </w:r>
      <w:r w:rsidR="00934D60">
        <w:rPr>
          <w:rFonts w:ascii="TimesNewRomanPSMT" w:hAnsi="TimesNewRomanPSMT" w:cs="TimesNewRomanPSMT"/>
        </w:rPr>
        <w:t xml:space="preserve"> </w:t>
      </w:r>
      <w:r>
        <w:rPr>
          <w:rFonts w:ascii="TimesNewRomanPSMT" w:hAnsi="TimesNewRomanPSMT" w:cs="TimesNewRomanPSMT"/>
        </w:rPr>
        <w:t>per cui fondamentale diviene non quanti oggetti o casi vengono indagati,</w:t>
      </w:r>
      <w:r w:rsidR="00934D60">
        <w:rPr>
          <w:rFonts w:ascii="TimesNewRomanPSMT" w:hAnsi="TimesNewRomanPSMT" w:cs="TimesNewRomanPSMT"/>
        </w:rPr>
        <w:t xml:space="preserve"> </w:t>
      </w:r>
      <w:r>
        <w:rPr>
          <w:rFonts w:ascii="TimesNewRomanPSMT" w:hAnsi="TimesNewRomanPSMT" w:cs="TimesNewRomanPSMT"/>
        </w:rPr>
        <w:t xml:space="preserve">ma quali e con </w:t>
      </w:r>
      <w:r>
        <w:rPr>
          <w:rFonts w:ascii="TimesNewRomanPSMT" w:hAnsi="TimesNewRomanPSMT" w:cs="TimesNewRomanPSMT"/>
        </w:rPr>
        <w:lastRenderedPageBreak/>
        <w:t>quali criteri. Non si può parlare, per questo approccio,</w:t>
      </w:r>
      <w:r w:rsidR="00934D60">
        <w:rPr>
          <w:rFonts w:ascii="TimesNewRomanPSMT" w:hAnsi="TimesNewRomanPSMT" w:cs="TimesNewRomanPSMT"/>
        </w:rPr>
        <w:t xml:space="preserve"> </w:t>
      </w:r>
      <w:r>
        <w:rPr>
          <w:rFonts w:ascii="TimesNewRomanPSMT" w:hAnsi="TimesNewRomanPSMT" w:cs="TimesNewRomanPSMT"/>
        </w:rPr>
        <w:t>di un vero e proprio disegno di ricerca inteso quale struttura formalizzata</w:t>
      </w:r>
      <w:r w:rsidR="00934D60">
        <w:rPr>
          <w:rFonts w:ascii="TimesNewRomanPSMT" w:hAnsi="TimesNewRomanPSMT" w:cs="TimesNewRomanPSMT"/>
        </w:rPr>
        <w:t xml:space="preserve"> </w:t>
      </w:r>
      <w:r>
        <w:rPr>
          <w:rFonts w:ascii="TimesNewRomanPSMT" w:hAnsi="TimesNewRomanPSMT" w:cs="TimesNewRomanPSMT"/>
        </w:rPr>
        <w:t>di azioni e procedure che guidano la ricerca empirica, ma esistono una</w:t>
      </w:r>
      <w:r w:rsidR="00934D60">
        <w:rPr>
          <w:rFonts w:ascii="TimesNewRomanPSMT" w:hAnsi="TimesNewRomanPSMT" w:cs="TimesNewRomanPSMT"/>
        </w:rPr>
        <w:t xml:space="preserve"> </w:t>
      </w:r>
      <w:r>
        <w:rPr>
          <w:rFonts w:ascii="TimesNewRomanPSMT" w:hAnsi="TimesNewRomanPSMT" w:cs="TimesNewRomanPSMT"/>
        </w:rPr>
        <w:t>serie di suggestioni più o meno sviluppate che vengono messe in campo e</w:t>
      </w:r>
      <w:r w:rsidR="00934D60">
        <w:rPr>
          <w:rFonts w:ascii="TimesNewRomanPSMT" w:hAnsi="TimesNewRomanPSMT" w:cs="TimesNewRomanPSMT"/>
        </w:rPr>
        <w:t xml:space="preserve"> </w:t>
      </w:r>
      <w:r>
        <w:rPr>
          <w:rFonts w:ascii="TimesNewRomanPSMT" w:hAnsi="TimesNewRomanPSMT" w:cs="TimesNewRomanPSMT"/>
        </w:rPr>
        <w:t>lasciate esplodere nel divenire e nel procedere della ricerca stessa. Si predilige</w:t>
      </w:r>
      <w:r w:rsidR="00934D60">
        <w:rPr>
          <w:rFonts w:ascii="TimesNewRomanPSMT" w:hAnsi="TimesNewRomanPSMT" w:cs="TimesNewRomanPSMT"/>
        </w:rPr>
        <w:t xml:space="preserve"> </w:t>
      </w:r>
      <w:r>
        <w:rPr>
          <w:rFonts w:ascii="TimesNewRomanPSMT" w:hAnsi="TimesNewRomanPSMT" w:cs="TimesNewRomanPSMT"/>
        </w:rPr>
        <w:t>uno studio in profondità nel quale perdono di rilievo le proprietà e le</w:t>
      </w:r>
      <w:r w:rsidR="00934D60">
        <w:rPr>
          <w:rFonts w:ascii="TimesNewRomanPSMT" w:hAnsi="TimesNewRomanPSMT" w:cs="TimesNewRomanPSMT"/>
        </w:rPr>
        <w:t xml:space="preserve"> </w:t>
      </w:r>
      <w:r>
        <w:rPr>
          <w:rFonts w:ascii="TimesNewRomanPSMT" w:hAnsi="TimesNewRomanPSMT" w:cs="TimesNewRomanPSMT"/>
        </w:rPr>
        <w:t>loro interconnessioni e trovano spazio la complessità dell’oggetto d’analisi,</w:t>
      </w:r>
      <w:r w:rsidR="00934D60">
        <w:rPr>
          <w:rFonts w:ascii="TimesNewRomanPSMT" w:hAnsi="TimesNewRomanPSMT" w:cs="TimesNewRomanPSMT"/>
        </w:rPr>
        <w:t xml:space="preserve"> </w:t>
      </w:r>
      <w:r>
        <w:rPr>
          <w:rFonts w:ascii="TimesNewRomanPSMT" w:hAnsi="TimesNewRomanPSMT" w:cs="TimesNewRomanPSMT"/>
        </w:rPr>
        <w:t>le sue caratteristiche e i suoi attributi specifici. La teoria, più che guidare il</w:t>
      </w:r>
      <w:r w:rsidR="00934D60">
        <w:rPr>
          <w:rFonts w:ascii="TimesNewRomanPSMT" w:hAnsi="TimesNewRomanPSMT" w:cs="TimesNewRomanPSMT"/>
        </w:rPr>
        <w:t xml:space="preserve"> </w:t>
      </w:r>
      <w:r>
        <w:rPr>
          <w:rFonts w:ascii="TimesNewRomanPSMT" w:hAnsi="TimesNewRomanPSMT" w:cs="TimesNewRomanPSMT"/>
        </w:rPr>
        <w:t>processo di ricerca, emerge da esso e le ipotesi, invece che da traino, fanno</w:t>
      </w:r>
      <w:r w:rsidR="00934D60">
        <w:rPr>
          <w:rFonts w:ascii="TimesNewRomanPSMT" w:hAnsi="TimesNewRomanPSMT" w:cs="TimesNewRomanPSMT"/>
        </w:rPr>
        <w:t xml:space="preserve"> </w:t>
      </w:r>
      <w:r>
        <w:rPr>
          <w:rFonts w:ascii="TimesNewRomanPSMT" w:hAnsi="TimesNewRomanPSMT" w:cs="TimesNewRomanPSMT"/>
        </w:rPr>
        <w:t>da nuovo orizzonte di scoperta pronto ad accogliere l’inatteso.</w:t>
      </w:r>
      <w:r w:rsidR="00934D60">
        <w:rPr>
          <w:rFonts w:ascii="TimesNewRomanPSMT" w:hAnsi="TimesNewRomanPSMT" w:cs="TimesNewRomanPSMT"/>
        </w:rPr>
        <w:t xml:space="preserve"> </w:t>
      </w:r>
    </w:p>
    <w:p w:rsidR="00934D60"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Gli approcci appena descritti, seppur brevemente, lasciano intravedere</w:t>
      </w:r>
      <w:r w:rsidR="00934D60">
        <w:rPr>
          <w:rFonts w:ascii="TimesNewRomanPSMT" w:hAnsi="TimesNewRomanPSMT" w:cs="TimesNewRomanPSMT"/>
        </w:rPr>
        <w:t xml:space="preserve"> </w:t>
      </w:r>
      <w:r>
        <w:rPr>
          <w:rFonts w:ascii="TimesNewRomanPSMT" w:hAnsi="TimesNewRomanPSMT" w:cs="TimesNewRomanPSMT"/>
        </w:rPr>
        <w:t>due modi di concepire la ricerca di campo, nonché il disegno che la precede,</w:t>
      </w:r>
      <w:r w:rsidR="00934D60">
        <w:rPr>
          <w:rFonts w:ascii="TimesNewRomanPSMT" w:hAnsi="TimesNewRomanPSMT" w:cs="TimesNewRomanPSMT"/>
        </w:rPr>
        <w:t xml:space="preserve"> </w:t>
      </w:r>
      <w:r>
        <w:rPr>
          <w:rFonts w:ascii="TimesNewRomanPSMT" w:hAnsi="TimesNewRomanPSMT" w:cs="TimesNewRomanPSMT"/>
        </w:rPr>
        <w:t>come diametralmente opposti. Il dibattito scientifico in merito, però, è</w:t>
      </w:r>
      <w:r w:rsidR="00934D60">
        <w:rPr>
          <w:rFonts w:ascii="TimesNewRomanPSMT" w:hAnsi="TimesNewRomanPSMT" w:cs="TimesNewRomanPSMT"/>
        </w:rPr>
        <w:t xml:space="preserve"> </w:t>
      </w:r>
      <w:r>
        <w:rPr>
          <w:rFonts w:ascii="TimesNewRomanPSMT" w:hAnsi="TimesNewRomanPSMT" w:cs="TimesNewRomanPSMT"/>
        </w:rPr>
        <w:t>proliferato di contributi tesi a integrare i due approcci e a mettere in discussione</w:t>
      </w:r>
      <w:r w:rsidR="00934D60">
        <w:rPr>
          <w:rFonts w:ascii="TimesNewRomanPSMT" w:hAnsi="TimesNewRomanPSMT" w:cs="TimesNewRomanPSMT"/>
        </w:rPr>
        <w:t xml:space="preserve"> </w:t>
      </w:r>
      <w:r>
        <w:rPr>
          <w:rFonts w:ascii="TimesNewRomanPSMT" w:hAnsi="TimesNewRomanPSMT" w:cs="TimesNewRomanPSMT"/>
        </w:rPr>
        <w:t xml:space="preserve">l’esistenza stessa di una dicotomia tra i due. Difatti, nei progetti </w:t>
      </w:r>
      <w:proofErr w:type="spellStart"/>
      <w:r>
        <w:rPr>
          <w:rFonts w:ascii="TimesNewRomanPSMT" w:hAnsi="TimesNewRomanPSMT" w:cs="TimesNewRomanPSMT"/>
        </w:rPr>
        <w:t>diricerca</w:t>
      </w:r>
      <w:proofErr w:type="spellEnd"/>
      <w:r>
        <w:rPr>
          <w:rFonts w:ascii="TimesNewRomanPSMT" w:hAnsi="TimesNewRomanPSMT" w:cs="TimesNewRomanPSMT"/>
        </w:rPr>
        <w:t xml:space="preserve"> al purismo di metodo si predilige, sempre più spesso, la ricchezza</w:t>
      </w:r>
      <w:r w:rsidR="00934D60">
        <w:rPr>
          <w:rFonts w:ascii="TimesNewRomanPSMT" w:hAnsi="TimesNewRomanPSMT" w:cs="TimesNewRomanPSMT"/>
        </w:rPr>
        <w:t xml:space="preserve"> </w:t>
      </w:r>
      <w:r>
        <w:rPr>
          <w:rFonts w:ascii="TimesNewRomanPSMT" w:hAnsi="TimesNewRomanPSMT" w:cs="TimesNewRomanPSMT"/>
        </w:rPr>
        <w:t>dei contributi che ciascuno di essi può portare. Una ricchezza che se vista</w:t>
      </w:r>
      <w:r w:rsidR="00934D60">
        <w:rPr>
          <w:rFonts w:ascii="TimesNewRomanPSMT" w:hAnsi="TimesNewRomanPSMT" w:cs="TimesNewRomanPSMT"/>
        </w:rPr>
        <w:t xml:space="preserve"> </w:t>
      </w:r>
      <w:r>
        <w:rPr>
          <w:rFonts w:ascii="TimesNewRomanPSMT" w:hAnsi="TimesNewRomanPSMT" w:cs="TimesNewRomanPSMT"/>
        </w:rPr>
        <w:t>come ricerca della convergenza dei risultati dell’applicazione di metodi differenti</w:t>
      </w:r>
      <w:r w:rsidR="00934D60">
        <w:rPr>
          <w:rFonts w:ascii="TimesNewRomanPSMT" w:hAnsi="TimesNewRomanPSMT" w:cs="TimesNewRomanPSMT"/>
        </w:rPr>
        <w:t xml:space="preserve"> </w:t>
      </w:r>
      <w:r>
        <w:rPr>
          <w:rFonts w:ascii="TimesNewRomanPSMT" w:hAnsi="TimesNewRomanPSMT" w:cs="TimesNewRomanPSMT"/>
        </w:rPr>
        <w:t>viene definita quale triangolazione, mentre, se lascia spazio a possibili</w:t>
      </w:r>
      <w:r w:rsidR="00934D60">
        <w:rPr>
          <w:rFonts w:ascii="TimesNewRomanPSMT" w:hAnsi="TimesNewRomanPSMT" w:cs="TimesNewRomanPSMT"/>
        </w:rPr>
        <w:t xml:space="preserve"> </w:t>
      </w:r>
      <w:r>
        <w:rPr>
          <w:rFonts w:ascii="TimesNewRomanPSMT" w:hAnsi="TimesNewRomanPSMT" w:cs="TimesNewRomanPSMT"/>
        </w:rPr>
        <w:t>divergenze ed emersione di nuove suggestioni di ricerca strutturandosi</w:t>
      </w:r>
      <w:r w:rsidR="00934D60">
        <w:rPr>
          <w:rFonts w:ascii="TimesNewRomanPSMT" w:hAnsi="TimesNewRomanPSMT" w:cs="TimesNewRomanPSMT"/>
        </w:rPr>
        <w:t xml:space="preserve"> </w:t>
      </w:r>
      <w:r>
        <w:rPr>
          <w:rFonts w:ascii="Times New Roman" w:hAnsi="Times New Roman" w:cs="Times New Roman"/>
          <w:i/>
          <w:iCs/>
        </w:rPr>
        <w:t xml:space="preserve">in itinere </w:t>
      </w:r>
      <w:r>
        <w:rPr>
          <w:rFonts w:ascii="TimesNewRomanPSMT" w:hAnsi="TimesNewRomanPSMT" w:cs="TimesNewRomanPSMT"/>
        </w:rPr>
        <w:t xml:space="preserve">sia in via sequenziale che concomitante, viene definita </w:t>
      </w:r>
      <w:proofErr w:type="spellStart"/>
      <w:r>
        <w:rPr>
          <w:rFonts w:ascii="Times New Roman" w:hAnsi="Times New Roman" w:cs="Times New Roman"/>
          <w:i/>
          <w:iCs/>
        </w:rPr>
        <w:t>mixed</w:t>
      </w:r>
      <w:proofErr w:type="spellEnd"/>
      <w:r>
        <w:rPr>
          <w:rFonts w:ascii="Times New Roman" w:hAnsi="Times New Roman" w:cs="Times New Roman"/>
          <w:i/>
          <w:iCs/>
        </w:rPr>
        <w:t xml:space="preserve"> </w:t>
      </w:r>
      <w:proofErr w:type="spellStart"/>
      <w:r>
        <w:rPr>
          <w:rFonts w:ascii="Times New Roman" w:hAnsi="Times New Roman" w:cs="Times New Roman"/>
          <w:i/>
          <w:iCs/>
        </w:rPr>
        <w:t>methods</w:t>
      </w:r>
      <w:proofErr w:type="spellEnd"/>
      <w:r w:rsidR="00934D60">
        <w:rPr>
          <w:rFonts w:ascii="Times New Roman" w:hAnsi="Times New Roman" w:cs="Times New Roman"/>
          <w:i/>
          <w:iCs/>
        </w:rPr>
        <w:t xml:space="preserve"> </w:t>
      </w:r>
      <w:r>
        <w:rPr>
          <w:rFonts w:ascii="TimesNewRomanPSMT" w:hAnsi="TimesNewRomanPSMT" w:cs="TimesNewRomanPSMT"/>
        </w:rPr>
        <w:t>(</w:t>
      </w:r>
      <w:proofErr w:type="spellStart"/>
      <w:r>
        <w:rPr>
          <w:rFonts w:ascii="TimesNewRomanPSMT" w:hAnsi="TimesNewRomanPSMT" w:cs="TimesNewRomanPSMT"/>
        </w:rPr>
        <w:t>Amaturo</w:t>
      </w:r>
      <w:proofErr w:type="spellEnd"/>
      <w:r>
        <w:rPr>
          <w:rFonts w:ascii="TimesNewRomanPSMT" w:hAnsi="TimesNewRomanPSMT" w:cs="TimesNewRomanPSMT"/>
        </w:rPr>
        <w:t>, Punziano, 2016). Riconoscendo la reale impossibilità di</w:t>
      </w:r>
      <w:r w:rsidR="00934D60">
        <w:rPr>
          <w:rFonts w:ascii="TimesNewRomanPSMT" w:hAnsi="TimesNewRomanPSMT" w:cs="TimesNewRomanPSMT"/>
        </w:rPr>
        <w:t xml:space="preserve"> </w:t>
      </w:r>
      <w:r>
        <w:rPr>
          <w:rFonts w:ascii="TimesNewRomanPSMT" w:hAnsi="TimesNewRomanPSMT" w:cs="TimesNewRomanPSMT"/>
        </w:rPr>
        <w:t>rendere nello spazio di questo volume la complessità di un dibattito così acceso</w:t>
      </w:r>
      <w:r w:rsidR="00934D60">
        <w:rPr>
          <w:rFonts w:ascii="TimesNewRomanPSMT" w:hAnsi="TimesNewRomanPSMT" w:cs="TimesNewRomanPSMT"/>
        </w:rPr>
        <w:t xml:space="preserve"> </w:t>
      </w:r>
      <w:r>
        <w:rPr>
          <w:rFonts w:ascii="TimesNewRomanPSMT" w:hAnsi="TimesNewRomanPSMT" w:cs="TimesNewRomanPSMT"/>
        </w:rPr>
        <w:t>e in evoluzione costante negli ultimi anni, ci basta qui dire che l’</w:t>
      </w:r>
      <w:proofErr w:type="spellStart"/>
      <w:r>
        <w:rPr>
          <w:rFonts w:ascii="TimesNewRomanPSMT" w:hAnsi="TimesNewRomanPSMT" w:cs="TimesNewRomanPSMT"/>
        </w:rPr>
        <w:t>approccio</w:t>
      </w:r>
      <w:r>
        <w:rPr>
          <w:rFonts w:ascii="Times New Roman" w:hAnsi="Times New Roman" w:cs="Times New Roman"/>
          <w:i/>
          <w:iCs/>
        </w:rPr>
        <w:t>mix</w:t>
      </w:r>
      <w:proofErr w:type="spellEnd"/>
      <w:r>
        <w:rPr>
          <w:rFonts w:ascii="Times New Roman" w:hAnsi="Times New Roman" w:cs="Times New Roman"/>
          <w:i/>
          <w:iCs/>
        </w:rPr>
        <w:t xml:space="preserve"> </w:t>
      </w:r>
      <w:r>
        <w:rPr>
          <w:rFonts w:ascii="TimesNewRomanPSMT" w:hAnsi="TimesNewRomanPSMT" w:cs="TimesNewRomanPSMT"/>
        </w:rPr>
        <w:t xml:space="preserve">ambisce attualmente ad assumere lo </w:t>
      </w:r>
      <w:r>
        <w:rPr>
          <w:rFonts w:ascii="Times New Roman" w:hAnsi="Times New Roman" w:cs="Times New Roman"/>
          <w:i/>
          <w:iCs/>
        </w:rPr>
        <w:t xml:space="preserve">status </w:t>
      </w:r>
      <w:r>
        <w:rPr>
          <w:rFonts w:ascii="TimesNewRomanPSMT" w:hAnsi="TimesNewRomanPSMT" w:cs="TimesNewRomanPSMT"/>
        </w:rPr>
        <w:t xml:space="preserve">di terzo </w:t>
      </w:r>
      <w:proofErr w:type="spellStart"/>
      <w:r>
        <w:rPr>
          <w:rFonts w:ascii="TimesNewRomanPSMT" w:hAnsi="TimesNewRomanPSMT" w:cs="TimesNewRomanPSMT"/>
        </w:rPr>
        <w:t>approccionella</w:t>
      </w:r>
      <w:proofErr w:type="spellEnd"/>
      <w:r>
        <w:rPr>
          <w:rFonts w:ascii="TimesNewRomanPSMT" w:hAnsi="TimesNewRomanPSMT" w:cs="TimesNewRomanPSMT"/>
        </w:rPr>
        <w:t xml:space="preserve"> ricerca sociale, capace di superare la dicotomia e la fondatezza della</w:t>
      </w:r>
      <w:r w:rsidR="00934D60">
        <w:rPr>
          <w:rFonts w:ascii="TimesNewRomanPSMT" w:hAnsi="TimesNewRomanPSMT" w:cs="TimesNewRomanPSMT"/>
        </w:rPr>
        <w:t xml:space="preserve"> </w:t>
      </w:r>
      <w:r>
        <w:rPr>
          <w:rFonts w:ascii="TimesNewRomanPSMT" w:hAnsi="TimesNewRomanPSMT" w:cs="TimesNewRomanPSMT"/>
        </w:rPr>
        <w:t xml:space="preserve">distinzione tra quantità e qualità a favore di un approccio integrale e </w:t>
      </w:r>
      <w:proofErr w:type="spellStart"/>
      <w:r>
        <w:rPr>
          <w:rFonts w:ascii="TimesNewRomanPSMT" w:hAnsi="TimesNewRomanPSMT" w:cs="TimesNewRomanPSMT"/>
        </w:rPr>
        <w:t>integratoalla</w:t>
      </w:r>
      <w:proofErr w:type="spellEnd"/>
      <w:r>
        <w:rPr>
          <w:rFonts w:ascii="TimesNewRomanPSMT" w:hAnsi="TimesNewRomanPSMT" w:cs="TimesNewRomanPSMT"/>
        </w:rPr>
        <w:t xml:space="preserve"> ricerca sociale, capace di coglierne sfumature e profondità, </w:t>
      </w:r>
      <w:proofErr w:type="spellStart"/>
      <w:r>
        <w:rPr>
          <w:rFonts w:ascii="TimesNewRomanPSMT" w:hAnsi="TimesNewRomanPSMT" w:cs="TimesNewRomanPSMT"/>
        </w:rPr>
        <w:t>dimensionie</w:t>
      </w:r>
      <w:proofErr w:type="spellEnd"/>
      <w:r>
        <w:rPr>
          <w:rFonts w:ascii="TimesNewRomanPSMT" w:hAnsi="TimesNewRomanPSMT" w:cs="TimesNewRomanPSMT"/>
        </w:rPr>
        <w:t xml:space="preserve"> portata dei fenomeni complessi di cui si compone il reale (cfr.</w:t>
      </w:r>
      <w:r w:rsidR="00934D60">
        <w:rPr>
          <w:rFonts w:ascii="TimesNewRomanPSMT" w:hAnsi="TimesNewRomanPSMT" w:cs="TimesNewRomanPSMT"/>
        </w:rPr>
        <w:t xml:space="preserve"> </w:t>
      </w:r>
      <w:proofErr w:type="spellStart"/>
      <w:r>
        <w:rPr>
          <w:rFonts w:ascii="TimesNewRomanPSMT" w:hAnsi="TimesNewRomanPSMT" w:cs="TimesNewRomanPSMT"/>
        </w:rPr>
        <w:t>Cresswell</w:t>
      </w:r>
      <w:proofErr w:type="spellEnd"/>
      <w:r>
        <w:rPr>
          <w:rFonts w:ascii="TimesNewRomanPSMT" w:hAnsi="TimesNewRomanPSMT" w:cs="TimesNewRomanPSMT"/>
        </w:rPr>
        <w:t xml:space="preserve">, 2003; </w:t>
      </w:r>
      <w:proofErr w:type="spellStart"/>
      <w:r>
        <w:rPr>
          <w:rFonts w:ascii="TimesNewRomanPSMT" w:hAnsi="TimesNewRomanPSMT" w:cs="TimesNewRomanPSMT"/>
        </w:rPr>
        <w:t>Taschakkori</w:t>
      </w:r>
      <w:proofErr w:type="spellEnd"/>
      <w:r>
        <w:rPr>
          <w:rFonts w:ascii="TimesNewRomanPSMT" w:hAnsi="TimesNewRomanPSMT" w:cs="TimesNewRomanPSMT"/>
        </w:rPr>
        <w:t xml:space="preserve"> e </w:t>
      </w:r>
      <w:proofErr w:type="spellStart"/>
      <w:r>
        <w:rPr>
          <w:rFonts w:ascii="TimesNewRomanPSMT" w:hAnsi="TimesNewRomanPSMT" w:cs="TimesNewRomanPSMT"/>
        </w:rPr>
        <w:t>Teddlie</w:t>
      </w:r>
      <w:proofErr w:type="spellEnd"/>
      <w:r>
        <w:rPr>
          <w:rFonts w:ascii="TimesNewRomanPSMT" w:hAnsi="TimesNewRomanPSMT" w:cs="TimesNewRomanPSMT"/>
        </w:rPr>
        <w:t>, 2010, Punziano, 2012a).</w:t>
      </w:r>
    </w:p>
    <w:p w:rsidR="00264DDB"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xml:space="preserve">La seconda distinzione è quella che attiene la </w:t>
      </w:r>
      <w:r>
        <w:rPr>
          <w:rFonts w:ascii="Times New Roman" w:hAnsi="Times New Roman" w:cs="Times New Roman"/>
          <w:i/>
          <w:iCs/>
        </w:rPr>
        <w:t>fase di raccolta e costruzione</w:t>
      </w:r>
      <w:r w:rsidR="00934D60">
        <w:rPr>
          <w:rFonts w:ascii="Times New Roman" w:hAnsi="Times New Roman" w:cs="Times New Roman"/>
          <w:i/>
          <w:iCs/>
        </w:rPr>
        <w:t xml:space="preserve"> </w:t>
      </w:r>
      <w:r>
        <w:rPr>
          <w:rFonts w:ascii="Times New Roman" w:hAnsi="Times New Roman" w:cs="Times New Roman"/>
          <w:i/>
          <w:iCs/>
        </w:rPr>
        <w:t>della base empirica</w:t>
      </w:r>
      <w:r>
        <w:rPr>
          <w:rFonts w:ascii="TimesNewRomanPSMT" w:hAnsi="TimesNewRomanPSMT" w:cs="TimesNewRomanPSMT"/>
        </w:rPr>
        <w:t xml:space="preserve">. Essa concerne la </w:t>
      </w:r>
      <w:r>
        <w:rPr>
          <w:rFonts w:ascii="Times New Roman" w:hAnsi="Times New Roman" w:cs="Times New Roman"/>
          <w:i/>
          <w:iCs/>
        </w:rPr>
        <w:t>scelta del tipo di dati da indagare</w:t>
      </w:r>
      <w:r w:rsidR="00934D60">
        <w:rPr>
          <w:rFonts w:ascii="Times New Roman" w:hAnsi="Times New Roman" w:cs="Times New Roman"/>
          <w:i/>
          <w:iCs/>
        </w:rPr>
        <w:t xml:space="preserve"> </w:t>
      </w:r>
      <w:r>
        <w:rPr>
          <w:rFonts w:ascii="TimesNewRomanPSMT" w:hAnsi="TimesNewRomanPSMT" w:cs="TimesNewRomanPSMT"/>
        </w:rPr>
        <w:t>ed, essenzialmente, la differenza che emerge tra ricerche basate sull’analisi</w:t>
      </w:r>
      <w:r w:rsidR="00934D60">
        <w:rPr>
          <w:rFonts w:ascii="TimesNewRomanPSMT" w:hAnsi="TimesNewRomanPSMT" w:cs="TimesNewRomanPSMT"/>
        </w:rPr>
        <w:t xml:space="preserve"> </w:t>
      </w:r>
      <w:r>
        <w:rPr>
          <w:rFonts w:ascii="TimesNewRomanPSMT" w:hAnsi="TimesNewRomanPSMT" w:cs="TimesNewRomanPSMT"/>
        </w:rPr>
        <w:t>di dati primari e quelle basate sull’analisi di dati secondari.</w:t>
      </w:r>
      <w:r w:rsidR="00934D60">
        <w:rPr>
          <w:rFonts w:ascii="TimesNewRomanPSMT" w:hAnsi="TimesNewRomanPSMT" w:cs="TimesNewRomanPSMT"/>
        </w:rPr>
        <w:t xml:space="preserve"> </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Le analisi con dati primari sono condotte su dati raccolti mediante indagini</w:t>
      </w:r>
      <w:r w:rsidR="00934D60">
        <w:rPr>
          <w:rFonts w:ascii="TimesNewRomanPSMT" w:hAnsi="TimesNewRomanPSMT" w:cs="TimesNewRomanPSMT"/>
        </w:rPr>
        <w:t xml:space="preserve"> </w:t>
      </w:r>
      <w:r>
        <w:rPr>
          <w:rFonts w:ascii="TimesNewRomanPSMT" w:hAnsi="TimesNewRomanPSMT" w:cs="TimesNewRomanPSMT"/>
        </w:rPr>
        <w:t xml:space="preserve">statistiche </w:t>
      </w:r>
      <w:r>
        <w:rPr>
          <w:rFonts w:ascii="Times New Roman" w:hAnsi="Times New Roman" w:cs="Times New Roman"/>
          <w:i/>
          <w:iCs/>
        </w:rPr>
        <w:t xml:space="preserve">ad hoc </w:t>
      </w:r>
      <w:r>
        <w:rPr>
          <w:rFonts w:ascii="TimesNewRomanPSMT" w:hAnsi="TimesNewRomanPSMT" w:cs="TimesNewRomanPSMT"/>
        </w:rPr>
        <w:t>e cioè rilevazioni tarate sull’effettiva necessità analitica</w:t>
      </w:r>
      <w:r w:rsidR="00934D60">
        <w:rPr>
          <w:rFonts w:ascii="TimesNewRomanPSMT" w:hAnsi="TimesNewRomanPSMT" w:cs="TimesNewRomanPSMT"/>
        </w:rPr>
        <w:t xml:space="preserve"> </w:t>
      </w:r>
      <w:r>
        <w:rPr>
          <w:rFonts w:ascii="TimesNewRomanPSMT" w:hAnsi="TimesNewRomanPSMT" w:cs="TimesNewRomanPSMT"/>
        </w:rPr>
        <w:t>cui si intende dare eventuali riscontri e risposte. Si tratta, pertanto, di</w:t>
      </w:r>
      <w:r w:rsidR="00934D60">
        <w:rPr>
          <w:rFonts w:ascii="TimesNewRomanPSMT" w:hAnsi="TimesNewRomanPSMT" w:cs="TimesNewRomanPSMT"/>
        </w:rPr>
        <w:t xml:space="preserve"> </w:t>
      </w:r>
      <w:r>
        <w:rPr>
          <w:rFonts w:ascii="TimesNewRomanPSMT" w:hAnsi="TimesNewRomanPSMT" w:cs="TimesNewRomanPSMT"/>
        </w:rPr>
        <w:t>una raccolta diretta di informazioni su di un campione o una popolazione di</w:t>
      </w:r>
      <w:r w:rsidR="00934D60">
        <w:rPr>
          <w:rFonts w:ascii="TimesNewRomanPSMT" w:hAnsi="TimesNewRomanPSMT" w:cs="TimesNewRomanPSMT"/>
        </w:rPr>
        <w:t xml:space="preserve"> </w:t>
      </w:r>
      <w:r>
        <w:rPr>
          <w:rFonts w:ascii="TimesNewRomanPSMT" w:hAnsi="TimesNewRomanPSMT" w:cs="TimesNewRomanPSMT"/>
        </w:rPr>
        <w:t>individui, enti, gruppi, istituzioni, eventi. Molto spesso tale tipo di dato si</w:t>
      </w:r>
      <w:r w:rsidR="00264DDB">
        <w:rPr>
          <w:rFonts w:ascii="TimesNewRomanPSMT" w:hAnsi="TimesNewRomanPSMT" w:cs="TimesNewRomanPSMT"/>
        </w:rPr>
        <w:t xml:space="preserve"> </w:t>
      </w:r>
      <w:r>
        <w:rPr>
          <w:rFonts w:ascii="TimesNewRomanPSMT" w:hAnsi="TimesNewRomanPSMT" w:cs="TimesNewRomanPSMT"/>
        </w:rPr>
        <w:t>associa bene a una logica investigativa di tipo esplorativo-descrittivo, questo</w:t>
      </w:r>
      <w:r w:rsidR="00264DDB">
        <w:rPr>
          <w:rFonts w:ascii="TimesNewRomanPSMT" w:hAnsi="TimesNewRomanPSMT" w:cs="TimesNewRomanPSMT"/>
        </w:rPr>
        <w:t xml:space="preserve"> </w:t>
      </w:r>
      <w:r>
        <w:rPr>
          <w:rFonts w:ascii="TimesNewRomanPSMT" w:hAnsi="TimesNewRomanPSMT" w:cs="TimesNewRomanPSMT"/>
        </w:rPr>
        <w:t>soprattutto per il notevole investimento di risorse economiche e di tempo</w:t>
      </w:r>
      <w:r w:rsidR="00264DDB">
        <w:rPr>
          <w:rFonts w:ascii="TimesNewRomanPSMT" w:hAnsi="TimesNewRomanPSMT" w:cs="TimesNewRomanPSMT"/>
        </w:rPr>
        <w:t xml:space="preserve"> </w:t>
      </w:r>
      <w:r>
        <w:rPr>
          <w:rFonts w:ascii="TimesNewRomanPSMT" w:hAnsi="TimesNewRomanPSMT" w:cs="TimesNewRomanPSMT"/>
        </w:rPr>
        <w:t>necessarie per la rilevazione stessa. D’altro canto, le analisi che si avvalgono</w:t>
      </w:r>
      <w:r w:rsidR="00264DDB">
        <w:rPr>
          <w:rFonts w:ascii="TimesNewRomanPSMT" w:hAnsi="TimesNewRomanPSMT" w:cs="TimesNewRomanPSMT"/>
        </w:rPr>
        <w:t xml:space="preserve"> </w:t>
      </w:r>
      <w:r>
        <w:rPr>
          <w:rFonts w:ascii="TimesNewRomanPSMT" w:hAnsi="TimesNewRomanPSMT" w:cs="TimesNewRomanPSMT"/>
        </w:rPr>
        <w:t>di dati secondari fanno ricorso a dati già disponibili, raccolti pertanto</w:t>
      </w:r>
      <w:r w:rsidR="00264DDB">
        <w:rPr>
          <w:rFonts w:ascii="TimesNewRomanPSMT" w:hAnsi="TimesNewRomanPSMT" w:cs="TimesNewRomanPSMT"/>
        </w:rPr>
        <w:t xml:space="preserve"> </w:t>
      </w:r>
      <w:r>
        <w:rPr>
          <w:rFonts w:ascii="TimesNewRomanPSMT" w:hAnsi="TimesNewRomanPSMT" w:cs="TimesNewRomanPSMT"/>
        </w:rPr>
        <w:t>con obiettivi diversi rispetto a quelli propri della ricerca che si sta conducendo.</w:t>
      </w:r>
      <w:r w:rsidR="00264DDB">
        <w:rPr>
          <w:rFonts w:ascii="TimesNewRomanPSMT" w:hAnsi="TimesNewRomanPSMT" w:cs="TimesNewRomanPSMT"/>
        </w:rPr>
        <w:t xml:space="preserve"> </w:t>
      </w:r>
      <w:r>
        <w:rPr>
          <w:rFonts w:ascii="TimesNewRomanPSMT" w:hAnsi="TimesNewRomanPSMT" w:cs="TimesNewRomanPSMT"/>
        </w:rPr>
        <w:t xml:space="preserve">Questo carattere di </w:t>
      </w:r>
      <w:proofErr w:type="spellStart"/>
      <w:r>
        <w:rPr>
          <w:rFonts w:ascii="TimesNewRomanPSMT" w:hAnsi="TimesNewRomanPSMT" w:cs="TimesNewRomanPSMT"/>
        </w:rPr>
        <w:t>pre</w:t>
      </w:r>
      <w:proofErr w:type="spellEnd"/>
      <w:r>
        <w:rPr>
          <w:rFonts w:ascii="TimesNewRomanPSMT" w:hAnsi="TimesNewRomanPSMT" w:cs="TimesNewRomanPSMT"/>
        </w:rPr>
        <w:t>-esistenza, consente, da una parte, di ridurre</w:t>
      </w:r>
      <w:r w:rsidR="00264DDB">
        <w:rPr>
          <w:rFonts w:ascii="TimesNewRomanPSMT" w:hAnsi="TimesNewRomanPSMT" w:cs="TimesNewRomanPSMT"/>
        </w:rPr>
        <w:t xml:space="preserve"> </w:t>
      </w:r>
      <w:r>
        <w:rPr>
          <w:rFonts w:ascii="TimesNewRomanPSMT" w:hAnsi="TimesNewRomanPSMT" w:cs="TimesNewRomanPSMT"/>
        </w:rPr>
        <w:t>abissalmente tempi e costi della rilevazione ma, dall’altra, induce a modellare</w:t>
      </w:r>
      <w:r w:rsidR="00264DDB">
        <w:rPr>
          <w:rFonts w:ascii="TimesNewRomanPSMT" w:hAnsi="TimesNewRomanPSMT" w:cs="TimesNewRomanPSMT"/>
        </w:rPr>
        <w:t xml:space="preserve"> </w:t>
      </w:r>
      <w:r>
        <w:rPr>
          <w:rFonts w:ascii="TimesNewRomanPSMT" w:hAnsi="TimesNewRomanPSMT" w:cs="TimesNewRomanPSMT"/>
        </w:rPr>
        <w:t>le proprie ipotesi di ricerca a seconda della natura, della qualità e del</w:t>
      </w:r>
      <w:r w:rsidR="00264DDB">
        <w:rPr>
          <w:rFonts w:ascii="TimesNewRomanPSMT" w:hAnsi="TimesNewRomanPSMT" w:cs="TimesNewRomanPSMT"/>
        </w:rPr>
        <w:t xml:space="preserve"> </w:t>
      </w:r>
      <w:r>
        <w:rPr>
          <w:rFonts w:ascii="TimesNewRomanPSMT" w:hAnsi="TimesNewRomanPSMT" w:cs="TimesNewRomanPSMT"/>
        </w:rPr>
        <w:t>tipo di dati disponibili. I dati secondari possono essere distinti in interni –</w:t>
      </w:r>
      <w:r w:rsidR="00264DDB">
        <w:rPr>
          <w:rFonts w:ascii="TimesNewRomanPSMT" w:hAnsi="TimesNewRomanPSMT" w:cs="TimesNewRomanPSMT"/>
        </w:rPr>
        <w:t xml:space="preserve"> </w:t>
      </w:r>
      <w:r>
        <w:rPr>
          <w:rFonts w:ascii="TimesNewRomanPSMT" w:hAnsi="TimesNewRomanPSMT" w:cs="TimesNewRomanPSMT"/>
        </w:rPr>
        <w:t>prodotti all’interno di specifiche strutture (aziende, sistema scolastico, etc.)</w:t>
      </w:r>
      <w:r w:rsidR="00264DDB">
        <w:rPr>
          <w:rFonts w:ascii="TimesNewRomanPSMT" w:hAnsi="TimesNewRomanPSMT" w:cs="TimesNewRomanPSMT"/>
        </w:rPr>
        <w:t xml:space="preserve"> </w:t>
      </w:r>
      <w:r>
        <w:rPr>
          <w:rFonts w:ascii="TimesNewRomanPSMT" w:hAnsi="TimesNewRomanPSMT" w:cs="TimesNewRomanPSMT"/>
        </w:rPr>
        <w:t>– ed esterni – rilevati da istituzioni preposte (ad esempio l’ISTAT per le rilevazioni</w:t>
      </w:r>
      <w:r w:rsidR="00264DDB">
        <w:rPr>
          <w:rFonts w:ascii="TimesNewRomanPSMT" w:hAnsi="TimesNewRomanPSMT" w:cs="TimesNewRomanPSMT"/>
        </w:rPr>
        <w:t xml:space="preserve"> </w:t>
      </w:r>
      <w:r>
        <w:rPr>
          <w:rFonts w:ascii="TimesNewRomanPSMT" w:hAnsi="TimesNewRomanPSMT" w:cs="TimesNewRomanPSMT"/>
        </w:rPr>
        <w:t>nazionali italiane o l’EUROSTAT per quelle europee) – ma possono</w:t>
      </w:r>
      <w:r w:rsidR="00264DDB">
        <w:rPr>
          <w:rFonts w:ascii="TimesNewRomanPSMT" w:hAnsi="TimesNewRomanPSMT" w:cs="TimesNewRomanPSMT"/>
        </w:rPr>
        <w:t xml:space="preserve"> </w:t>
      </w:r>
      <w:r>
        <w:rPr>
          <w:rFonts w:ascii="TimesNewRomanPSMT" w:hAnsi="TimesNewRomanPSMT" w:cs="TimesNewRomanPSMT"/>
        </w:rPr>
        <w:t>altresì provenire da una molteplicità di fornitori (altre organizzazioni</w:t>
      </w:r>
      <w:r w:rsidR="00264DDB">
        <w:rPr>
          <w:rFonts w:ascii="TimesNewRomanPSMT" w:hAnsi="TimesNewRomanPSMT" w:cs="TimesNewRomanPSMT"/>
        </w:rPr>
        <w:t xml:space="preserve"> </w:t>
      </w:r>
      <w:r>
        <w:rPr>
          <w:rFonts w:ascii="TimesNewRomanPSMT" w:hAnsi="TimesNewRomanPSMT" w:cs="TimesNewRomanPSMT"/>
        </w:rPr>
        <w:t>governative, amministrative, organismi di categoria, associazioni di scopo,</w:t>
      </w:r>
      <w:r w:rsidR="00264DDB">
        <w:rPr>
          <w:rFonts w:ascii="TimesNewRomanPSMT" w:hAnsi="TimesNewRomanPSMT" w:cs="TimesNewRomanPSMT"/>
        </w:rPr>
        <w:t xml:space="preserve"> </w:t>
      </w:r>
      <w:r>
        <w:rPr>
          <w:rFonts w:ascii="TimesNewRomanPSMT" w:hAnsi="TimesNewRomanPSMT" w:cs="TimesNewRomanPSMT"/>
        </w:rPr>
        <w:t>etc.). Mentre il primo tipo d’analisi si rende necessario in assenza di altre</w:t>
      </w:r>
      <w:r w:rsidR="00264DDB">
        <w:rPr>
          <w:rFonts w:ascii="TimesNewRomanPSMT" w:hAnsi="TimesNewRomanPSMT" w:cs="TimesNewRomanPSMT"/>
        </w:rPr>
        <w:t xml:space="preserve"> </w:t>
      </w:r>
      <w:r>
        <w:rPr>
          <w:rFonts w:ascii="TimesNewRomanPSMT" w:hAnsi="TimesNewRomanPSMT" w:cs="TimesNewRomanPSMT"/>
        </w:rPr>
        <w:t xml:space="preserve">dettagliate ed esaustive rilevazioni </w:t>
      </w:r>
      <w:r w:rsidR="00264DDB">
        <w:rPr>
          <w:rFonts w:ascii="SymbolMT" w:eastAsia="SymbolMT" w:hAnsi="TimesNewRomanPSMT" w:cs="SymbolMT"/>
        </w:rPr>
        <w:t>–</w:t>
      </w:r>
      <w:r w:rsidR="00264DDB">
        <w:rPr>
          <w:rFonts w:ascii="SymbolMT" w:eastAsia="SymbolMT" w:hAnsi="TimesNewRomanPSMT" w:cs="SymbolMT" w:hint="eastAsia"/>
        </w:rPr>
        <w:t xml:space="preserve"> </w:t>
      </w:r>
      <w:r>
        <w:rPr>
          <w:rFonts w:ascii="TimesNewRomanPSMT" w:hAnsi="TimesNewRomanPSMT" w:cs="TimesNewRomanPSMT"/>
        </w:rPr>
        <w:t>dunque in assenza di una fonte secondaria</w:t>
      </w:r>
      <w:r w:rsidR="00264DDB">
        <w:rPr>
          <w:rFonts w:ascii="TimesNewRomanPSMT" w:hAnsi="TimesNewRomanPSMT" w:cs="TimesNewRomanPSMT"/>
        </w:rPr>
        <w:t xml:space="preserve"> – </w:t>
      </w:r>
      <w:r>
        <w:rPr>
          <w:rFonts w:ascii="TimesNewRomanPSMT" w:hAnsi="TimesNewRomanPSMT" w:cs="TimesNewRomanPSMT"/>
        </w:rPr>
        <w:t xml:space="preserve">il secondo tipo di analisi è, allo stato </w:t>
      </w:r>
      <w:r w:rsidR="00264DDB">
        <w:rPr>
          <w:rFonts w:ascii="TimesNewRomanPSMT" w:hAnsi="TimesNewRomanPSMT" w:cs="TimesNewRomanPSMT"/>
        </w:rPr>
        <w:t xml:space="preserve">attuale, ideale sia negli studi </w:t>
      </w:r>
      <w:r>
        <w:rPr>
          <w:rFonts w:ascii="TimesNewRomanPSMT" w:hAnsi="TimesNewRomanPSMT" w:cs="TimesNewRomanPSMT"/>
        </w:rPr>
        <w:t>pilota rispetto a tantissimi campi della società, sia a studi basati sulla volontà</w:t>
      </w:r>
      <w:r w:rsidR="00264DDB">
        <w:rPr>
          <w:rFonts w:ascii="TimesNewRomanPSMT" w:hAnsi="TimesNewRomanPSMT" w:cs="TimesNewRomanPSMT"/>
        </w:rPr>
        <w:t xml:space="preserve"> </w:t>
      </w:r>
      <w:r>
        <w:rPr>
          <w:rFonts w:ascii="TimesNewRomanPSMT" w:hAnsi="TimesNewRomanPSMT" w:cs="TimesNewRomanPSMT"/>
        </w:rPr>
        <w:t>di esplorare connessioni e correlazioni tra determinati fenomeni di cui i</w:t>
      </w:r>
      <w:r w:rsidR="00264DDB">
        <w:rPr>
          <w:rFonts w:ascii="TimesNewRomanPSMT" w:hAnsi="TimesNewRomanPSMT" w:cs="TimesNewRomanPSMT"/>
        </w:rPr>
        <w:t xml:space="preserve"> </w:t>
      </w:r>
      <w:r>
        <w:rPr>
          <w:rFonts w:ascii="TimesNewRomanPSMT" w:hAnsi="TimesNewRomanPSMT" w:cs="TimesNewRomanPSMT"/>
        </w:rPr>
        <w:t>dati sono evidenze manifeste.</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Una terza distinzione, strettamente connessa a quella appena descritta e</w:t>
      </w:r>
      <w:r w:rsidR="00264DDB">
        <w:rPr>
          <w:rFonts w:ascii="TimesNewRomanPSMT" w:hAnsi="TimesNewRomanPSMT" w:cs="TimesNewRomanPSMT"/>
        </w:rPr>
        <w:t xml:space="preserve"> </w:t>
      </w:r>
      <w:r>
        <w:rPr>
          <w:rFonts w:ascii="TimesNewRomanPSMT" w:hAnsi="TimesNewRomanPSMT" w:cs="TimesNewRomanPSMT"/>
        </w:rPr>
        <w:t xml:space="preserve">che intercorre in </w:t>
      </w:r>
      <w:r>
        <w:rPr>
          <w:rFonts w:ascii="Times New Roman" w:hAnsi="Times New Roman" w:cs="Times New Roman"/>
          <w:i/>
          <w:iCs/>
        </w:rPr>
        <w:t>fase di selezione dei casi da prendere in considerazione</w:t>
      </w:r>
      <w:r w:rsidR="00264DDB">
        <w:rPr>
          <w:rFonts w:ascii="Times New Roman" w:hAnsi="Times New Roman" w:cs="Times New Roman"/>
          <w:i/>
          <w:iCs/>
        </w:rPr>
        <w:t xml:space="preserve"> </w:t>
      </w:r>
      <w:r>
        <w:rPr>
          <w:rFonts w:ascii="Times New Roman" w:hAnsi="Times New Roman" w:cs="Times New Roman"/>
          <w:i/>
          <w:iCs/>
        </w:rPr>
        <w:t>per la propria analisi</w:t>
      </w:r>
      <w:r>
        <w:rPr>
          <w:rFonts w:ascii="TimesNewRomanPSMT" w:hAnsi="TimesNewRomanPSMT" w:cs="TimesNewRomanPSMT"/>
        </w:rPr>
        <w:t xml:space="preserve">, riguarda le </w:t>
      </w:r>
      <w:r>
        <w:rPr>
          <w:rFonts w:ascii="Times New Roman" w:hAnsi="Times New Roman" w:cs="Times New Roman"/>
          <w:i/>
          <w:iCs/>
        </w:rPr>
        <w:t xml:space="preserve">unità </w:t>
      </w:r>
      <w:r>
        <w:rPr>
          <w:rFonts w:ascii="TimesNewRomanPSMT" w:hAnsi="TimesNewRomanPSMT" w:cs="TimesNewRomanPSMT"/>
        </w:rPr>
        <w:t xml:space="preserve">possibili da indagare e la </w:t>
      </w:r>
      <w:r>
        <w:rPr>
          <w:rFonts w:ascii="Times New Roman" w:hAnsi="Times New Roman" w:cs="Times New Roman"/>
          <w:i/>
          <w:iCs/>
        </w:rPr>
        <w:t>numerosità</w:t>
      </w:r>
      <w:r w:rsidR="00264DDB">
        <w:rPr>
          <w:rFonts w:ascii="Times New Roman" w:hAnsi="Times New Roman" w:cs="Times New Roman"/>
          <w:i/>
          <w:iCs/>
        </w:rPr>
        <w:t xml:space="preserve"> </w:t>
      </w:r>
      <w:r>
        <w:rPr>
          <w:rFonts w:ascii="TimesNewRomanPSMT" w:hAnsi="TimesNewRomanPSMT" w:cs="TimesNewRomanPSMT"/>
        </w:rPr>
        <w:t>raggiungibile dei casi all’interno di queste. Si tratta della distinzione tra</w:t>
      </w:r>
      <w:r w:rsidR="00264DDB">
        <w:rPr>
          <w:rFonts w:ascii="TimesNewRomanPSMT" w:hAnsi="TimesNewRomanPSMT" w:cs="TimesNewRomanPSMT"/>
        </w:rPr>
        <w:t xml:space="preserve"> </w:t>
      </w:r>
      <w:r>
        <w:rPr>
          <w:rFonts w:ascii="TimesNewRomanPSMT" w:hAnsi="TimesNewRomanPSMT" w:cs="TimesNewRomanPSMT"/>
        </w:rPr>
        <w:t>studi esaustivi e studi campionari. I primi prevedono la rilevazione su tutte</w:t>
      </w:r>
      <w:r w:rsidR="00264DDB">
        <w:rPr>
          <w:rFonts w:ascii="TimesNewRomanPSMT" w:hAnsi="TimesNewRomanPSMT" w:cs="TimesNewRomanPSMT"/>
        </w:rPr>
        <w:t xml:space="preserve"> </w:t>
      </w:r>
      <w:r>
        <w:rPr>
          <w:rFonts w:ascii="TimesNewRomanPSMT" w:hAnsi="TimesNewRomanPSMT" w:cs="TimesNewRomanPSMT"/>
        </w:rPr>
        <w:t>le unità o casi che compongono la popolazione di rifermento del nostro studio</w:t>
      </w:r>
      <w:r w:rsidR="00264DDB">
        <w:rPr>
          <w:rFonts w:ascii="TimesNewRomanPSMT" w:hAnsi="TimesNewRomanPSMT" w:cs="TimesNewRomanPSMT"/>
        </w:rPr>
        <w:t xml:space="preserve"> </w:t>
      </w:r>
      <w:r>
        <w:rPr>
          <w:rFonts w:ascii="TimesNewRomanPSMT" w:hAnsi="TimesNewRomanPSMT" w:cs="TimesNewRomanPSMT"/>
        </w:rPr>
        <w:t>altrimenti definiti censimenti. Si pensi ad esempio al Censimento sulla</w:t>
      </w:r>
      <w:r w:rsidR="00264DDB">
        <w:rPr>
          <w:rFonts w:ascii="TimesNewRomanPSMT" w:hAnsi="TimesNewRomanPSMT" w:cs="TimesNewRomanPSMT"/>
        </w:rPr>
        <w:t xml:space="preserve"> </w:t>
      </w:r>
      <w:r>
        <w:rPr>
          <w:rFonts w:ascii="TimesNewRomanPSMT" w:hAnsi="TimesNewRomanPSMT" w:cs="TimesNewRomanPSMT"/>
        </w:rPr>
        <w:t>Popolazione e le Abitazioni dell’ISTAT (Istituto Nazionale di Statistica)</w:t>
      </w:r>
      <w:r w:rsidR="00264DDB">
        <w:rPr>
          <w:rFonts w:ascii="TimesNewRomanPSMT" w:hAnsi="TimesNewRomanPSMT" w:cs="TimesNewRomanPSMT"/>
        </w:rPr>
        <w:t xml:space="preserve"> </w:t>
      </w:r>
      <w:r>
        <w:rPr>
          <w:rFonts w:ascii="TimesNewRomanPSMT" w:hAnsi="TimesNewRomanPSMT" w:cs="TimesNewRomanPSMT"/>
        </w:rPr>
        <w:t>che fino al 2015 è stato condotto con cadenza decennale (attualmente un innovativo</w:t>
      </w:r>
      <w:r w:rsidR="00264DDB">
        <w:rPr>
          <w:rFonts w:ascii="TimesNewRomanPSMT" w:hAnsi="TimesNewRomanPSMT" w:cs="TimesNewRomanPSMT"/>
        </w:rPr>
        <w:t xml:space="preserve"> </w:t>
      </w:r>
      <w:r>
        <w:rPr>
          <w:rFonts w:ascii="TimesNewRomanPSMT" w:hAnsi="TimesNewRomanPSMT" w:cs="TimesNewRomanPSMT"/>
        </w:rPr>
        <w:lastRenderedPageBreak/>
        <w:t>disegno d’indagine ha reso il censimento permanente</w:t>
      </w:r>
      <w:r w:rsidR="00264DDB">
        <w:rPr>
          <w:rStyle w:val="Rimandonotaapidipagina"/>
          <w:rFonts w:ascii="TimesNewRomanPSMT" w:hAnsi="TimesNewRomanPSMT" w:cs="TimesNewRomanPSMT"/>
        </w:rPr>
        <w:footnoteReference w:id="3"/>
      </w:r>
      <w:r>
        <w:rPr>
          <w:rFonts w:ascii="TimesNewRomanPSMT" w:hAnsi="TimesNewRomanPSMT" w:cs="TimesNewRomanPSMT"/>
        </w:rPr>
        <w:t>). Esso prevede</w:t>
      </w:r>
      <w:r w:rsidR="00264DDB">
        <w:rPr>
          <w:rFonts w:ascii="TimesNewRomanPSMT" w:hAnsi="TimesNewRomanPSMT" w:cs="TimesNewRomanPSMT"/>
        </w:rPr>
        <w:t xml:space="preserve"> </w:t>
      </w:r>
      <w:r>
        <w:rPr>
          <w:rFonts w:ascii="TimesNewRomanPSMT" w:hAnsi="TimesNewRomanPSMT" w:cs="TimesNewRomanPSMT"/>
        </w:rPr>
        <w:t>una rilevazione esaustiva sull’intera popolazione di italiani residenti al</w:t>
      </w:r>
      <w:r w:rsidR="00264DDB">
        <w:rPr>
          <w:rFonts w:ascii="TimesNewRomanPSMT" w:hAnsi="TimesNewRomanPSMT" w:cs="TimesNewRomanPSMT"/>
        </w:rPr>
        <w:t xml:space="preserve"> </w:t>
      </w:r>
      <w:r>
        <w:rPr>
          <w:rFonts w:ascii="TimesNewRomanPSMT" w:hAnsi="TimesNewRomanPSMT" w:cs="TimesNewRomanPSMT"/>
        </w:rPr>
        <w:t>fine di rilevare informazioni fondamentali, a un elevato dettaglio territoriale,</w:t>
      </w:r>
      <w:r w:rsidR="00264DDB">
        <w:rPr>
          <w:rFonts w:ascii="TimesNewRomanPSMT" w:hAnsi="TimesNewRomanPSMT" w:cs="TimesNewRomanPSMT"/>
        </w:rPr>
        <w:t xml:space="preserve"> </w:t>
      </w:r>
      <w:r>
        <w:rPr>
          <w:rFonts w:ascii="TimesNewRomanPSMT" w:hAnsi="TimesNewRomanPSMT" w:cs="TimesNewRomanPSMT"/>
        </w:rPr>
        <w:t>per leggere le principali caratteristiche socio-demografiche, nonché fenomeni</w:t>
      </w:r>
      <w:r w:rsidR="00264DDB">
        <w:rPr>
          <w:rFonts w:ascii="TimesNewRomanPSMT" w:hAnsi="TimesNewRomanPSMT" w:cs="TimesNewRomanPSMT"/>
        </w:rPr>
        <w:t xml:space="preserve"> </w:t>
      </w:r>
      <w:r>
        <w:rPr>
          <w:rFonts w:ascii="TimesNewRomanPSMT" w:hAnsi="TimesNewRomanPSMT" w:cs="TimesNewRomanPSMT"/>
        </w:rPr>
        <w:t>sociali inerenti la struttura della famiglia, il lavoro, il tempo libero,</w:t>
      </w:r>
      <w:r w:rsidR="00264DDB">
        <w:rPr>
          <w:rFonts w:ascii="TimesNewRomanPSMT" w:hAnsi="TimesNewRomanPSMT" w:cs="TimesNewRomanPSMT"/>
        </w:rPr>
        <w:t xml:space="preserve"> </w:t>
      </w:r>
      <w:r>
        <w:rPr>
          <w:rFonts w:ascii="TimesNewRomanPSMT" w:hAnsi="TimesNewRomanPSMT" w:cs="TimesNewRomanPSMT"/>
        </w:rPr>
        <w:t>i consumi, gli stili di vita, le condizioni abitative, etc. (</w:t>
      </w:r>
      <w:proofErr w:type="spellStart"/>
      <w:r>
        <w:rPr>
          <w:rFonts w:ascii="TimesNewRomanPSMT" w:hAnsi="TimesNewRomanPSMT" w:cs="TimesNewRomanPSMT"/>
        </w:rPr>
        <w:t>cfr</w:t>
      </w:r>
      <w:proofErr w:type="spellEnd"/>
      <w:r>
        <w:rPr>
          <w:rFonts w:ascii="TimesNewRomanPSMT" w:hAnsi="TimesNewRomanPSMT" w:cs="TimesNewRomanPSMT"/>
        </w:rPr>
        <w:t xml:space="preserve"> </w:t>
      </w:r>
      <w:proofErr w:type="spellStart"/>
      <w:r>
        <w:rPr>
          <w:rFonts w:ascii="TimesNewRomanPSMT" w:hAnsi="TimesNewRomanPSMT" w:cs="TimesNewRomanPSMT"/>
        </w:rPr>
        <w:t>Amaturo</w:t>
      </w:r>
      <w:proofErr w:type="spellEnd"/>
      <w:r>
        <w:rPr>
          <w:rFonts w:ascii="TimesNewRomanPSMT" w:hAnsi="TimesNewRomanPSMT" w:cs="TimesNewRomanPSMT"/>
        </w:rPr>
        <w:t>, Aragona</w:t>
      </w:r>
      <w:r w:rsidR="00264DDB">
        <w:rPr>
          <w:rFonts w:ascii="TimesNewRomanPSMT" w:hAnsi="TimesNewRomanPSMT" w:cs="TimesNewRomanPSMT"/>
        </w:rPr>
        <w:t xml:space="preserve"> </w:t>
      </w:r>
      <w:r>
        <w:rPr>
          <w:rFonts w:ascii="TimesNewRomanPSMT" w:hAnsi="TimesNewRomanPSMT" w:cs="TimesNewRomanPSMT"/>
        </w:rPr>
        <w:t>2012). Il vantaggio principale di una siffatta rilevazione è la possibilità</w:t>
      </w:r>
      <w:r w:rsidR="00264DDB">
        <w:rPr>
          <w:rFonts w:ascii="TimesNewRomanPSMT" w:hAnsi="TimesNewRomanPSMT" w:cs="TimesNewRomanPSMT"/>
        </w:rPr>
        <w:t xml:space="preserve"> </w:t>
      </w:r>
      <w:r>
        <w:rPr>
          <w:rFonts w:ascii="TimesNewRomanPSMT" w:hAnsi="TimesNewRomanPSMT" w:cs="TimesNewRomanPSMT"/>
        </w:rPr>
        <w:t>di parlare dell’intera popolazione di riferimento senza dover ricorrere a inferenza</w:t>
      </w:r>
      <w:r w:rsidR="00264DDB">
        <w:rPr>
          <w:rFonts w:ascii="TimesNewRomanPSMT" w:hAnsi="TimesNewRomanPSMT" w:cs="TimesNewRomanPSMT"/>
        </w:rPr>
        <w:t xml:space="preserve"> </w:t>
      </w:r>
      <w:r>
        <w:rPr>
          <w:rFonts w:ascii="TimesNewRomanPSMT" w:hAnsi="TimesNewRomanPSMT" w:cs="TimesNewRomanPSMT"/>
        </w:rPr>
        <w:t>o generalizzazioni nel momento in cui si vogliono testare ipotesi</w:t>
      </w:r>
      <w:r w:rsidR="00264DDB">
        <w:rPr>
          <w:rFonts w:ascii="TimesNewRomanPSMT" w:hAnsi="TimesNewRomanPSMT" w:cs="TimesNewRomanPSMT"/>
        </w:rPr>
        <w:t xml:space="preserve"> </w:t>
      </w:r>
      <w:r>
        <w:rPr>
          <w:rFonts w:ascii="TimesNewRomanPSMT" w:hAnsi="TimesNewRomanPSMT" w:cs="TimesNewRomanPSMT"/>
        </w:rPr>
        <w:t xml:space="preserve">empiriche di relazione tra determinati fenomeni. I limiti di questo tipo di </w:t>
      </w:r>
      <w:proofErr w:type="spellStart"/>
      <w:r>
        <w:rPr>
          <w:rFonts w:ascii="TimesNewRomanPSMT" w:hAnsi="TimesNewRomanPSMT" w:cs="TimesNewRomanPSMT"/>
        </w:rPr>
        <w:t>rilevazionesono</w:t>
      </w:r>
      <w:proofErr w:type="spellEnd"/>
      <w:r>
        <w:rPr>
          <w:rFonts w:ascii="TimesNewRomanPSMT" w:hAnsi="TimesNewRomanPSMT" w:cs="TimesNewRomanPSMT"/>
        </w:rPr>
        <w:t>, invece, relativi ai costi e ai tempi che una simile procedura</w:t>
      </w:r>
      <w:r w:rsidR="00264DDB">
        <w:rPr>
          <w:rFonts w:ascii="TimesNewRomanPSMT" w:hAnsi="TimesNewRomanPSMT" w:cs="TimesNewRomanPSMT"/>
        </w:rPr>
        <w:t xml:space="preserve"> </w:t>
      </w:r>
      <w:r>
        <w:rPr>
          <w:rFonts w:ascii="TimesNewRomanPSMT" w:hAnsi="TimesNewRomanPSMT" w:cs="TimesNewRomanPSMT"/>
        </w:rPr>
        <w:t>richiede. Lo stesso Censimento su Popolazione e Abitazioni è stato effettuato</w:t>
      </w:r>
      <w:r w:rsidR="00264DDB">
        <w:rPr>
          <w:rFonts w:ascii="TimesNewRomanPSMT" w:hAnsi="TimesNewRomanPSMT" w:cs="TimesNewRomanPSMT"/>
        </w:rPr>
        <w:t xml:space="preserve"> </w:t>
      </w:r>
      <w:r>
        <w:rPr>
          <w:rFonts w:ascii="TimesNewRomanPSMT" w:hAnsi="TimesNewRomanPSMT" w:cs="TimesNewRomanPSMT"/>
        </w:rPr>
        <w:t>dall’ISTAT una volta ogni dieci anni, e, ancora, i dati, per la loro enorme</w:t>
      </w:r>
      <w:r w:rsidR="00264DDB">
        <w:rPr>
          <w:rFonts w:ascii="TimesNewRomanPSMT" w:hAnsi="TimesNewRomanPSMT" w:cs="TimesNewRomanPSMT"/>
        </w:rPr>
        <w:t xml:space="preserve"> </w:t>
      </w:r>
      <w:r>
        <w:rPr>
          <w:rFonts w:ascii="TimesNewRomanPSMT" w:hAnsi="TimesNewRomanPSMT" w:cs="TimesNewRomanPSMT"/>
        </w:rPr>
        <w:t>mole, riescono a essere diffusi come prime stime solo dopo mesi</w:t>
      </w:r>
      <w:r w:rsidR="00264DDB">
        <w:rPr>
          <w:rFonts w:ascii="TimesNewRomanPSMT" w:hAnsi="TimesNewRomanPSMT" w:cs="TimesNewRomanPSMT"/>
        </w:rPr>
        <w:t xml:space="preserve"> </w:t>
      </w:r>
      <w:r>
        <w:rPr>
          <w:rFonts w:ascii="TimesNewRomanPSMT" w:hAnsi="TimesNewRomanPSMT" w:cs="TimesNewRomanPSMT"/>
        </w:rPr>
        <w:t>dalla rilevazione e come dati certi solo dopo un anno, se non di più, rendendo,</w:t>
      </w:r>
      <w:r w:rsidR="00264DDB">
        <w:rPr>
          <w:rFonts w:ascii="TimesNewRomanPSMT" w:hAnsi="TimesNewRomanPSMT" w:cs="TimesNewRomanPSMT"/>
        </w:rPr>
        <w:t xml:space="preserve"> </w:t>
      </w:r>
      <w:r>
        <w:rPr>
          <w:rFonts w:ascii="TimesNewRomanPSMT" w:hAnsi="TimesNewRomanPSMT" w:cs="TimesNewRomanPSMT"/>
        </w:rPr>
        <w:t>in questo modo, già vecchia l’informazione veicolata. Vengono adottate</w:t>
      </w:r>
      <w:r w:rsidR="00264DDB">
        <w:rPr>
          <w:rFonts w:ascii="TimesNewRomanPSMT" w:hAnsi="TimesNewRomanPSMT" w:cs="TimesNewRomanPSMT"/>
        </w:rPr>
        <w:t xml:space="preserve"> </w:t>
      </w:r>
      <w:r>
        <w:rPr>
          <w:rFonts w:ascii="TimesNewRomanPSMT" w:hAnsi="TimesNewRomanPSMT" w:cs="TimesNewRomanPSMT"/>
        </w:rPr>
        <w:t>rilevazioni campionarie, invece, quando la disponibilità di risorse</w:t>
      </w:r>
      <w:r w:rsidR="00264DDB">
        <w:rPr>
          <w:rFonts w:ascii="TimesNewRomanPSMT" w:hAnsi="TimesNewRomanPSMT" w:cs="TimesNewRomanPSMT"/>
        </w:rPr>
        <w:t xml:space="preserve"> </w:t>
      </w:r>
      <w:r>
        <w:rPr>
          <w:rFonts w:ascii="TimesNewRomanPSMT" w:hAnsi="TimesNewRomanPSMT" w:cs="TimesNewRomanPSMT"/>
        </w:rPr>
        <w:t>finanziarie e temporali è limitata, ma soprattutto quando l’intento conoscitivo</w:t>
      </w:r>
      <w:r w:rsidR="00264DDB">
        <w:rPr>
          <w:rFonts w:ascii="TimesNewRomanPSMT" w:hAnsi="TimesNewRomanPSMT" w:cs="TimesNewRomanPSMT"/>
        </w:rPr>
        <w:t xml:space="preserve"> </w:t>
      </w:r>
      <w:r>
        <w:rPr>
          <w:rFonts w:ascii="TimesNewRomanPSMT" w:hAnsi="TimesNewRomanPSMT" w:cs="TimesNewRomanPSMT"/>
        </w:rPr>
        <w:t>del fenomeno indagato è maggiormente di tipo esplorativo. Piuttosto</w:t>
      </w:r>
      <w:r w:rsidR="00264DDB">
        <w:rPr>
          <w:rFonts w:ascii="TimesNewRomanPSMT" w:hAnsi="TimesNewRomanPSMT" w:cs="TimesNewRomanPSMT"/>
        </w:rPr>
        <w:t xml:space="preserve"> </w:t>
      </w:r>
      <w:r>
        <w:rPr>
          <w:rFonts w:ascii="TimesNewRomanPSMT" w:hAnsi="TimesNewRomanPSMT" w:cs="TimesNewRomanPSMT"/>
        </w:rPr>
        <w:t>che rilevare dati su un’intera popolazione, saranno selezionate determinate</w:t>
      </w:r>
      <w:r w:rsidR="00264DDB">
        <w:rPr>
          <w:rFonts w:ascii="TimesNewRomanPSMT" w:hAnsi="TimesNewRomanPSMT" w:cs="TimesNewRomanPSMT"/>
        </w:rPr>
        <w:t xml:space="preserve"> </w:t>
      </w:r>
      <w:r>
        <w:rPr>
          <w:rFonts w:ascii="TimesNewRomanPSMT" w:hAnsi="TimesNewRomanPSMT" w:cs="TimesNewRomanPSMT"/>
        </w:rPr>
        <w:t>unità o casi in base alle esigenze di rappresentatività di volta in volta espresse</w:t>
      </w:r>
      <w:r w:rsidR="00264DDB">
        <w:rPr>
          <w:rFonts w:ascii="TimesNewRomanPSMT" w:hAnsi="TimesNewRomanPSMT" w:cs="TimesNewRomanPSMT"/>
        </w:rPr>
        <w:t xml:space="preserve"> </w:t>
      </w:r>
      <w:r>
        <w:rPr>
          <w:rFonts w:ascii="TimesNewRomanPSMT" w:hAnsi="TimesNewRomanPSMT" w:cs="TimesNewRomanPSMT"/>
        </w:rPr>
        <w:t>dai differenti studi. Si tratta di mettere in pratica strategie di campionamento</w:t>
      </w:r>
      <w:r w:rsidR="00264DDB">
        <w:rPr>
          <w:rFonts w:ascii="TimesNewRomanPSMT" w:hAnsi="TimesNewRomanPSMT" w:cs="TimesNewRomanPSMT"/>
        </w:rPr>
        <w:t xml:space="preserve"> </w:t>
      </w:r>
      <w:r>
        <w:rPr>
          <w:rFonts w:ascii="TimesNewRomanPSMT" w:hAnsi="TimesNewRomanPSMT" w:cs="TimesNewRomanPSMT"/>
        </w:rPr>
        <w:t>che consentano di individuare la procedura più consona rispetto</w:t>
      </w:r>
      <w:r w:rsidR="00264DDB">
        <w:rPr>
          <w:rFonts w:ascii="TimesNewRomanPSMT" w:hAnsi="TimesNewRomanPSMT" w:cs="TimesNewRomanPSMT"/>
        </w:rPr>
        <w:t xml:space="preserve"> </w:t>
      </w:r>
      <w:r>
        <w:rPr>
          <w:rFonts w:ascii="TimesNewRomanPSMT" w:hAnsi="TimesNewRomanPSMT" w:cs="TimesNewRomanPSMT"/>
        </w:rPr>
        <w:t>agli obiettivi conoscitivi dello studio, emersi dalla ricerca che si sta</w:t>
      </w:r>
      <w:r w:rsidR="00264DDB">
        <w:rPr>
          <w:rFonts w:ascii="TimesNewRomanPSMT" w:hAnsi="TimesNewRomanPSMT" w:cs="TimesNewRomanPSMT"/>
        </w:rPr>
        <w:t xml:space="preserve"> </w:t>
      </w:r>
      <w:r>
        <w:rPr>
          <w:rFonts w:ascii="TimesNewRomanPSMT" w:hAnsi="TimesNewRomanPSMT" w:cs="TimesNewRomanPSMT"/>
        </w:rPr>
        <w:t>portando avanti, al fine della selezione dei casi sui quali compiere la rilevazione</w:t>
      </w:r>
      <w:r w:rsidR="00264DDB">
        <w:rPr>
          <w:rFonts w:ascii="TimesNewRomanPSMT" w:hAnsi="TimesNewRomanPSMT" w:cs="TimesNewRomanPSMT"/>
        </w:rPr>
        <w:t xml:space="preserve"> </w:t>
      </w:r>
      <w:r>
        <w:rPr>
          <w:rFonts w:ascii="TimesNewRomanPSMT" w:hAnsi="TimesNewRomanPSMT" w:cs="TimesNewRomanPSMT"/>
        </w:rPr>
        <w:t>dati vera e propria. I tipi di campionamento distinguibili sono due. Si</w:t>
      </w:r>
      <w:r w:rsidR="00264DDB">
        <w:rPr>
          <w:rFonts w:ascii="TimesNewRomanPSMT" w:hAnsi="TimesNewRomanPSMT" w:cs="TimesNewRomanPSMT"/>
        </w:rPr>
        <w:t xml:space="preserve"> </w:t>
      </w:r>
      <w:r>
        <w:rPr>
          <w:rFonts w:ascii="TimesNewRomanPSMT" w:hAnsi="TimesNewRomanPSMT" w:cs="TimesNewRomanPSMT"/>
        </w:rPr>
        <w:t>opterà per un campionamento non probabilistico quando l’intento dello studio</w:t>
      </w:r>
      <w:r w:rsidR="00264DDB">
        <w:rPr>
          <w:rFonts w:ascii="TimesNewRomanPSMT" w:hAnsi="TimesNewRomanPSMT" w:cs="TimesNewRomanPSMT"/>
        </w:rPr>
        <w:t xml:space="preserve"> </w:t>
      </w:r>
      <w:r>
        <w:rPr>
          <w:rFonts w:ascii="TimesNewRomanPSMT" w:hAnsi="TimesNewRomanPSMT" w:cs="TimesNewRomanPSMT"/>
        </w:rPr>
        <w:t>è pienamente esplorativo, quando si sarà interessati a determinati casi</w:t>
      </w:r>
      <w:r w:rsidR="00264DDB">
        <w:rPr>
          <w:rFonts w:ascii="TimesNewRomanPSMT" w:hAnsi="TimesNewRomanPSMT" w:cs="TimesNewRomanPSMT"/>
        </w:rPr>
        <w:t xml:space="preserve"> </w:t>
      </w:r>
      <w:r>
        <w:rPr>
          <w:rFonts w:ascii="TimesNewRomanPSMT" w:hAnsi="TimesNewRomanPSMT" w:cs="TimesNewRomanPSMT"/>
        </w:rPr>
        <w:t>particolari o quando la popolazione oggetto di indagine non è censita e,</w:t>
      </w:r>
      <w:r w:rsidR="00264DDB">
        <w:rPr>
          <w:rFonts w:ascii="TimesNewRomanPSMT" w:hAnsi="TimesNewRomanPSMT" w:cs="TimesNewRomanPSMT"/>
        </w:rPr>
        <w:t xml:space="preserve"> </w:t>
      </w:r>
      <w:r>
        <w:rPr>
          <w:rFonts w:ascii="TimesNewRomanPSMT" w:hAnsi="TimesNewRomanPSMT" w:cs="TimesNewRomanPSMT"/>
        </w:rPr>
        <w:t>quindi, è particolarmente difficile da contattare e raggiungere. Si sceglierà</w:t>
      </w:r>
      <w:r w:rsidR="00264DDB">
        <w:rPr>
          <w:rFonts w:ascii="TimesNewRomanPSMT" w:hAnsi="TimesNewRomanPSMT" w:cs="TimesNewRomanPSMT"/>
        </w:rPr>
        <w:t xml:space="preserve"> </w:t>
      </w:r>
      <w:r>
        <w:rPr>
          <w:rFonts w:ascii="TimesNewRomanPSMT" w:hAnsi="TimesNewRomanPSMT" w:cs="TimesNewRomanPSMT"/>
        </w:rPr>
        <w:t>un campionamento probabilistico quando l’intento dello studio è esplicativo,</w:t>
      </w:r>
      <w:r w:rsidR="00264DDB">
        <w:rPr>
          <w:rFonts w:ascii="TimesNewRomanPSMT" w:hAnsi="TimesNewRomanPSMT" w:cs="TimesNewRomanPSMT"/>
        </w:rPr>
        <w:t xml:space="preserve"> </w:t>
      </w:r>
      <w:r>
        <w:rPr>
          <w:rFonts w:ascii="TimesNewRomanPSMT" w:hAnsi="TimesNewRomanPSMT" w:cs="TimesNewRomanPSMT"/>
        </w:rPr>
        <w:t>si dispone di abbondanti risorse economiche, nonché di una lista della</w:t>
      </w:r>
      <w:r w:rsidR="00264DDB">
        <w:rPr>
          <w:rFonts w:ascii="TimesNewRomanPSMT" w:hAnsi="TimesNewRomanPSMT" w:cs="TimesNewRomanPSMT"/>
        </w:rPr>
        <w:t xml:space="preserve"> </w:t>
      </w:r>
      <w:r>
        <w:rPr>
          <w:rFonts w:ascii="TimesNewRomanPSMT" w:hAnsi="TimesNewRomanPSMT" w:cs="TimesNewRomanPSMT"/>
        </w:rPr>
        <w:t>popolazione grazie alla quale ogni caso è esattamente individuabile per</w:t>
      </w:r>
      <w:r w:rsidR="00264DDB">
        <w:rPr>
          <w:rFonts w:ascii="TimesNewRomanPSMT" w:hAnsi="TimesNewRomanPSMT" w:cs="TimesNewRomanPSMT"/>
        </w:rPr>
        <w:t xml:space="preserve"> </w:t>
      </w:r>
      <w:r>
        <w:rPr>
          <w:rFonts w:ascii="TimesNewRomanPSMT" w:hAnsi="TimesNewRomanPSMT" w:cs="TimesNewRomanPSMT"/>
        </w:rPr>
        <w:t>rientrare nella rilevazione, anche se nulla ne garantisce la raggiungibilità</w:t>
      </w:r>
      <w:r w:rsidR="00264DDB">
        <w:rPr>
          <w:rFonts w:ascii="TimesNewRomanPSMT" w:hAnsi="TimesNewRomanPSMT" w:cs="TimesNewRomanPSMT"/>
        </w:rPr>
        <w:t xml:space="preserve"> </w:t>
      </w:r>
      <w:r>
        <w:rPr>
          <w:rFonts w:ascii="TimesNewRomanPSMT" w:hAnsi="TimesNewRomanPSMT" w:cs="TimesNewRomanPSMT"/>
        </w:rPr>
        <w:t>(ad esempio, se si sta conducendo una rilevazione telefonica, il soggetto selezionato</w:t>
      </w:r>
      <w:r w:rsidR="00264DDB">
        <w:rPr>
          <w:rFonts w:ascii="TimesNewRomanPSMT" w:hAnsi="TimesNewRomanPSMT" w:cs="TimesNewRomanPSMT"/>
        </w:rPr>
        <w:t xml:space="preserve"> </w:t>
      </w:r>
      <w:r>
        <w:rPr>
          <w:rFonts w:ascii="TimesNewRomanPSMT" w:hAnsi="TimesNewRomanPSMT" w:cs="TimesNewRomanPSMT"/>
        </w:rPr>
        <w:t>da intervistare potrebbe essere irreperibile al numero disponibile</w:t>
      </w:r>
      <w:r w:rsidR="00264DDB">
        <w:rPr>
          <w:rFonts w:ascii="TimesNewRomanPSMT" w:hAnsi="TimesNewRomanPSMT" w:cs="TimesNewRomanPSMT"/>
        </w:rPr>
        <w:t xml:space="preserve"> </w:t>
      </w:r>
      <w:r>
        <w:rPr>
          <w:rFonts w:ascii="TimesNewRomanPSMT" w:hAnsi="TimesNewRomanPSMT" w:cs="TimesNewRomanPSMT"/>
        </w:rPr>
        <w:t>in elenco, aver cambiato residenza o rifiutarsi di rispondere). Si dirà, dunque,</w:t>
      </w:r>
      <w:r w:rsidR="00264DDB">
        <w:rPr>
          <w:rFonts w:ascii="TimesNewRomanPSMT" w:hAnsi="TimesNewRomanPSMT" w:cs="TimesNewRomanPSMT"/>
        </w:rPr>
        <w:t xml:space="preserve"> </w:t>
      </w:r>
      <w:r>
        <w:rPr>
          <w:rFonts w:ascii="TimesNewRomanPSMT" w:hAnsi="TimesNewRomanPSMT" w:cs="TimesNewRomanPSMT"/>
        </w:rPr>
        <w:t>che ogni caso ha la stessa probabilità di entrare a far parte del campione</w:t>
      </w:r>
      <w:r w:rsidR="00264DDB">
        <w:rPr>
          <w:rFonts w:ascii="TimesNewRomanPSMT" w:hAnsi="TimesNewRomanPSMT" w:cs="TimesNewRomanPSMT"/>
        </w:rPr>
        <w:t xml:space="preserve"> </w:t>
      </w:r>
      <w:r>
        <w:rPr>
          <w:rFonts w:ascii="TimesNewRomanPSMT" w:hAnsi="TimesNewRomanPSMT" w:cs="TimesNewRomanPSMT"/>
        </w:rPr>
        <w:t>che diventerà rappresentativo rispetto ad alcune variabili, prese in</w:t>
      </w:r>
      <w:r w:rsidR="00264DDB">
        <w:rPr>
          <w:rFonts w:ascii="TimesNewRomanPSMT" w:hAnsi="TimesNewRomanPSMT" w:cs="TimesNewRomanPSMT"/>
        </w:rPr>
        <w:t xml:space="preserve"> </w:t>
      </w:r>
      <w:r>
        <w:rPr>
          <w:rFonts w:ascii="TimesNewRomanPSMT" w:hAnsi="TimesNewRomanPSMT" w:cs="TimesNewRomanPSMT"/>
        </w:rPr>
        <w:t>considerazione di volta in volta, relativamente a distribuzioni censuarie note</w:t>
      </w:r>
      <w:r w:rsidR="00264DDB">
        <w:rPr>
          <w:rFonts w:ascii="TimesNewRomanPSMT" w:hAnsi="TimesNewRomanPSMT" w:cs="TimesNewRomanPSMT"/>
        </w:rPr>
        <w:t xml:space="preserve"> </w:t>
      </w:r>
      <w:r>
        <w:rPr>
          <w:rFonts w:ascii="TimesNewRomanPSMT" w:hAnsi="TimesNewRomanPSMT" w:cs="TimesNewRomanPSMT"/>
        </w:rPr>
        <w:t>delle variabili considerate. Ad esempio, se si intende rendere il campione</w:t>
      </w:r>
      <w:r w:rsidR="00264DDB">
        <w:rPr>
          <w:rFonts w:ascii="TimesNewRomanPSMT" w:hAnsi="TimesNewRomanPSMT" w:cs="TimesNewRomanPSMT"/>
        </w:rPr>
        <w:t xml:space="preserve"> </w:t>
      </w:r>
      <w:r>
        <w:rPr>
          <w:rFonts w:ascii="TimesNewRomanPSMT" w:hAnsi="TimesNewRomanPSMT" w:cs="TimesNewRomanPSMT"/>
        </w:rPr>
        <w:t>rappresentativo rispetto alla variabile genere, e la nostra popolazione di riferimento</w:t>
      </w:r>
      <w:r w:rsidR="00264DDB">
        <w:rPr>
          <w:rFonts w:ascii="TimesNewRomanPSMT" w:hAnsi="TimesNewRomanPSMT" w:cs="TimesNewRomanPSMT"/>
        </w:rPr>
        <w:t xml:space="preserve"> </w:t>
      </w:r>
      <w:r>
        <w:rPr>
          <w:rFonts w:ascii="TimesNewRomanPSMT" w:hAnsi="TimesNewRomanPSMT" w:cs="TimesNewRomanPSMT"/>
        </w:rPr>
        <w:t>è relativa agli italiani nel 2017, sapendo che la popolazione di</w:t>
      </w:r>
      <w:r w:rsidR="00264DDB">
        <w:rPr>
          <w:rFonts w:ascii="TimesNewRomanPSMT" w:hAnsi="TimesNewRomanPSMT" w:cs="TimesNewRomanPSMT"/>
        </w:rPr>
        <w:t xml:space="preserve"> </w:t>
      </w:r>
      <w:r>
        <w:rPr>
          <w:rFonts w:ascii="TimesNewRomanPSMT" w:hAnsi="TimesNewRomanPSMT" w:cs="TimesNewRomanPSMT"/>
        </w:rPr>
        <w:t>riferimento è costituita dal 55% di donne, nel campione si può decidere di</w:t>
      </w:r>
      <w:r w:rsidR="00264DDB">
        <w:rPr>
          <w:rFonts w:ascii="TimesNewRomanPSMT" w:hAnsi="TimesNewRomanPSMT" w:cs="TimesNewRomanPSMT"/>
        </w:rPr>
        <w:t xml:space="preserve"> </w:t>
      </w:r>
      <w:r>
        <w:rPr>
          <w:rFonts w:ascii="TimesNewRomanPSMT" w:hAnsi="TimesNewRomanPSMT" w:cs="TimesNewRomanPSMT"/>
        </w:rPr>
        <w:t>rispettare tale proporzionalità facendo in modo che questo diventi rappresentativo</w:t>
      </w:r>
      <w:r w:rsidR="00264DDB">
        <w:rPr>
          <w:rFonts w:ascii="TimesNewRomanPSMT" w:hAnsi="TimesNewRomanPSMT" w:cs="TimesNewRomanPSMT"/>
        </w:rPr>
        <w:t xml:space="preserve"> </w:t>
      </w:r>
      <w:r>
        <w:rPr>
          <w:rFonts w:ascii="TimesNewRomanPSMT" w:hAnsi="TimesNewRomanPSMT" w:cs="TimesNewRomanPSMT"/>
        </w:rPr>
        <w:t xml:space="preserve">rispetto alla caratteristica </w:t>
      </w:r>
      <w:r>
        <w:rPr>
          <w:rFonts w:ascii="Times New Roman" w:hAnsi="Times New Roman" w:cs="Times New Roman"/>
          <w:i/>
          <w:iCs/>
        </w:rPr>
        <w:t xml:space="preserve">genere </w:t>
      </w:r>
      <w:r>
        <w:rPr>
          <w:rFonts w:ascii="TimesNewRomanPSMT" w:hAnsi="TimesNewRomanPSMT" w:cs="TimesNewRomanPSMT"/>
        </w:rPr>
        <w:t>(per un approfondimento esaustivo</w:t>
      </w:r>
      <w:r w:rsidR="00264DDB">
        <w:rPr>
          <w:rFonts w:ascii="TimesNewRomanPSMT" w:hAnsi="TimesNewRomanPSMT" w:cs="TimesNewRomanPSMT"/>
        </w:rPr>
        <w:t xml:space="preserve"> </w:t>
      </w:r>
      <w:r>
        <w:rPr>
          <w:rFonts w:ascii="TimesNewRomanPSMT" w:hAnsi="TimesNewRomanPSMT" w:cs="TimesNewRomanPSMT"/>
        </w:rPr>
        <w:t xml:space="preserve">rispetto ai tipi di campionamento, cfr. </w:t>
      </w:r>
      <w:proofErr w:type="spellStart"/>
      <w:r>
        <w:rPr>
          <w:rFonts w:ascii="TimesNewRomanPSMT" w:hAnsi="TimesNewRomanPSMT" w:cs="TimesNewRomanPSMT"/>
        </w:rPr>
        <w:t>Amaturo</w:t>
      </w:r>
      <w:proofErr w:type="spellEnd"/>
      <w:r>
        <w:rPr>
          <w:rFonts w:ascii="TimesNewRomanPSMT" w:hAnsi="TimesNewRomanPSMT" w:cs="TimesNewRomanPSMT"/>
        </w:rPr>
        <w:t xml:space="preserve">, Caputo, </w:t>
      </w:r>
      <w:proofErr w:type="spellStart"/>
      <w:r>
        <w:rPr>
          <w:rFonts w:ascii="TimesNewRomanPSMT" w:hAnsi="TimesNewRomanPSMT" w:cs="TimesNewRomanPSMT"/>
        </w:rPr>
        <w:t>Sommonte</w:t>
      </w:r>
      <w:proofErr w:type="spellEnd"/>
      <w:r>
        <w:rPr>
          <w:rFonts w:ascii="TimesNewRomanPSMT" w:hAnsi="TimesNewRomanPSMT" w:cs="TimesNewRomanPSMT"/>
        </w:rPr>
        <w:t>,</w:t>
      </w:r>
      <w:r w:rsidR="00264DDB">
        <w:rPr>
          <w:rFonts w:ascii="TimesNewRomanPSMT" w:hAnsi="TimesNewRomanPSMT" w:cs="TimesNewRomanPSMT"/>
        </w:rPr>
        <w:t xml:space="preserve"> </w:t>
      </w:r>
      <w:r>
        <w:rPr>
          <w:rFonts w:ascii="TimesNewRomanPSMT" w:hAnsi="TimesNewRomanPSMT" w:cs="TimesNewRomanPSMT"/>
        </w:rPr>
        <w:t>2012, pp. 206-227). Ovviamente, inserirsi in un’ottica analitica che prevede</w:t>
      </w:r>
      <w:r w:rsidR="00264DDB">
        <w:rPr>
          <w:rFonts w:ascii="TimesNewRomanPSMT" w:hAnsi="TimesNewRomanPSMT" w:cs="TimesNewRomanPSMT"/>
        </w:rPr>
        <w:t xml:space="preserve"> </w:t>
      </w:r>
      <w:r>
        <w:rPr>
          <w:rFonts w:ascii="TimesNewRomanPSMT" w:hAnsi="TimesNewRomanPSMT" w:cs="TimesNewRomanPSMT"/>
        </w:rPr>
        <w:t>l’utilizzo dei dati censuari, vuol dire legare imprescindibilmente la nostra</w:t>
      </w:r>
      <w:r w:rsidR="00264DDB">
        <w:rPr>
          <w:rFonts w:ascii="TimesNewRomanPSMT" w:hAnsi="TimesNewRomanPSMT" w:cs="TimesNewRomanPSMT"/>
        </w:rPr>
        <w:t xml:space="preserve"> </w:t>
      </w:r>
      <w:r>
        <w:rPr>
          <w:rFonts w:ascii="TimesNewRomanPSMT" w:hAnsi="TimesNewRomanPSMT" w:cs="TimesNewRomanPSMT"/>
        </w:rPr>
        <w:t>ricerca all’utilizzo di dati secondari; viceversa, uno studio campionario</w:t>
      </w:r>
      <w:r w:rsidR="00264DDB">
        <w:rPr>
          <w:rFonts w:ascii="TimesNewRomanPSMT" w:hAnsi="TimesNewRomanPSMT" w:cs="TimesNewRomanPSMT"/>
        </w:rPr>
        <w:t xml:space="preserve"> </w:t>
      </w:r>
      <w:r>
        <w:rPr>
          <w:rFonts w:ascii="TimesNewRomanPSMT" w:hAnsi="TimesNewRomanPSMT" w:cs="TimesNewRomanPSMT"/>
        </w:rPr>
        <w:t>consente di strutturare il proprio disegno di ricerca sia nell’ottica del recupero</w:t>
      </w:r>
      <w:r w:rsidR="00264DDB">
        <w:rPr>
          <w:rFonts w:ascii="TimesNewRomanPSMT" w:hAnsi="TimesNewRomanPSMT" w:cs="TimesNewRomanPSMT"/>
        </w:rPr>
        <w:t xml:space="preserve"> </w:t>
      </w:r>
      <w:r>
        <w:rPr>
          <w:rFonts w:ascii="TimesNewRomanPSMT" w:hAnsi="TimesNewRomanPSMT" w:cs="TimesNewRomanPSMT"/>
        </w:rPr>
        <w:t>diretto di dati primari sia in quella di recupero di dati secondari qualora</w:t>
      </w:r>
      <w:r w:rsidR="00264DDB">
        <w:rPr>
          <w:rFonts w:ascii="TimesNewRomanPSMT" w:hAnsi="TimesNewRomanPSMT" w:cs="TimesNewRomanPSMT"/>
        </w:rPr>
        <w:t xml:space="preserve"> </w:t>
      </w:r>
      <w:r>
        <w:rPr>
          <w:rFonts w:ascii="TimesNewRomanPSMT" w:hAnsi="TimesNewRomanPSMT" w:cs="TimesNewRomanPSMT"/>
        </w:rPr>
        <w:t>questi soddisfino per grandi linee le esigenze conoscitive espresse attraverso</w:t>
      </w:r>
      <w:r w:rsidR="00264DDB">
        <w:rPr>
          <w:rFonts w:ascii="TimesNewRomanPSMT" w:hAnsi="TimesNewRomanPSMT" w:cs="TimesNewRomanPSMT"/>
        </w:rPr>
        <w:t xml:space="preserve"> </w:t>
      </w:r>
      <w:r>
        <w:rPr>
          <w:rFonts w:ascii="TimesNewRomanPSMT" w:hAnsi="TimesNewRomanPSMT" w:cs="TimesNewRomanPSMT"/>
        </w:rPr>
        <w:t>le domande di ricerca che muovono l’intera indagine.</w:t>
      </w:r>
    </w:p>
    <w:p w:rsidR="00D30A6E"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 xml:space="preserve">Una quarta differenza intercorre, invece, in </w:t>
      </w:r>
      <w:r>
        <w:rPr>
          <w:rFonts w:ascii="Times New Roman" w:hAnsi="Times New Roman" w:cs="Times New Roman"/>
          <w:i/>
          <w:iCs/>
        </w:rPr>
        <w:t>fase di indirizzamento dell’analisi</w:t>
      </w:r>
      <w:r w:rsidR="00264DDB">
        <w:rPr>
          <w:rFonts w:ascii="Times New Roman" w:hAnsi="Times New Roman" w:cs="Times New Roman"/>
          <w:i/>
          <w:iCs/>
        </w:rPr>
        <w:t xml:space="preserve"> </w:t>
      </w:r>
      <w:r>
        <w:rPr>
          <w:rFonts w:ascii="Times New Roman" w:hAnsi="Times New Roman" w:cs="Times New Roman"/>
          <w:i/>
          <w:iCs/>
        </w:rPr>
        <w:t>dei dati</w:t>
      </w:r>
      <w:r>
        <w:rPr>
          <w:rFonts w:ascii="TimesNewRomanPSMT" w:hAnsi="TimesNewRomanPSMT" w:cs="TimesNewRomanPSMT"/>
        </w:rPr>
        <w:t>, portandoci a distingue rispetto all’obiettivo guida della</w:t>
      </w:r>
      <w:r w:rsidR="00264DDB">
        <w:rPr>
          <w:rFonts w:ascii="TimesNewRomanPSMT" w:hAnsi="TimesNewRomanPSMT" w:cs="TimesNewRomanPSMT"/>
        </w:rPr>
        <w:t xml:space="preserve"> </w:t>
      </w:r>
      <w:r>
        <w:rPr>
          <w:rFonts w:ascii="TimesNewRomanPSMT" w:hAnsi="TimesNewRomanPSMT" w:cs="TimesNewRomanPSMT"/>
        </w:rPr>
        <w:t xml:space="preserve">ricerca condotta, e quindi tra </w:t>
      </w:r>
      <w:r>
        <w:rPr>
          <w:rFonts w:ascii="Times New Roman" w:hAnsi="Times New Roman" w:cs="Times New Roman"/>
          <w:i/>
          <w:iCs/>
        </w:rPr>
        <w:t xml:space="preserve">studi esplorativo-descrittivi </w:t>
      </w:r>
      <w:r>
        <w:rPr>
          <w:rFonts w:ascii="TimesNewRomanPSMT" w:hAnsi="TimesNewRomanPSMT" w:cs="TimesNewRomanPSMT"/>
        </w:rPr>
        <w:t xml:space="preserve">e </w:t>
      </w:r>
      <w:r>
        <w:rPr>
          <w:rFonts w:ascii="Times New Roman" w:hAnsi="Times New Roman" w:cs="Times New Roman"/>
          <w:i/>
          <w:iCs/>
        </w:rPr>
        <w:t>studi confermativi</w:t>
      </w:r>
      <w:r>
        <w:rPr>
          <w:rFonts w:ascii="TimesNewRomanPSMT" w:hAnsi="TimesNewRomanPSMT" w:cs="TimesNewRomanPSMT"/>
        </w:rPr>
        <w:t>.</w:t>
      </w:r>
      <w:r w:rsidR="00264DDB">
        <w:rPr>
          <w:rFonts w:ascii="TimesNewRomanPSMT" w:hAnsi="TimesNewRomanPSMT" w:cs="TimesNewRomanPSMT"/>
        </w:rPr>
        <w:t xml:space="preserve"> </w:t>
      </w:r>
      <w:r>
        <w:rPr>
          <w:rFonts w:ascii="TimesNewRomanPSMT" w:hAnsi="TimesNewRomanPSMT" w:cs="TimesNewRomanPSMT"/>
        </w:rPr>
        <w:t>Una base dati può, difatti, essere elaborata con intento meramente descrittivo</w:t>
      </w:r>
      <w:r w:rsidR="00264DDB">
        <w:rPr>
          <w:rFonts w:ascii="TimesNewRomanPSMT" w:hAnsi="TimesNewRomanPSMT" w:cs="TimesNewRomanPSMT"/>
        </w:rPr>
        <w:t xml:space="preserve"> </w:t>
      </w:r>
      <w:r>
        <w:rPr>
          <w:rFonts w:ascii="TimesNewRomanPSMT" w:hAnsi="TimesNewRomanPSMT" w:cs="TimesNewRomanPSMT"/>
        </w:rPr>
        <w:t>sia perché la nostra domanda conoscitiva lo impone sia per le</w:t>
      </w:r>
      <w:r w:rsidR="00264DDB">
        <w:rPr>
          <w:rFonts w:ascii="TimesNewRomanPSMT" w:hAnsi="TimesNewRomanPSMT" w:cs="TimesNewRomanPSMT"/>
        </w:rPr>
        <w:t xml:space="preserve"> </w:t>
      </w:r>
      <w:r>
        <w:rPr>
          <w:rFonts w:ascii="TimesNewRomanPSMT" w:hAnsi="TimesNewRomanPSMT" w:cs="TimesNewRomanPSMT"/>
        </w:rPr>
        <w:t>caratteristiche della base dati stessa. Ad esempio quando la procedura di selezione</w:t>
      </w:r>
      <w:r w:rsidR="00264DDB">
        <w:rPr>
          <w:rFonts w:ascii="TimesNewRomanPSMT" w:hAnsi="TimesNewRomanPSMT" w:cs="TimesNewRomanPSMT"/>
        </w:rPr>
        <w:t xml:space="preserve"> </w:t>
      </w:r>
      <w:r>
        <w:rPr>
          <w:rFonts w:ascii="TimesNewRomanPSMT" w:hAnsi="TimesNewRomanPSMT" w:cs="TimesNewRomanPSMT"/>
        </w:rPr>
        <w:t>dei casi non è rappresentativa oppure la numerosità campionaria è</w:t>
      </w:r>
      <w:r w:rsidR="00264DDB">
        <w:rPr>
          <w:rFonts w:ascii="TimesNewRomanPSMT" w:hAnsi="TimesNewRomanPSMT" w:cs="TimesNewRomanPSMT"/>
        </w:rPr>
        <w:t xml:space="preserve"> </w:t>
      </w:r>
      <w:r>
        <w:rPr>
          <w:rFonts w:ascii="TimesNewRomanPSMT" w:hAnsi="TimesNewRomanPSMT" w:cs="TimesNewRomanPSMT"/>
        </w:rPr>
        <w:t>troppo bassa per consentire possibili generalizzazioni. Altro caso è quello</w:t>
      </w:r>
      <w:r w:rsidR="00264DDB">
        <w:rPr>
          <w:rFonts w:ascii="TimesNewRomanPSMT" w:hAnsi="TimesNewRomanPSMT" w:cs="TimesNewRomanPSMT"/>
        </w:rPr>
        <w:t xml:space="preserve"> </w:t>
      </w:r>
      <w:r>
        <w:rPr>
          <w:rFonts w:ascii="TimesNewRomanPSMT" w:hAnsi="TimesNewRomanPSMT" w:cs="TimesNewRomanPSMT"/>
        </w:rPr>
        <w:t>in cui tutte le scelte operate al fine della costruzione della nostra base empirica</w:t>
      </w:r>
      <w:r w:rsidR="00264DDB">
        <w:rPr>
          <w:rFonts w:ascii="TimesNewRomanPSMT" w:hAnsi="TimesNewRomanPSMT" w:cs="TimesNewRomanPSMT"/>
        </w:rPr>
        <w:t xml:space="preserve"> </w:t>
      </w:r>
      <w:r>
        <w:rPr>
          <w:rFonts w:ascii="TimesNewRomanPSMT" w:hAnsi="TimesNewRomanPSMT" w:cs="TimesNewRomanPSMT"/>
        </w:rPr>
        <w:t>sono volte a finalità inferenziali e a un’analisi statistica multidimensionale</w:t>
      </w:r>
      <w:r w:rsidR="00264DDB">
        <w:rPr>
          <w:rFonts w:ascii="TimesNewRomanPSMT" w:hAnsi="TimesNewRomanPSMT" w:cs="TimesNewRomanPSMT"/>
        </w:rPr>
        <w:t xml:space="preserve"> </w:t>
      </w:r>
      <w:r>
        <w:rPr>
          <w:rFonts w:ascii="TimesNewRomanPSMT" w:hAnsi="TimesNewRomanPSMT" w:cs="TimesNewRomanPSMT"/>
        </w:rPr>
        <w:t>dei dati raccolti. Ciò impone, ovviamente, l’essersi inseriti in un</w:t>
      </w:r>
      <w:r w:rsidR="00264DDB">
        <w:rPr>
          <w:rFonts w:ascii="TimesNewRomanPSMT" w:hAnsi="TimesNewRomanPSMT" w:cs="TimesNewRomanPSMT"/>
        </w:rPr>
        <w:t xml:space="preserve"> </w:t>
      </w:r>
      <w:r>
        <w:rPr>
          <w:rFonts w:ascii="TimesNewRomanPSMT" w:hAnsi="TimesNewRomanPSMT" w:cs="TimesNewRomanPSMT"/>
        </w:rPr>
        <w:t>approccio quantitativo, l’aver formulato ipotesi immaginabili come modelli</w:t>
      </w:r>
      <w:r w:rsidR="00264DDB">
        <w:rPr>
          <w:rFonts w:ascii="TimesNewRomanPSMT" w:hAnsi="TimesNewRomanPSMT" w:cs="TimesNewRomanPSMT"/>
        </w:rPr>
        <w:t xml:space="preserve"> </w:t>
      </w:r>
      <w:r>
        <w:rPr>
          <w:rFonts w:ascii="TimesNewRomanPSMT" w:hAnsi="TimesNewRomanPSMT" w:cs="TimesNewRomanPSMT"/>
        </w:rPr>
        <w:t>e l’aver optato per un campionamento di tipo probabilistico (più spesso in</w:t>
      </w:r>
      <w:r w:rsidR="00264DDB">
        <w:rPr>
          <w:rFonts w:ascii="TimesNewRomanPSMT" w:hAnsi="TimesNewRomanPSMT" w:cs="TimesNewRomanPSMT"/>
        </w:rPr>
        <w:t xml:space="preserve"> </w:t>
      </w:r>
      <w:r>
        <w:rPr>
          <w:rFonts w:ascii="TimesNewRomanPSMT" w:hAnsi="TimesNewRomanPSMT" w:cs="TimesNewRomanPSMT"/>
        </w:rPr>
        <w:t>caso di analisi di dati primari) oppure censuario (più spesso in caso di analisi</w:t>
      </w:r>
      <w:r w:rsidR="00264DDB">
        <w:rPr>
          <w:rFonts w:ascii="TimesNewRomanPSMT" w:hAnsi="TimesNewRomanPSMT" w:cs="TimesNewRomanPSMT"/>
        </w:rPr>
        <w:t xml:space="preserve"> </w:t>
      </w:r>
      <w:r>
        <w:rPr>
          <w:rFonts w:ascii="TimesNewRomanPSMT" w:hAnsi="TimesNewRomanPSMT" w:cs="TimesNewRomanPSMT"/>
        </w:rPr>
        <w:t>di dati secondari).</w:t>
      </w:r>
    </w:p>
    <w:p w:rsidR="00264DDB"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lastRenderedPageBreak/>
        <w:t>Distinguiamo, pertanto, un approccio esplorativo che punta all’esplorazione,</w:t>
      </w:r>
      <w:r w:rsidR="00264DDB">
        <w:rPr>
          <w:rFonts w:ascii="TimesNewRomanPSMT" w:hAnsi="TimesNewRomanPSMT" w:cs="TimesNewRomanPSMT"/>
        </w:rPr>
        <w:t xml:space="preserve"> </w:t>
      </w:r>
      <w:r>
        <w:rPr>
          <w:rFonts w:ascii="TimesNewRomanPSMT" w:hAnsi="TimesNewRomanPSMT" w:cs="TimesNewRomanPSMT"/>
        </w:rPr>
        <w:t>descrizione e sintesi dei dati secondo il quale l’analista non deve</w:t>
      </w:r>
      <w:r w:rsidR="00264DDB">
        <w:rPr>
          <w:rFonts w:ascii="TimesNewRomanPSMT" w:hAnsi="TimesNewRomanPSMT" w:cs="TimesNewRomanPSMT"/>
        </w:rPr>
        <w:t xml:space="preserve"> </w:t>
      </w:r>
      <w:r>
        <w:rPr>
          <w:rFonts w:ascii="TimesNewRomanPSMT" w:hAnsi="TimesNewRomanPSMT" w:cs="TimesNewRomanPSMT"/>
        </w:rPr>
        <w:t>formulare a monte delle ipotesi circa le relazioni tra le variabili oggetto di</w:t>
      </w:r>
      <w:r w:rsidR="00264DDB">
        <w:rPr>
          <w:rFonts w:ascii="TimesNewRomanPSMT" w:hAnsi="TimesNewRomanPSMT" w:cs="TimesNewRomanPSMT"/>
        </w:rPr>
        <w:t xml:space="preserve"> </w:t>
      </w:r>
      <w:r>
        <w:rPr>
          <w:rFonts w:ascii="TimesNewRomanPSMT" w:hAnsi="TimesNewRomanPSMT" w:cs="TimesNewRomanPSMT"/>
        </w:rPr>
        <w:t>studio, ma deve porsi nell’ottica della disponibilità ad accogliere risultanze</w:t>
      </w:r>
      <w:r w:rsidR="00264DDB">
        <w:rPr>
          <w:rFonts w:ascii="TimesNewRomanPSMT" w:hAnsi="TimesNewRomanPSMT" w:cs="TimesNewRomanPSMT"/>
        </w:rPr>
        <w:t xml:space="preserve"> </w:t>
      </w:r>
      <w:r>
        <w:rPr>
          <w:rFonts w:ascii="TimesNewRomanPSMT" w:hAnsi="TimesNewRomanPSMT" w:cs="TimesNewRomanPSMT"/>
        </w:rPr>
        <w:t>empiriche non prevedibili a priori. D’altra parte, possiamo invece ritrovare</w:t>
      </w:r>
      <w:r w:rsidR="00264DDB">
        <w:rPr>
          <w:rFonts w:ascii="TimesNewRomanPSMT" w:hAnsi="TimesNewRomanPSMT" w:cs="TimesNewRomanPSMT"/>
        </w:rPr>
        <w:t xml:space="preserve"> </w:t>
      </w:r>
      <w:r>
        <w:rPr>
          <w:rFonts w:ascii="TimesNewRomanPSMT" w:hAnsi="TimesNewRomanPSMT" w:cs="TimesNewRomanPSMT"/>
        </w:rPr>
        <w:t>un approccio confermativo-modellistico, per il quale, all’inverso, si parte</w:t>
      </w:r>
      <w:r w:rsidR="00264DDB">
        <w:rPr>
          <w:rFonts w:ascii="TimesNewRomanPSMT" w:hAnsi="TimesNewRomanPSMT" w:cs="TimesNewRomanPSMT"/>
        </w:rPr>
        <w:t xml:space="preserve"> </w:t>
      </w:r>
      <w:r>
        <w:rPr>
          <w:rFonts w:ascii="TimesNewRomanPSMT" w:hAnsi="TimesNewRomanPSMT" w:cs="TimesNewRomanPSMT"/>
        </w:rPr>
        <w:t>dalle ipotesi circa le relazioni tra le variabili che si vuole sottoporre a controllo</w:t>
      </w:r>
      <w:r w:rsidR="00264DDB">
        <w:rPr>
          <w:rFonts w:ascii="TimesNewRomanPSMT" w:hAnsi="TimesNewRomanPSMT" w:cs="TimesNewRomanPSMT"/>
        </w:rPr>
        <w:t xml:space="preserve"> </w:t>
      </w:r>
      <w:r>
        <w:rPr>
          <w:rFonts w:ascii="TimesNewRomanPSMT" w:hAnsi="TimesNewRomanPSMT" w:cs="TimesNewRomanPSMT"/>
        </w:rPr>
        <w:t>empirico: il ricercatore sarà, pertanto, in grado di individuare, selezionare</w:t>
      </w:r>
      <w:r w:rsidR="00264DDB">
        <w:rPr>
          <w:rFonts w:ascii="TimesNewRomanPSMT" w:hAnsi="TimesNewRomanPSMT" w:cs="TimesNewRomanPSMT"/>
        </w:rPr>
        <w:t xml:space="preserve"> </w:t>
      </w:r>
      <w:r>
        <w:rPr>
          <w:rFonts w:ascii="TimesNewRomanPSMT" w:hAnsi="TimesNewRomanPSMT" w:cs="TimesNewRomanPSMT"/>
        </w:rPr>
        <w:t>e connettere le variabili in base alle sue conoscenze pregresse. In tal</w:t>
      </w:r>
      <w:r w:rsidR="00264DDB">
        <w:rPr>
          <w:rFonts w:ascii="TimesNewRomanPSMT" w:hAnsi="TimesNewRomanPSMT" w:cs="TimesNewRomanPSMT"/>
        </w:rPr>
        <w:t xml:space="preserve"> </w:t>
      </w:r>
      <w:r>
        <w:rPr>
          <w:rFonts w:ascii="TimesNewRomanPSMT" w:hAnsi="TimesNewRomanPSMT" w:cs="TimesNewRomanPSMT"/>
        </w:rPr>
        <w:t>modo, egli potrà valutare se le ipotesi a monte della ricerca sono compatibili</w:t>
      </w:r>
      <w:r w:rsidR="00264DDB">
        <w:rPr>
          <w:rFonts w:ascii="TimesNewRomanPSMT" w:hAnsi="TimesNewRomanPSMT" w:cs="TimesNewRomanPSMT"/>
        </w:rPr>
        <w:t xml:space="preserve"> </w:t>
      </w:r>
      <w:r>
        <w:rPr>
          <w:rFonts w:ascii="TimesNewRomanPSMT" w:hAnsi="TimesNewRomanPSMT" w:cs="TimesNewRomanPSMT"/>
        </w:rPr>
        <w:t>con i dati a disposizione al fine di creare modelli di analisi dei dati da</w:t>
      </w:r>
      <w:r w:rsidR="00264DDB">
        <w:rPr>
          <w:rFonts w:ascii="TimesNewRomanPSMT" w:hAnsi="TimesNewRomanPSMT" w:cs="TimesNewRomanPSMT"/>
        </w:rPr>
        <w:t xml:space="preserve"> </w:t>
      </w:r>
      <w:r>
        <w:rPr>
          <w:rFonts w:ascii="TimesNewRomanPSMT" w:hAnsi="TimesNewRomanPSMT" w:cs="TimesNewRomanPSMT"/>
        </w:rPr>
        <w:t>sottoporre a tecniche di inferenza statistica per arrivare alla generalizzazione</w:t>
      </w:r>
      <w:r w:rsidR="00264DDB">
        <w:rPr>
          <w:rFonts w:ascii="TimesNewRomanPSMT" w:hAnsi="TimesNewRomanPSMT" w:cs="TimesNewRomanPSMT"/>
        </w:rPr>
        <w:t xml:space="preserve"> </w:t>
      </w:r>
      <w:r>
        <w:rPr>
          <w:rFonts w:ascii="TimesNewRomanPSMT" w:hAnsi="TimesNewRomanPSMT" w:cs="TimesNewRomanPSMT"/>
        </w:rPr>
        <w:t>dei risultati della ricerca al di là del campione esaminato. Come afferma</w:t>
      </w:r>
      <w:r w:rsidR="00264DDB">
        <w:rPr>
          <w:rFonts w:ascii="TimesNewRomanPSMT" w:hAnsi="TimesNewRomanPSMT" w:cs="TimesNewRomanPSMT"/>
        </w:rPr>
        <w:t xml:space="preserve"> </w:t>
      </w:r>
      <w:r>
        <w:rPr>
          <w:rFonts w:ascii="TimesNewRomanPSMT" w:hAnsi="TimesNewRomanPSMT" w:cs="TimesNewRomanPSMT"/>
        </w:rPr>
        <w:t xml:space="preserve">Di Franco (2005), l’analisi esplorativa è un lavoro da </w:t>
      </w:r>
      <w:r>
        <w:rPr>
          <w:rFonts w:ascii="Times New Roman" w:hAnsi="Times New Roman" w:cs="Times New Roman"/>
          <w:i/>
          <w:iCs/>
        </w:rPr>
        <w:t>detective</w:t>
      </w:r>
      <w:r>
        <w:rPr>
          <w:rFonts w:ascii="TimesNewRomanPSMT" w:hAnsi="TimesNewRomanPSMT" w:cs="TimesNewRomanPSMT"/>
        </w:rPr>
        <w:t>, l’analisi</w:t>
      </w:r>
      <w:r w:rsidR="00264DDB">
        <w:rPr>
          <w:rFonts w:ascii="TimesNewRomanPSMT" w:hAnsi="TimesNewRomanPSMT" w:cs="TimesNewRomanPSMT"/>
        </w:rPr>
        <w:t xml:space="preserve"> </w:t>
      </w:r>
      <w:r>
        <w:rPr>
          <w:rFonts w:ascii="TimesNewRomanPSMT" w:hAnsi="TimesNewRomanPSMT" w:cs="TimesNewRomanPSMT"/>
        </w:rPr>
        <w:t>confermativa è un lavoro da giudici. Dunque finché un’indagine esplorativa</w:t>
      </w:r>
      <w:r w:rsidR="00264DDB">
        <w:rPr>
          <w:rFonts w:ascii="TimesNewRomanPSMT" w:hAnsi="TimesNewRomanPSMT" w:cs="TimesNewRomanPSMT"/>
        </w:rPr>
        <w:t xml:space="preserve"> </w:t>
      </w:r>
      <w:r>
        <w:rPr>
          <w:rFonts w:ascii="TimesNewRomanPSMT" w:hAnsi="TimesNewRomanPSMT" w:cs="TimesNewRomanPSMT"/>
        </w:rPr>
        <w:t>non trova indicazioni generalmente a carattere quantitativo, non c’è nulla su</w:t>
      </w:r>
      <w:r w:rsidR="00264DDB">
        <w:rPr>
          <w:rFonts w:ascii="TimesNewRomanPSMT" w:hAnsi="TimesNewRomanPSMT" w:cs="TimesNewRomanPSMT"/>
        </w:rPr>
        <w:t xml:space="preserve"> </w:t>
      </w:r>
      <w:r>
        <w:rPr>
          <w:rFonts w:ascii="TimesNewRomanPSMT" w:hAnsi="TimesNewRomanPSMT" w:cs="TimesNewRomanPSMT"/>
        </w:rPr>
        <w:t>cui lavorare per un’analisi confermativa. L’analisi esplorativa può rappresentare</w:t>
      </w:r>
      <w:r w:rsidR="00264DDB">
        <w:rPr>
          <w:rFonts w:ascii="TimesNewRomanPSMT" w:hAnsi="TimesNewRomanPSMT" w:cs="TimesNewRomanPSMT"/>
        </w:rPr>
        <w:t xml:space="preserve"> </w:t>
      </w:r>
      <w:r>
        <w:rPr>
          <w:rFonts w:ascii="TimesNewRomanPSMT" w:hAnsi="TimesNewRomanPSMT" w:cs="TimesNewRomanPSMT"/>
        </w:rPr>
        <w:t>legittimamente un buon punto di partenza, ma non esaurirà mai</w:t>
      </w:r>
      <w:r w:rsidR="00264DDB">
        <w:rPr>
          <w:rFonts w:ascii="TimesNewRomanPSMT" w:hAnsi="TimesNewRomanPSMT" w:cs="TimesNewRomanPSMT"/>
        </w:rPr>
        <w:t xml:space="preserve"> </w:t>
      </w:r>
      <w:r>
        <w:rPr>
          <w:rFonts w:ascii="TimesNewRomanPSMT" w:hAnsi="TimesNewRomanPSMT" w:cs="TimesNewRomanPSMT"/>
        </w:rPr>
        <w:t>completamente la necessità conoscitiva che muove lo studio condotto (Tukey,1977). Essa sarà atta ad acquisire una descrizione più analitica di ciò</w:t>
      </w:r>
      <w:r w:rsidR="00264DDB">
        <w:rPr>
          <w:rFonts w:ascii="TimesNewRomanPSMT" w:hAnsi="TimesNewRomanPSMT" w:cs="TimesNewRomanPSMT"/>
        </w:rPr>
        <w:t xml:space="preserve"> </w:t>
      </w:r>
      <w:r>
        <w:rPr>
          <w:rFonts w:ascii="TimesNewRomanPSMT" w:hAnsi="TimesNewRomanPSMT" w:cs="TimesNewRomanPSMT"/>
        </w:rPr>
        <w:t>che si conosce superficialmente o che si intuisce, a trovare risultati inattesi</w:t>
      </w:r>
      <w:r w:rsidR="00264DDB">
        <w:rPr>
          <w:rFonts w:ascii="TimesNewRomanPSMT" w:hAnsi="TimesNewRomanPSMT" w:cs="TimesNewRomanPSMT"/>
        </w:rPr>
        <w:t xml:space="preserve"> </w:t>
      </w:r>
      <w:r>
        <w:rPr>
          <w:rFonts w:ascii="TimesNewRomanPSMT" w:hAnsi="TimesNewRomanPSMT" w:cs="TimesNewRomanPSMT"/>
        </w:rPr>
        <w:t>e suggerire modelli per la sintesi e l’esposizione dei dati, a utilizzare i risultati</w:t>
      </w:r>
      <w:r w:rsidR="00264DDB">
        <w:rPr>
          <w:rFonts w:ascii="TimesNewRomanPSMT" w:hAnsi="TimesNewRomanPSMT" w:cs="TimesNewRomanPSMT"/>
        </w:rPr>
        <w:t xml:space="preserve"> </w:t>
      </w:r>
      <w:r>
        <w:rPr>
          <w:rFonts w:ascii="TimesNewRomanPSMT" w:hAnsi="TimesNewRomanPSMT" w:cs="TimesNewRomanPSMT"/>
        </w:rPr>
        <w:t>dell’analisi per stabilire l’adattamento di un certo sistema di ipotesi formulate</w:t>
      </w:r>
      <w:r w:rsidR="00264DDB">
        <w:rPr>
          <w:rFonts w:ascii="TimesNewRomanPSMT" w:hAnsi="TimesNewRomanPSMT" w:cs="TimesNewRomanPSMT"/>
        </w:rPr>
        <w:t xml:space="preserve"> </w:t>
      </w:r>
      <w:r>
        <w:rPr>
          <w:rFonts w:ascii="TimesNewRomanPSMT" w:hAnsi="TimesNewRomanPSMT" w:cs="TimesNewRomanPSMT"/>
        </w:rPr>
        <w:t>a priori, a fornire stimoli e indicazioni per future ricerche, o ancora</w:t>
      </w:r>
      <w:r w:rsidR="00264DDB">
        <w:rPr>
          <w:rFonts w:ascii="TimesNewRomanPSMT" w:hAnsi="TimesNewRomanPSMT" w:cs="TimesNewRomanPSMT"/>
        </w:rPr>
        <w:t xml:space="preserve"> </w:t>
      </w:r>
      <w:r>
        <w:rPr>
          <w:rFonts w:ascii="TimesNewRomanPSMT" w:hAnsi="TimesNewRomanPSMT" w:cs="TimesNewRomanPSMT"/>
        </w:rPr>
        <w:t>a stimolare la creatività del ricercatore mentre analizza i dati e valuta i passi</w:t>
      </w:r>
      <w:r w:rsidR="00264DDB">
        <w:rPr>
          <w:rFonts w:ascii="TimesNewRomanPSMT" w:hAnsi="TimesNewRomanPSMT" w:cs="TimesNewRomanPSMT"/>
        </w:rPr>
        <w:t xml:space="preserve"> </w:t>
      </w:r>
      <w:r>
        <w:rPr>
          <w:rFonts w:ascii="TimesNewRomanPSMT" w:hAnsi="TimesNewRomanPSMT" w:cs="TimesNewRomanPSMT"/>
        </w:rPr>
        <w:t>successivi per l’analisi degli stessi. Ciò richiede, ovviamente, al ricercatore</w:t>
      </w:r>
      <w:r w:rsidR="00264DDB">
        <w:rPr>
          <w:rFonts w:ascii="TimesNewRomanPSMT" w:hAnsi="TimesNewRomanPSMT" w:cs="TimesNewRomanPSMT"/>
        </w:rPr>
        <w:t xml:space="preserve"> </w:t>
      </w:r>
      <w:r>
        <w:rPr>
          <w:rFonts w:ascii="TimesNewRomanPSMT" w:hAnsi="TimesNewRomanPSMT" w:cs="TimesNewRomanPSMT"/>
        </w:rPr>
        <w:t>un carico minore di conoscenze ed esperienza al fine di scoprire elementi</w:t>
      </w:r>
      <w:r w:rsidR="00264DDB">
        <w:rPr>
          <w:rFonts w:ascii="TimesNewRomanPSMT" w:hAnsi="TimesNewRomanPSMT" w:cs="TimesNewRomanPSMT"/>
        </w:rPr>
        <w:t xml:space="preserve"> </w:t>
      </w:r>
      <w:r>
        <w:rPr>
          <w:rFonts w:ascii="TimesNewRomanPSMT" w:hAnsi="TimesNewRomanPSMT" w:cs="TimesNewRomanPSMT"/>
        </w:rPr>
        <w:t>non evidenti e noti, così come descrivere e sintetizzare quanto di manifesto</w:t>
      </w:r>
      <w:r w:rsidR="00264DDB">
        <w:rPr>
          <w:rFonts w:ascii="TimesNewRomanPSMT" w:hAnsi="TimesNewRomanPSMT" w:cs="TimesNewRomanPSMT"/>
        </w:rPr>
        <w:t xml:space="preserve"> </w:t>
      </w:r>
      <w:r>
        <w:rPr>
          <w:rFonts w:ascii="TimesNewRomanPSMT" w:hAnsi="TimesNewRomanPSMT" w:cs="TimesNewRomanPSMT"/>
        </w:rPr>
        <w:t>è possibile rilevare dai dati a disposizione del ricercatore. L’esito della ricerca</w:t>
      </w:r>
      <w:r w:rsidR="00264DDB">
        <w:rPr>
          <w:rFonts w:ascii="TimesNewRomanPSMT" w:hAnsi="TimesNewRomanPSMT" w:cs="TimesNewRomanPSMT"/>
        </w:rPr>
        <w:t xml:space="preserve"> </w:t>
      </w:r>
      <w:r>
        <w:rPr>
          <w:rFonts w:ascii="TimesNewRomanPSMT" w:hAnsi="TimesNewRomanPSMT" w:cs="TimesNewRomanPSMT"/>
        </w:rPr>
        <w:t>porterà, pertanto, al raffinamento delle ipotesi di partenza e alla formulazione</w:t>
      </w:r>
      <w:r w:rsidR="00264DDB">
        <w:rPr>
          <w:rFonts w:ascii="TimesNewRomanPSMT" w:hAnsi="TimesNewRomanPSMT" w:cs="TimesNewRomanPSMT"/>
        </w:rPr>
        <w:t xml:space="preserve"> </w:t>
      </w:r>
      <w:r>
        <w:rPr>
          <w:rFonts w:ascii="TimesNewRomanPSMT" w:hAnsi="TimesNewRomanPSMT" w:cs="TimesNewRomanPSMT"/>
        </w:rPr>
        <w:t>di nuove ipotesi più specifiche circa l’oggetto di studio. L’analisi</w:t>
      </w:r>
      <w:r w:rsidR="00264DDB">
        <w:rPr>
          <w:rFonts w:ascii="TimesNewRomanPSMT" w:hAnsi="TimesNewRomanPSMT" w:cs="TimesNewRomanPSMT"/>
        </w:rPr>
        <w:t xml:space="preserve"> </w:t>
      </w:r>
      <w:r>
        <w:rPr>
          <w:rFonts w:ascii="TimesNewRomanPSMT" w:hAnsi="TimesNewRomanPSMT" w:cs="TimesNewRomanPSMT"/>
        </w:rPr>
        <w:t>confermativa, invece, si configura più come punto d’approdo, nel quale</w:t>
      </w:r>
      <w:r w:rsidR="00264DDB">
        <w:rPr>
          <w:rFonts w:ascii="TimesNewRomanPSMT" w:hAnsi="TimesNewRomanPSMT" w:cs="TimesNewRomanPSMT"/>
        </w:rPr>
        <w:t xml:space="preserve"> </w:t>
      </w:r>
      <w:r>
        <w:rPr>
          <w:rFonts w:ascii="TimesNewRomanPSMT" w:hAnsi="TimesNewRomanPSMT" w:cs="TimesNewRomanPSMT"/>
        </w:rPr>
        <w:t>una forte strutturazione teo</w:t>
      </w:r>
      <w:r w:rsidR="00264DDB">
        <w:rPr>
          <w:rFonts w:ascii="TimesNewRomanPSMT" w:hAnsi="TimesNewRomanPSMT" w:cs="TimesNewRomanPSMT"/>
        </w:rPr>
        <w:t xml:space="preserve">rica delle ipotesi, mossa da una </w:t>
      </w:r>
      <w:r>
        <w:rPr>
          <w:rFonts w:ascii="TimesNewRomanPSMT" w:hAnsi="TimesNewRomanPSMT" w:cs="TimesNewRomanPSMT"/>
        </w:rPr>
        <w:t>altrettanto robusta</w:t>
      </w:r>
      <w:r w:rsidR="00264DDB">
        <w:rPr>
          <w:rFonts w:ascii="TimesNewRomanPSMT" w:hAnsi="TimesNewRomanPSMT" w:cs="TimesNewRomanPSMT"/>
        </w:rPr>
        <w:t xml:space="preserve"> </w:t>
      </w:r>
      <w:r>
        <w:rPr>
          <w:rFonts w:ascii="TimesNewRomanPSMT" w:hAnsi="TimesNewRomanPSMT" w:cs="TimesNewRomanPSMT"/>
        </w:rPr>
        <w:t>conoscenza del campo d’analisi, consente di ragionare esattamente in</w:t>
      </w:r>
      <w:r w:rsidR="00264DDB">
        <w:rPr>
          <w:rFonts w:ascii="TimesNewRomanPSMT" w:hAnsi="TimesNewRomanPSMT" w:cs="TimesNewRomanPSMT"/>
        </w:rPr>
        <w:t xml:space="preserve"> </w:t>
      </w:r>
      <w:r>
        <w:rPr>
          <w:rFonts w:ascii="TimesNewRomanPSMT" w:hAnsi="TimesNewRomanPSMT" w:cs="TimesNewRomanPSMT"/>
        </w:rPr>
        <w:t>funzione delle domande conoscitive elaborate come interconnessione di relazioni</w:t>
      </w:r>
      <w:r w:rsidR="00264DDB">
        <w:rPr>
          <w:rFonts w:ascii="TimesNewRomanPSMT" w:hAnsi="TimesNewRomanPSMT" w:cs="TimesNewRomanPSMT"/>
        </w:rPr>
        <w:t xml:space="preserve"> </w:t>
      </w:r>
      <w:r>
        <w:rPr>
          <w:rFonts w:ascii="TimesNewRomanPSMT" w:hAnsi="TimesNewRomanPSMT" w:cs="TimesNewRomanPSMT"/>
        </w:rPr>
        <w:t>tra le variabili (ad esempio ci si può chiedere se x influenza y e in</w:t>
      </w:r>
      <w:r w:rsidR="00264DDB">
        <w:rPr>
          <w:rFonts w:ascii="TimesNewRomanPSMT" w:hAnsi="TimesNewRomanPSMT" w:cs="TimesNewRomanPSMT"/>
        </w:rPr>
        <w:t xml:space="preserve"> </w:t>
      </w:r>
      <w:r>
        <w:rPr>
          <w:rFonts w:ascii="TimesNewRomanPSMT" w:hAnsi="TimesNewRomanPSMT" w:cs="TimesNewRomanPSMT"/>
        </w:rPr>
        <w:t>che misura, se x e y generano z o viceversa, etc.). Tale tipo d’analisi non ha</w:t>
      </w:r>
      <w:r w:rsidR="00264DDB">
        <w:rPr>
          <w:rFonts w:ascii="TimesNewRomanPSMT" w:hAnsi="TimesNewRomanPSMT" w:cs="TimesNewRomanPSMT"/>
        </w:rPr>
        <w:t xml:space="preserve"> </w:t>
      </w:r>
      <w:r>
        <w:rPr>
          <w:rFonts w:ascii="TimesNewRomanPSMT" w:hAnsi="TimesNewRomanPSMT" w:cs="TimesNewRomanPSMT"/>
        </w:rPr>
        <w:t>l’obiettivo di descrivere un fenomeno ma di interpretarne cause, effetti, andamenti,</w:t>
      </w:r>
      <w:r w:rsidR="00264DDB">
        <w:rPr>
          <w:rFonts w:ascii="TimesNewRomanPSMT" w:hAnsi="TimesNewRomanPSMT" w:cs="TimesNewRomanPSMT"/>
        </w:rPr>
        <w:t xml:space="preserve"> </w:t>
      </w:r>
      <w:r>
        <w:rPr>
          <w:rFonts w:ascii="TimesNewRomanPSMT" w:hAnsi="TimesNewRomanPSMT" w:cs="TimesNewRomanPSMT"/>
        </w:rPr>
        <w:t>influenze, possibili sviluppi, attraverso una modellizzazione precisa delle variabili in gioco e della struttura che ne domina le relazioni; processo</w:t>
      </w:r>
      <w:r w:rsidR="00264DDB">
        <w:rPr>
          <w:rFonts w:ascii="TimesNewRomanPSMT" w:hAnsi="TimesNewRomanPSMT" w:cs="TimesNewRomanPSMT"/>
        </w:rPr>
        <w:t xml:space="preserve"> </w:t>
      </w:r>
      <w:r>
        <w:rPr>
          <w:rFonts w:ascii="TimesNewRomanPSMT" w:hAnsi="TimesNewRomanPSMT" w:cs="TimesNewRomanPSMT"/>
        </w:rPr>
        <w:t>questo che non mette in gioco la creatività o l’immaginazione del ricercatore,</w:t>
      </w:r>
      <w:r w:rsidR="00264DDB">
        <w:rPr>
          <w:rFonts w:ascii="TimesNewRomanPSMT" w:hAnsi="TimesNewRomanPSMT" w:cs="TimesNewRomanPSMT"/>
        </w:rPr>
        <w:t xml:space="preserve"> </w:t>
      </w:r>
      <w:r>
        <w:rPr>
          <w:rFonts w:ascii="TimesNewRomanPSMT" w:hAnsi="TimesNewRomanPSMT" w:cs="TimesNewRomanPSMT"/>
        </w:rPr>
        <w:t>ma che richiede di mettere sul tavolo tutte le conoscenze e l’esperienza</w:t>
      </w:r>
      <w:r w:rsidR="00264DDB">
        <w:rPr>
          <w:rFonts w:ascii="TimesNewRomanPSMT" w:hAnsi="TimesNewRomanPSMT" w:cs="TimesNewRomanPSMT"/>
        </w:rPr>
        <w:t xml:space="preserve"> </w:t>
      </w:r>
      <w:r>
        <w:rPr>
          <w:rFonts w:ascii="TimesNewRomanPSMT" w:hAnsi="TimesNewRomanPSMT" w:cs="TimesNewRomanPSMT"/>
        </w:rPr>
        <w:t>di cui lo studioso dispone. Esito della ricerca, in questo approccio,</w:t>
      </w:r>
      <w:r w:rsidR="00264DDB">
        <w:rPr>
          <w:rFonts w:ascii="TimesNewRomanPSMT" w:hAnsi="TimesNewRomanPSMT" w:cs="TimesNewRomanPSMT"/>
        </w:rPr>
        <w:t xml:space="preserve"> </w:t>
      </w:r>
      <w:r>
        <w:rPr>
          <w:rFonts w:ascii="TimesNewRomanPSMT" w:hAnsi="TimesNewRomanPSMT" w:cs="TimesNewRomanPSMT"/>
        </w:rPr>
        <w:t>prevedrà la messa a sistema delle ipotesi e della struttura dei legami tra</w:t>
      </w:r>
      <w:r w:rsidR="00264DDB">
        <w:rPr>
          <w:rFonts w:ascii="TimesNewRomanPSMT" w:hAnsi="TimesNewRomanPSMT" w:cs="TimesNewRomanPSMT"/>
        </w:rPr>
        <w:t xml:space="preserve"> </w:t>
      </w:r>
      <w:r>
        <w:rPr>
          <w:rFonts w:ascii="TimesNewRomanPSMT" w:hAnsi="TimesNewRomanPSMT" w:cs="TimesNewRomanPSMT"/>
        </w:rPr>
        <w:t>variabili, modalità e andamenti rilevabili. Dunque, due modalità differenti</w:t>
      </w:r>
      <w:r w:rsidR="00264DDB">
        <w:rPr>
          <w:rFonts w:ascii="TimesNewRomanPSMT" w:hAnsi="TimesNewRomanPSMT" w:cs="TimesNewRomanPSMT"/>
        </w:rPr>
        <w:t xml:space="preserve"> </w:t>
      </w:r>
      <w:r>
        <w:rPr>
          <w:rFonts w:ascii="TimesNewRomanPSMT" w:hAnsi="TimesNewRomanPSMT" w:cs="TimesNewRomanPSMT"/>
        </w:rPr>
        <w:t>di concepire l’intero disegno di ricerca e le domande conoscitive che possono</w:t>
      </w:r>
      <w:r w:rsidR="00264DDB">
        <w:rPr>
          <w:rFonts w:ascii="TimesNewRomanPSMT" w:hAnsi="TimesNewRomanPSMT" w:cs="TimesNewRomanPSMT"/>
        </w:rPr>
        <w:t xml:space="preserve"> </w:t>
      </w:r>
      <w:r>
        <w:rPr>
          <w:rFonts w:ascii="TimesNewRomanPSMT" w:hAnsi="TimesNewRomanPSMT" w:cs="TimesNewRomanPSMT"/>
        </w:rPr>
        <w:t>generarlo, tra necessità di esplorazione e bisogno di strutturazione.</w:t>
      </w:r>
      <w:r w:rsidR="00264DDB">
        <w:rPr>
          <w:rFonts w:ascii="TimesNewRomanPSMT" w:hAnsi="TimesNewRomanPSMT" w:cs="TimesNewRomanPSMT"/>
        </w:rPr>
        <w:t xml:space="preserve"> </w:t>
      </w:r>
    </w:p>
    <w:p w:rsidR="000A6B1C" w:rsidRDefault="00D30A6E" w:rsidP="00D30A6E">
      <w:pPr>
        <w:autoSpaceDE w:val="0"/>
        <w:autoSpaceDN w:val="0"/>
        <w:adjustRightInd w:val="0"/>
        <w:spacing w:after="0" w:line="240" w:lineRule="auto"/>
        <w:rPr>
          <w:rFonts w:ascii="TimesNewRomanPSMT" w:hAnsi="TimesNewRomanPSMT" w:cs="TimesNewRomanPSMT"/>
        </w:rPr>
      </w:pPr>
      <w:r>
        <w:rPr>
          <w:rFonts w:ascii="TimesNewRomanPSMT" w:hAnsi="TimesNewRomanPSMT" w:cs="TimesNewRomanPSMT"/>
        </w:rPr>
        <w:t>L’ultima distinzione, che verrà largamente trattata nei capitoli che seguono,</w:t>
      </w:r>
      <w:r w:rsidR="00264DDB">
        <w:rPr>
          <w:rFonts w:ascii="TimesNewRomanPSMT" w:hAnsi="TimesNewRomanPSMT" w:cs="TimesNewRomanPSMT"/>
        </w:rPr>
        <w:t xml:space="preserve"> </w:t>
      </w:r>
      <w:r>
        <w:rPr>
          <w:rFonts w:ascii="TimesNewRomanPSMT" w:hAnsi="TimesNewRomanPSMT" w:cs="TimesNewRomanPSMT"/>
        </w:rPr>
        <w:t xml:space="preserve">ha a che fare con le </w:t>
      </w:r>
      <w:r>
        <w:rPr>
          <w:rFonts w:ascii="Times New Roman" w:hAnsi="Times New Roman" w:cs="Times New Roman"/>
          <w:i/>
          <w:iCs/>
        </w:rPr>
        <w:t xml:space="preserve">variabili tempo e spazio </w:t>
      </w:r>
      <w:r>
        <w:rPr>
          <w:rFonts w:ascii="TimesNewRomanPSMT" w:hAnsi="TimesNewRomanPSMT" w:cs="TimesNewRomanPSMT"/>
        </w:rPr>
        <w:t>portandoci a distinguere</w:t>
      </w:r>
      <w:r w:rsidR="00264DDB">
        <w:rPr>
          <w:rFonts w:ascii="TimesNewRomanPSMT" w:hAnsi="TimesNewRomanPSMT" w:cs="TimesNewRomanPSMT"/>
        </w:rPr>
        <w:t xml:space="preserve"> </w:t>
      </w:r>
      <w:r>
        <w:rPr>
          <w:rFonts w:ascii="TimesNewRomanPSMT" w:hAnsi="TimesNewRomanPSMT" w:cs="TimesNewRomanPSMT"/>
        </w:rPr>
        <w:t>i differenti disegni di ricerca tra longitudinali o diacronici e trasversali o</w:t>
      </w:r>
      <w:r w:rsidR="00264DDB">
        <w:rPr>
          <w:rFonts w:ascii="TimesNewRomanPSMT" w:hAnsi="TimesNewRomanPSMT" w:cs="TimesNewRomanPSMT"/>
        </w:rPr>
        <w:t xml:space="preserve"> </w:t>
      </w:r>
      <w:r>
        <w:rPr>
          <w:rFonts w:ascii="TimesNewRomanPSMT" w:hAnsi="TimesNewRomanPSMT" w:cs="TimesNewRomanPSMT"/>
        </w:rPr>
        <w:t>sincronici. A questa è dedicato l’intero capitolo a seguire.</w:t>
      </w:r>
    </w:p>
    <w:p w:rsidR="00264DDB" w:rsidRDefault="00264DDB" w:rsidP="00D30A6E">
      <w:pPr>
        <w:autoSpaceDE w:val="0"/>
        <w:autoSpaceDN w:val="0"/>
        <w:adjustRightInd w:val="0"/>
        <w:spacing w:after="0" w:line="240" w:lineRule="auto"/>
        <w:rPr>
          <w:rFonts w:ascii="Times New Roman" w:hAnsi="Times New Roman" w:cs="Times New Roman"/>
          <w:i/>
          <w:iCs/>
          <w:sz w:val="32"/>
          <w:szCs w:val="32"/>
        </w:rPr>
      </w:pPr>
      <w:r>
        <w:rPr>
          <w:rFonts w:ascii="Times New Roman" w:hAnsi="Times New Roman" w:cs="Times New Roman"/>
          <w:i/>
          <w:iCs/>
          <w:sz w:val="32"/>
          <w:szCs w:val="32"/>
        </w:rPr>
        <w:t>Riferimenti bibliografici</w:t>
      </w:r>
    </w:p>
    <w:p w:rsidR="004A589E" w:rsidRDefault="004A589E" w:rsidP="004A589E">
      <w:pPr>
        <w:autoSpaceDE w:val="0"/>
        <w:autoSpaceDN w:val="0"/>
        <w:adjustRightInd w:val="0"/>
        <w:spacing w:after="0" w:line="240" w:lineRule="auto"/>
        <w:rPr>
          <w:rFonts w:ascii="TimesNewRomanPSMT" w:hAnsi="TimesNewRomanPSMT" w:cs="TimesNewRomanPSMT"/>
          <w:sz w:val="20"/>
          <w:szCs w:val="20"/>
        </w:rPr>
      </w:pPr>
      <w:proofErr w:type="spellStart"/>
      <w:r>
        <w:rPr>
          <w:rFonts w:ascii="TimesNewRomanPSMT" w:hAnsi="TimesNewRomanPSMT" w:cs="TimesNewRomanPSMT"/>
          <w:sz w:val="20"/>
          <w:szCs w:val="20"/>
        </w:rPr>
        <w:t>Amaturo</w:t>
      </w:r>
      <w:proofErr w:type="spellEnd"/>
      <w:r>
        <w:rPr>
          <w:rFonts w:ascii="TimesNewRomanPSMT" w:hAnsi="TimesNewRomanPSMT" w:cs="TimesNewRomanPSMT"/>
          <w:sz w:val="20"/>
          <w:szCs w:val="20"/>
        </w:rPr>
        <w:t xml:space="preserve"> E., Aragona B. (2012), “La costruzione della documentazione empirica”, in </w:t>
      </w:r>
      <w:proofErr w:type="spellStart"/>
      <w:r>
        <w:rPr>
          <w:rFonts w:ascii="TimesNewRomanPSMT" w:hAnsi="TimesNewRomanPSMT" w:cs="TimesNewRomanPSMT"/>
          <w:sz w:val="20"/>
          <w:szCs w:val="20"/>
        </w:rPr>
        <w:t>Amaturo</w:t>
      </w:r>
      <w:proofErr w:type="spellEnd"/>
      <w:r>
        <w:rPr>
          <w:rFonts w:ascii="TimesNewRomanPSMT" w:hAnsi="TimesNewRomanPSMT" w:cs="TimesNewRomanPSMT"/>
          <w:sz w:val="20"/>
          <w:szCs w:val="20"/>
        </w:rPr>
        <w:t xml:space="preserve"> E., </w:t>
      </w:r>
      <w:r>
        <w:rPr>
          <w:rFonts w:ascii="Times New Roman" w:hAnsi="Times New Roman" w:cs="Times New Roman"/>
          <w:i/>
          <w:iCs/>
          <w:sz w:val="20"/>
          <w:szCs w:val="20"/>
        </w:rPr>
        <w:t>Metodologia della ricerca sociale</w:t>
      </w:r>
      <w:r>
        <w:rPr>
          <w:rFonts w:ascii="TimesNewRomanPSMT" w:hAnsi="TimesNewRomanPSMT" w:cs="TimesNewRomanPSMT"/>
          <w:sz w:val="20"/>
          <w:szCs w:val="20"/>
        </w:rPr>
        <w:t>, Utet, Torino, pp. 156-172.</w:t>
      </w:r>
    </w:p>
    <w:p w:rsidR="00264DDB" w:rsidRDefault="00264DDB" w:rsidP="004A589E">
      <w:pPr>
        <w:autoSpaceDE w:val="0"/>
        <w:autoSpaceDN w:val="0"/>
        <w:adjustRightInd w:val="0"/>
        <w:spacing w:after="0" w:line="240" w:lineRule="auto"/>
        <w:rPr>
          <w:rFonts w:ascii="TimesNewRomanPSMT" w:hAnsi="TimesNewRomanPSMT" w:cs="TimesNewRomanPSMT"/>
          <w:sz w:val="20"/>
          <w:szCs w:val="20"/>
        </w:rPr>
      </w:pPr>
      <w:proofErr w:type="spellStart"/>
      <w:r>
        <w:rPr>
          <w:rFonts w:ascii="TimesNewRomanPSMT" w:hAnsi="TimesNewRomanPSMT" w:cs="TimesNewRomanPSMT"/>
          <w:sz w:val="20"/>
          <w:szCs w:val="20"/>
        </w:rPr>
        <w:t>Amaturo</w:t>
      </w:r>
      <w:proofErr w:type="spellEnd"/>
      <w:r>
        <w:rPr>
          <w:rFonts w:ascii="TimesNewRomanPSMT" w:hAnsi="TimesNewRomanPSMT" w:cs="TimesNewRomanPSMT"/>
          <w:sz w:val="20"/>
          <w:szCs w:val="20"/>
        </w:rPr>
        <w:t xml:space="preserve"> E., Caputo A., (2012), “Gli obiettivi e la struttura della ricerca”, in </w:t>
      </w:r>
      <w:proofErr w:type="spellStart"/>
      <w:r>
        <w:rPr>
          <w:rFonts w:ascii="TimesNewRomanPSMT" w:hAnsi="TimesNewRomanPSMT" w:cs="TimesNewRomanPSMT"/>
          <w:sz w:val="20"/>
          <w:szCs w:val="20"/>
        </w:rPr>
        <w:t>Amaturo</w:t>
      </w:r>
      <w:proofErr w:type="spellEnd"/>
      <w:r>
        <w:rPr>
          <w:rFonts w:ascii="TimesNewRomanPSMT" w:hAnsi="TimesNewRomanPSMT" w:cs="TimesNewRomanPSMT"/>
          <w:sz w:val="20"/>
          <w:szCs w:val="20"/>
        </w:rPr>
        <w:t xml:space="preserve"> E., </w:t>
      </w:r>
      <w:r>
        <w:rPr>
          <w:rFonts w:ascii="Times New Roman" w:hAnsi="Times New Roman" w:cs="Times New Roman"/>
          <w:i/>
          <w:iCs/>
          <w:sz w:val="20"/>
          <w:szCs w:val="20"/>
        </w:rPr>
        <w:t>Metodologia della ricerca sociale</w:t>
      </w:r>
      <w:r>
        <w:rPr>
          <w:rFonts w:ascii="TimesNewRomanPSMT" w:hAnsi="TimesNewRomanPSMT" w:cs="TimesNewRomanPSMT"/>
          <w:sz w:val="20"/>
          <w:szCs w:val="20"/>
        </w:rPr>
        <w:t xml:space="preserve">, Utet, Torino, pp. 63-104. </w:t>
      </w:r>
    </w:p>
    <w:p w:rsidR="002347E8" w:rsidRDefault="002347E8" w:rsidP="002347E8">
      <w:pPr>
        <w:autoSpaceDE w:val="0"/>
        <w:autoSpaceDN w:val="0"/>
        <w:adjustRightInd w:val="0"/>
        <w:spacing w:after="0" w:line="240" w:lineRule="auto"/>
        <w:rPr>
          <w:rFonts w:ascii="TimesNewRomanPSMT" w:hAnsi="TimesNewRomanPSMT" w:cs="TimesNewRomanPSMT"/>
          <w:sz w:val="20"/>
          <w:szCs w:val="20"/>
        </w:rPr>
      </w:pPr>
      <w:proofErr w:type="spellStart"/>
      <w:r>
        <w:rPr>
          <w:rFonts w:ascii="TimesNewRomanPSMT" w:hAnsi="TimesNewRomanPSMT" w:cs="TimesNewRomanPSMT"/>
          <w:sz w:val="20"/>
          <w:szCs w:val="20"/>
        </w:rPr>
        <w:t>Amaturo</w:t>
      </w:r>
      <w:proofErr w:type="spellEnd"/>
      <w:r>
        <w:rPr>
          <w:rFonts w:ascii="TimesNewRomanPSMT" w:hAnsi="TimesNewRomanPSMT" w:cs="TimesNewRomanPSMT"/>
          <w:sz w:val="20"/>
          <w:szCs w:val="20"/>
        </w:rPr>
        <w:t xml:space="preserve"> E., Caputo A., </w:t>
      </w:r>
      <w:proofErr w:type="spellStart"/>
      <w:r>
        <w:rPr>
          <w:rFonts w:ascii="TimesNewRomanPSMT" w:hAnsi="TimesNewRomanPSMT" w:cs="TimesNewRomanPSMT"/>
          <w:sz w:val="20"/>
          <w:szCs w:val="20"/>
        </w:rPr>
        <w:t>Sommonte</w:t>
      </w:r>
      <w:proofErr w:type="spellEnd"/>
      <w:r>
        <w:rPr>
          <w:rFonts w:ascii="TimesNewRomanPSMT" w:hAnsi="TimesNewRomanPSMT" w:cs="TimesNewRomanPSMT"/>
          <w:sz w:val="20"/>
          <w:szCs w:val="20"/>
        </w:rPr>
        <w:t xml:space="preserve"> G. (2012), “Interrogare nell’approccio standard: l’inchiesta campionaria”, in </w:t>
      </w:r>
      <w:proofErr w:type="spellStart"/>
      <w:r>
        <w:rPr>
          <w:rFonts w:ascii="TimesNewRomanPSMT" w:hAnsi="TimesNewRomanPSMT" w:cs="TimesNewRomanPSMT"/>
          <w:sz w:val="20"/>
          <w:szCs w:val="20"/>
        </w:rPr>
        <w:t>Amaturo</w:t>
      </w:r>
      <w:proofErr w:type="spellEnd"/>
      <w:r>
        <w:rPr>
          <w:rFonts w:ascii="TimesNewRomanPSMT" w:hAnsi="TimesNewRomanPSMT" w:cs="TimesNewRomanPSMT"/>
          <w:sz w:val="20"/>
          <w:szCs w:val="20"/>
        </w:rPr>
        <w:t xml:space="preserve"> E., </w:t>
      </w:r>
      <w:r>
        <w:rPr>
          <w:rFonts w:ascii="Times New Roman" w:hAnsi="Times New Roman" w:cs="Times New Roman"/>
          <w:i/>
          <w:iCs/>
          <w:sz w:val="20"/>
          <w:szCs w:val="20"/>
        </w:rPr>
        <w:t>Metodologia della ricerca sociale</w:t>
      </w:r>
      <w:r>
        <w:rPr>
          <w:rFonts w:ascii="TimesNewRomanPSMT" w:hAnsi="TimesNewRomanPSMT" w:cs="TimesNewRomanPSMT"/>
          <w:sz w:val="20"/>
          <w:szCs w:val="20"/>
        </w:rPr>
        <w:t>, Utet, Torino, pp. 206-227.</w:t>
      </w:r>
    </w:p>
    <w:p w:rsidR="006C3798" w:rsidRDefault="006C3798" w:rsidP="006C3798">
      <w:pPr>
        <w:autoSpaceDE w:val="0"/>
        <w:autoSpaceDN w:val="0"/>
        <w:adjustRightInd w:val="0"/>
        <w:spacing w:after="0" w:line="240" w:lineRule="auto"/>
        <w:rPr>
          <w:rFonts w:ascii="TimesNewRomanPSMT" w:hAnsi="TimesNewRomanPSMT" w:cs="TimesNewRomanPSMT"/>
          <w:sz w:val="20"/>
          <w:szCs w:val="20"/>
        </w:rPr>
      </w:pPr>
      <w:proofErr w:type="spellStart"/>
      <w:r>
        <w:rPr>
          <w:rFonts w:ascii="TimesNewRomanPSMT" w:hAnsi="TimesNewRomanPSMT" w:cs="TimesNewRomanPSMT"/>
          <w:sz w:val="20"/>
          <w:szCs w:val="20"/>
        </w:rPr>
        <w:t>Amaturo</w:t>
      </w:r>
      <w:proofErr w:type="spellEnd"/>
      <w:r>
        <w:rPr>
          <w:rFonts w:ascii="TimesNewRomanPSMT" w:hAnsi="TimesNewRomanPSMT" w:cs="TimesNewRomanPSMT"/>
          <w:sz w:val="20"/>
          <w:szCs w:val="20"/>
        </w:rPr>
        <w:t xml:space="preserve"> E., Punziano G. (2016), </w:t>
      </w:r>
      <w:r>
        <w:rPr>
          <w:rFonts w:ascii="Times New Roman" w:hAnsi="Times New Roman" w:cs="Times New Roman"/>
          <w:i/>
          <w:iCs/>
          <w:sz w:val="20"/>
          <w:szCs w:val="20"/>
        </w:rPr>
        <w:t>I Mixed Methods nella Ricerca Sociale</w:t>
      </w:r>
      <w:r>
        <w:rPr>
          <w:rFonts w:ascii="TimesNewRomanPSMT" w:hAnsi="TimesNewRomanPSMT" w:cs="TimesNewRomanPSMT"/>
          <w:sz w:val="20"/>
          <w:szCs w:val="20"/>
        </w:rPr>
        <w:t>, Carocci Editore, Roma.</w:t>
      </w:r>
    </w:p>
    <w:p w:rsidR="006C3798" w:rsidRDefault="006C3798" w:rsidP="006C3798">
      <w:pPr>
        <w:autoSpaceDE w:val="0"/>
        <w:autoSpaceDN w:val="0"/>
        <w:adjustRightInd w:val="0"/>
        <w:spacing w:after="0" w:line="240" w:lineRule="auto"/>
        <w:rPr>
          <w:rFonts w:ascii="TimesNewRomanPSMT" w:hAnsi="TimesNewRomanPSMT" w:cs="TimesNewRomanPSMT"/>
          <w:sz w:val="20"/>
          <w:szCs w:val="20"/>
        </w:rPr>
      </w:pPr>
      <w:r>
        <w:rPr>
          <w:rFonts w:ascii="TimesNewRomanPSMT" w:hAnsi="TimesNewRomanPSMT" w:cs="TimesNewRomanPSMT"/>
          <w:sz w:val="20"/>
          <w:szCs w:val="20"/>
        </w:rPr>
        <w:t xml:space="preserve">de Lillo A., Cipolla C., </w:t>
      </w:r>
      <w:proofErr w:type="spellStart"/>
      <w:r>
        <w:rPr>
          <w:rFonts w:ascii="TimesNewRomanPSMT" w:hAnsi="TimesNewRomanPSMT" w:cs="TimesNewRomanPSMT"/>
          <w:sz w:val="20"/>
          <w:szCs w:val="20"/>
        </w:rPr>
        <w:t>Ruspini</w:t>
      </w:r>
      <w:proofErr w:type="spellEnd"/>
      <w:r>
        <w:rPr>
          <w:rFonts w:ascii="TimesNewRomanPSMT" w:hAnsi="TimesNewRomanPSMT" w:cs="TimesNewRomanPSMT"/>
          <w:sz w:val="20"/>
          <w:szCs w:val="20"/>
        </w:rPr>
        <w:t xml:space="preserve"> E. (2012), </w:t>
      </w:r>
      <w:r>
        <w:rPr>
          <w:rFonts w:ascii="Times New Roman" w:hAnsi="Times New Roman" w:cs="Times New Roman"/>
          <w:i/>
          <w:iCs/>
          <w:sz w:val="20"/>
          <w:szCs w:val="20"/>
        </w:rPr>
        <w:t xml:space="preserve">Il sociologo, le sirene e le pratiche </w:t>
      </w:r>
      <w:proofErr w:type="spellStart"/>
      <w:r>
        <w:rPr>
          <w:rFonts w:ascii="Times New Roman" w:hAnsi="Times New Roman" w:cs="Times New Roman"/>
          <w:i/>
          <w:iCs/>
          <w:sz w:val="20"/>
          <w:szCs w:val="20"/>
        </w:rPr>
        <w:t>diintegrazione</w:t>
      </w:r>
      <w:proofErr w:type="spellEnd"/>
      <w:r>
        <w:rPr>
          <w:rFonts w:ascii="TimesNewRomanPSMT" w:hAnsi="TimesNewRomanPSMT" w:cs="TimesNewRomanPSMT"/>
          <w:sz w:val="20"/>
          <w:szCs w:val="20"/>
        </w:rPr>
        <w:t>, Franco Angeli, Milano.</w:t>
      </w:r>
    </w:p>
    <w:p w:rsidR="006C3798" w:rsidRDefault="006C3798" w:rsidP="006C3798">
      <w:pPr>
        <w:autoSpaceDE w:val="0"/>
        <w:autoSpaceDN w:val="0"/>
        <w:adjustRightInd w:val="0"/>
        <w:spacing w:after="0" w:line="240" w:lineRule="auto"/>
        <w:rPr>
          <w:rFonts w:ascii="TimesNewRomanPSMT" w:hAnsi="TimesNewRomanPSMT" w:cs="TimesNewRomanPSMT"/>
          <w:sz w:val="20"/>
          <w:szCs w:val="20"/>
          <w:lang w:val="en-US"/>
        </w:rPr>
      </w:pPr>
      <w:proofErr w:type="spellStart"/>
      <w:r w:rsidRPr="006C3798">
        <w:rPr>
          <w:rFonts w:ascii="TimesNewRomanPSMT" w:hAnsi="TimesNewRomanPSMT" w:cs="TimesNewRomanPSMT"/>
          <w:sz w:val="20"/>
          <w:szCs w:val="20"/>
          <w:lang w:val="en-US"/>
        </w:rPr>
        <w:t>Cresswell</w:t>
      </w:r>
      <w:proofErr w:type="spellEnd"/>
      <w:r w:rsidRPr="006C3798">
        <w:rPr>
          <w:rFonts w:ascii="TimesNewRomanPSMT" w:hAnsi="TimesNewRomanPSMT" w:cs="TimesNewRomanPSMT"/>
          <w:sz w:val="20"/>
          <w:szCs w:val="20"/>
          <w:lang w:val="en-US"/>
        </w:rPr>
        <w:t xml:space="preserve"> J.W. (2003), </w:t>
      </w:r>
      <w:r w:rsidRPr="006C3798">
        <w:rPr>
          <w:rFonts w:ascii="Times New Roman" w:hAnsi="Times New Roman" w:cs="Times New Roman"/>
          <w:i/>
          <w:iCs/>
          <w:sz w:val="20"/>
          <w:szCs w:val="20"/>
          <w:lang w:val="en-US"/>
        </w:rPr>
        <w:t>Research Design: Qualitative, Quantitative and Mixed</w:t>
      </w:r>
      <w:r>
        <w:rPr>
          <w:rFonts w:ascii="Times New Roman" w:hAnsi="Times New Roman" w:cs="Times New Roman"/>
          <w:i/>
          <w:iCs/>
          <w:sz w:val="20"/>
          <w:szCs w:val="20"/>
          <w:lang w:val="en-US"/>
        </w:rPr>
        <w:t xml:space="preserve"> </w:t>
      </w:r>
      <w:r w:rsidRPr="006C3798">
        <w:rPr>
          <w:rFonts w:ascii="Times New Roman" w:hAnsi="Times New Roman" w:cs="Times New Roman"/>
          <w:i/>
          <w:iCs/>
          <w:sz w:val="20"/>
          <w:szCs w:val="20"/>
          <w:lang w:val="en-US"/>
        </w:rPr>
        <w:t>Method Approaches</w:t>
      </w:r>
      <w:r w:rsidRPr="006C3798">
        <w:rPr>
          <w:rFonts w:ascii="TimesNewRomanPSMT" w:hAnsi="TimesNewRomanPSMT" w:cs="TimesNewRomanPSMT"/>
          <w:sz w:val="20"/>
          <w:szCs w:val="20"/>
          <w:lang w:val="en-US"/>
        </w:rPr>
        <w:t>, Sage, London.</w:t>
      </w:r>
    </w:p>
    <w:p w:rsidR="002347E8" w:rsidRPr="002347E8" w:rsidRDefault="002347E8" w:rsidP="002347E8">
      <w:pPr>
        <w:autoSpaceDE w:val="0"/>
        <w:autoSpaceDN w:val="0"/>
        <w:adjustRightInd w:val="0"/>
        <w:spacing w:after="0" w:line="240" w:lineRule="auto"/>
        <w:rPr>
          <w:rFonts w:ascii="TimesNewRomanPSMT" w:hAnsi="TimesNewRomanPSMT" w:cs="TimesNewRomanPSMT"/>
          <w:sz w:val="20"/>
          <w:szCs w:val="20"/>
        </w:rPr>
      </w:pPr>
      <w:r>
        <w:rPr>
          <w:rFonts w:ascii="TimesNewRomanPSMT" w:hAnsi="TimesNewRomanPSMT" w:cs="TimesNewRomanPSMT"/>
          <w:sz w:val="20"/>
          <w:szCs w:val="20"/>
        </w:rPr>
        <w:t xml:space="preserve">Di Franco G. (2005), </w:t>
      </w:r>
      <w:r>
        <w:rPr>
          <w:rFonts w:ascii="Times New Roman" w:hAnsi="Times New Roman" w:cs="Times New Roman"/>
          <w:i/>
          <w:iCs/>
          <w:sz w:val="20"/>
          <w:szCs w:val="20"/>
        </w:rPr>
        <w:t>EDS: Esplorare, descrivere e sintetizzare i dati</w:t>
      </w:r>
      <w:r>
        <w:rPr>
          <w:rFonts w:ascii="TimesNewRomanPSMT" w:hAnsi="TimesNewRomanPSMT" w:cs="TimesNewRomanPSMT"/>
          <w:sz w:val="20"/>
          <w:szCs w:val="20"/>
        </w:rPr>
        <w:t>, Franco Angeli, Milano.</w:t>
      </w:r>
    </w:p>
    <w:p w:rsidR="006C3798" w:rsidRDefault="006C3798" w:rsidP="006C3798">
      <w:pPr>
        <w:autoSpaceDE w:val="0"/>
        <w:autoSpaceDN w:val="0"/>
        <w:adjustRightInd w:val="0"/>
        <w:spacing w:after="0" w:line="240" w:lineRule="auto"/>
        <w:rPr>
          <w:rFonts w:ascii="TimesNewRomanPSMT" w:hAnsi="TimesNewRomanPSMT" w:cs="TimesNewRomanPSMT"/>
          <w:sz w:val="20"/>
          <w:szCs w:val="20"/>
        </w:rPr>
      </w:pPr>
      <w:r>
        <w:rPr>
          <w:rFonts w:ascii="TimesNewRomanPSMT" w:hAnsi="TimesNewRomanPSMT" w:cs="TimesNewRomanPSMT"/>
          <w:sz w:val="20"/>
          <w:szCs w:val="20"/>
        </w:rPr>
        <w:t xml:space="preserve">Gambardella D. (2012a), “Il percorso della ricerca”, in </w:t>
      </w:r>
      <w:proofErr w:type="spellStart"/>
      <w:r>
        <w:rPr>
          <w:rFonts w:ascii="TimesNewRomanPSMT" w:hAnsi="TimesNewRomanPSMT" w:cs="TimesNewRomanPSMT"/>
          <w:sz w:val="20"/>
          <w:szCs w:val="20"/>
        </w:rPr>
        <w:t>Amaturo</w:t>
      </w:r>
      <w:proofErr w:type="spellEnd"/>
      <w:r>
        <w:rPr>
          <w:rFonts w:ascii="TimesNewRomanPSMT" w:hAnsi="TimesNewRomanPSMT" w:cs="TimesNewRomanPSMT"/>
          <w:sz w:val="20"/>
          <w:szCs w:val="20"/>
        </w:rPr>
        <w:t xml:space="preserve"> E. (a cura di), </w:t>
      </w:r>
      <w:proofErr w:type="spellStart"/>
      <w:r>
        <w:rPr>
          <w:rFonts w:ascii="Times New Roman" w:hAnsi="Times New Roman" w:cs="Times New Roman"/>
          <w:i/>
          <w:iCs/>
          <w:sz w:val="20"/>
          <w:szCs w:val="20"/>
        </w:rPr>
        <w:t>Metodologiadella</w:t>
      </w:r>
      <w:proofErr w:type="spellEnd"/>
      <w:r>
        <w:rPr>
          <w:rFonts w:ascii="Times New Roman" w:hAnsi="Times New Roman" w:cs="Times New Roman"/>
          <w:i/>
          <w:iCs/>
          <w:sz w:val="20"/>
          <w:szCs w:val="20"/>
        </w:rPr>
        <w:t xml:space="preserve"> ricerca sociale</w:t>
      </w:r>
      <w:r>
        <w:rPr>
          <w:rFonts w:ascii="TimesNewRomanPSMT" w:hAnsi="TimesNewRomanPSMT" w:cs="TimesNewRomanPSMT"/>
          <w:sz w:val="20"/>
          <w:szCs w:val="20"/>
        </w:rPr>
        <w:t>, Utet, Torino, pp. 3-21.</w:t>
      </w:r>
    </w:p>
    <w:p w:rsidR="006C3798" w:rsidRPr="006C3798" w:rsidRDefault="006C3798" w:rsidP="006C3798">
      <w:pPr>
        <w:autoSpaceDE w:val="0"/>
        <w:autoSpaceDN w:val="0"/>
        <w:adjustRightInd w:val="0"/>
        <w:spacing w:after="0" w:line="240" w:lineRule="auto"/>
      </w:pPr>
      <w:r>
        <w:t>Marradi A. (1987</w:t>
      </w:r>
      <w:r w:rsidRPr="006C3798">
        <w:t xml:space="preserve">), </w:t>
      </w:r>
      <w:r w:rsidRPr="006C3798">
        <w:rPr>
          <w:i/>
          <w:iCs/>
        </w:rPr>
        <w:t>Concetti e metodo per la ricerca sociale</w:t>
      </w:r>
      <w:r w:rsidRPr="006C3798">
        <w:t>, Giuntina, Firenze.</w:t>
      </w:r>
    </w:p>
    <w:p w:rsidR="00264DDB" w:rsidRDefault="006C3798" w:rsidP="006C3798">
      <w:pPr>
        <w:autoSpaceDE w:val="0"/>
        <w:autoSpaceDN w:val="0"/>
        <w:adjustRightInd w:val="0"/>
        <w:spacing w:after="0" w:line="240" w:lineRule="auto"/>
      </w:pPr>
      <w:r w:rsidRPr="006C3798">
        <w:t xml:space="preserve">ID. (2007), </w:t>
      </w:r>
      <w:r w:rsidRPr="006C3798">
        <w:rPr>
          <w:i/>
          <w:iCs/>
        </w:rPr>
        <w:t>Metodologia delle scienze sociali</w:t>
      </w:r>
      <w:r w:rsidRPr="006C3798">
        <w:t>, Il Mulino, Bologna.</w:t>
      </w:r>
    </w:p>
    <w:p w:rsidR="00273F55" w:rsidRDefault="00273F55" w:rsidP="00273F55">
      <w:pPr>
        <w:autoSpaceDE w:val="0"/>
        <w:autoSpaceDN w:val="0"/>
        <w:adjustRightInd w:val="0"/>
        <w:spacing w:after="0" w:line="240" w:lineRule="auto"/>
      </w:pPr>
      <w:r w:rsidRPr="00273F55">
        <w:rPr>
          <w:rFonts w:ascii="TimesNewRomanPSMT" w:hAnsi="TimesNewRomanPSMT" w:cs="TimesNewRomanPSMT"/>
          <w:sz w:val="20"/>
          <w:szCs w:val="20"/>
        </w:rPr>
        <w:lastRenderedPageBreak/>
        <w:t xml:space="preserve">Punziano G. (2012), “Mixed Methods as </w:t>
      </w:r>
      <w:proofErr w:type="spellStart"/>
      <w:r w:rsidRPr="00273F55">
        <w:rPr>
          <w:rFonts w:ascii="TimesNewRomanPSMT" w:hAnsi="TimesNewRomanPSMT" w:cs="TimesNewRomanPSMT"/>
          <w:sz w:val="20"/>
          <w:szCs w:val="20"/>
        </w:rPr>
        <w:t>mirror</w:t>
      </w:r>
      <w:proofErr w:type="spellEnd"/>
      <w:r w:rsidRPr="00273F55">
        <w:rPr>
          <w:rFonts w:ascii="TimesNewRomanPSMT" w:hAnsi="TimesNewRomanPSMT" w:cs="TimesNewRomanPSMT"/>
          <w:sz w:val="20"/>
          <w:szCs w:val="20"/>
        </w:rPr>
        <w:t xml:space="preserve"> of Social Research”, in Cipolla C., </w:t>
      </w:r>
      <w:r>
        <w:rPr>
          <w:rFonts w:ascii="TimesNewRomanPSMT" w:hAnsi="TimesNewRomanPSMT" w:cs="TimesNewRomanPSMT"/>
          <w:sz w:val="20"/>
          <w:szCs w:val="20"/>
        </w:rPr>
        <w:t xml:space="preserve">de Lillo A., </w:t>
      </w:r>
      <w:proofErr w:type="spellStart"/>
      <w:r>
        <w:rPr>
          <w:rFonts w:ascii="TimesNewRomanPSMT" w:hAnsi="TimesNewRomanPSMT" w:cs="TimesNewRomanPSMT"/>
          <w:sz w:val="20"/>
          <w:szCs w:val="20"/>
        </w:rPr>
        <w:t>Ruspini</w:t>
      </w:r>
      <w:proofErr w:type="spellEnd"/>
      <w:r>
        <w:rPr>
          <w:rFonts w:ascii="TimesNewRomanPSMT" w:hAnsi="TimesNewRomanPSMT" w:cs="TimesNewRomanPSMT"/>
          <w:sz w:val="20"/>
          <w:szCs w:val="20"/>
        </w:rPr>
        <w:t xml:space="preserve"> E. (a cura di), </w:t>
      </w:r>
      <w:r>
        <w:rPr>
          <w:rFonts w:ascii="Times New Roman" w:hAnsi="Times New Roman" w:cs="Times New Roman"/>
          <w:i/>
          <w:iCs/>
          <w:sz w:val="20"/>
          <w:szCs w:val="20"/>
        </w:rPr>
        <w:t>Il sociologo, le sirene e le pratiche di integrazione</w:t>
      </w:r>
      <w:r>
        <w:rPr>
          <w:rFonts w:ascii="TimesNewRomanPSMT" w:hAnsi="TimesNewRomanPSMT" w:cs="TimesNewRomanPSMT"/>
          <w:sz w:val="20"/>
          <w:szCs w:val="20"/>
        </w:rPr>
        <w:t>, Franco Angeli, Milano, pp. 239-254.</w:t>
      </w:r>
    </w:p>
    <w:p w:rsidR="002320F4" w:rsidRDefault="002320F4" w:rsidP="002320F4">
      <w:pPr>
        <w:autoSpaceDE w:val="0"/>
        <w:autoSpaceDN w:val="0"/>
        <w:adjustRightInd w:val="0"/>
        <w:spacing w:after="0" w:line="240" w:lineRule="auto"/>
        <w:rPr>
          <w:rFonts w:ascii="TimesNewRomanPSMT" w:hAnsi="TimesNewRomanPSMT" w:cs="TimesNewRomanPSMT"/>
          <w:sz w:val="20"/>
          <w:szCs w:val="20"/>
          <w:lang w:val="en-US"/>
        </w:rPr>
      </w:pPr>
      <w:proofErr w:type="spellStart"/>
      <w:r w:rsidRPr="002320F4">
        <w:rPr>
          <w:rFonts w:ascii="TimesNewRomanPSMT" w:hAnsi="TimesNewRomanPSMT" w:cs="TimesNewRomanPSMT"/>
          <w:sz w:val="20"/>
          <w:szCs w:val="20"/>
          <w:lang w:val="en-US"/>
        </w:rPr>
        <w:t>Tashakkori</w:t>
      </w:r>
      <w:proofErr w:type="spellEnd"/>
      <w:r w:rsidRPr="002320F4">
        <w:rPr>
          <w:rFonts w:ascii="TimesNewRomanPSMT" w:hAnsi="TimesNewRomanPSMT" w:cs="TimesNewRomanPSMT"/>
          <w:sz w:val="20"/>
          <w:szCs w:val="20"/>
          <w:lang w:val="en-US"/>
        </w:rPr>
        <w:t xml:space="preserve"> A., </w:t>
      </w:r>
      <w:proofErr w:type="spellStart"/>
      <w:r w:rsidRPr="002320F4">
        <w:rPr>
          <w:rFonts w:ascii="TimesNewRomanPSMT" w:hAnsi="TimesNewRomanPSMT" w:cs="TimesNewRomanPSMT"/>
          <w:sz w:val="20"/>
          <w:szCs w:val="20"/>
          <w:lang w:val="en-US"/>
        </w:rPr>
        <w:t>Teddlie</w:t>
      </w:r>
      <w:proofErr w:type="spellEnd"/>
      <w:r w:rsidRPr="002320F4">
        <w:rPr>
          <w:rFonts w:ascii="TimesNewRomanPSMT" w:hAnsi="TimesNewRomanPSMT" w:cs="TimesNewRomanPSMT"/>
          <w:sz w:val="20"/>
          <w:szCs w:val="20"/>
          <w:lang w:val="en-US"/>
        </w:rPr>
        <w:t xml:space="preserve"> C. (2010, 3</w:t>
      </w:r>
      <w:r w:rsidRPr="002320F4">
        <w:rPr>
          <w:rFonts w:ascii="TimesNewRomanPSMT" w:hAnsi="TimesNewRomanPSMT" w:cs="TimesNewRomanPSMT"/>
          <w:sz w:val="13"/>
          <w:szCs w:val="13"/>
          <w:lang w:val="en-US"/>
        </w:rPr>
        <w:t xml:space="preserve">rd </w:t>
      </w:r>
      <w:r w:rsidRPr="002320F4">
        <w:rPr>
          <w:rFonts w:ascii="TimesNewRomanPSMT" w:hAnsi="TimesNewRomanPSMT" w:cs="TimesNewRomanPSMT"/>
          <w:sz w:val="20"/>
          <w:szCs w:val="20"/>
          <w:lang w:val="en-US"/>
        </w:rPr>
        <w:t xml:space="preserve">ed.), </w:t>
      </w:r>
      <w:r w:rsidRPr="002320F4">
        <w:rPr>
          <w:rFonts w:ascii="Times New Roman" w:hAnsi="Times New Roman" w:cs="Times New Roman"/>
          <w:i/>
          <w:iCs/>
          <w:sz w:val="20"/>
          <w:szCs w:val="20"/>
          <w:lang w:val="en-US"/>
        </w:rPr>
        <w:t>Handbook of Mixed Methods in Social</w:t>
      </w:r>
      <w:r>
        <w:rPr>
          <w:rFonts w:ascii="Times New Roman" w:hAnsi="Times New Roman" w:cs="Times New Roman"/>
          <w:i/>
          <w:iCs/>
          <w:sz w:val="20"/>
          <w:szCs w:val="20"/>
          <w:lang w:val="en-US"/>
        </w:rPr>
        <w:t xml:space="preserve"> </w:t>
      </w:r>
      <w:r w:rsidRPr="002320F4">
        <w:rPr>
          <w:rFonts w:ascii="Times New Roman" w:hAnsi="Times New Roman" w:cs="Times New Roman"/>
          <w:i/>
          <w:iCs/>
          <w:sz w:val="20"/>
          <w:szCs w:val="20"/>
          <w:lang w:val="en-US"/>
        </w:rPr>
        <w:t>and Behavioral Research</w:t>
      </w:r>
      <w:r w:rsidRPr="002320F4">
        <w:rPr>
          <w:rFonts w:ascii="TimesNewRomanPSMT" w:hAnsi="TimesNewRomanPSMT" w:cs="TimesNewRomanPSMT"/>
          <w:sz w:val="20"/>
          <w:szCs w:val="20"/>
          <w:lang w:val="en-US"/>
        </w:rPr>
        <w:t>, Sage, London.</w:t>
      </w:r>
    </w:p>
    <w:p w:rsidR="002347E8" w:rsidRPr="002320F4" w:rsidRDefault="002347E8" w:rsidP="002347E8">
      <w:pPr>
        <w:autoSpaceDE w:val="0"/>
        <w:autoSpaceDN w:val="0"/>
        <w:adjustRightInd w:val="0"/>
        <w:spacing w:after="0" w:line="240" w:lineRule="auto"/>
        <w:rPr>
          <w:lang w:val="en-US"/>
        </w:rPr>
      </w:pPr>
      <w:r w:rsidRPr="002347E8">
        <w:rPr>
          <w:rFonts w:ascii="TimesNewRomanPSMT" w:hAnsi="TimesNewRomanPSMT" w:cs="TimesNewRomanPSMT"/>
          <w:sz w:val="20"/>
          <w:szCs w:val="20"/>
          <w:lang w:val="en-US"/>
        </w:rPr>
        <w:t xml:space="preserve">Tukey J. W. (1977), </w:t>
      </w:r>
      <w:r w:rsidRPr="002347E8">
        <w:rPr>
          <w:rFonts w:ascii="Times New Roman" w:hAnsi="Times New Roman" w:cs="Times New Roman"/>
          <w:i/>
          <w:iCs/>
          <w:sz w:val="20"/>
          <w:szCs w:val="20"/>
          <w:lang w:val="en-US"/>
        </w:rPr>
        <w:t xml:space="preserve">Exploratory data analysis. </w:t>
      </w:r>
      <w:r w:rsidRPr="00192F31">
        <w:rPr>
          <w:rFonts w:ascii="Times New Roman" w:hAnsi="Times New Roman" w:cs="Times New Roman"/>
          <w:i/>
          <w:iCs/>
          <w:sz w:val="20"/>
          <w:szCs w:val="20"/>
          <w:lang w:val="en-US"/>
        </w:rPr>
        <w:t>Reading</w:t>
      </w:r>
      <w:r w:rsidRPr="00192F31">
        <w:rPr>
          <w:rFonts w:ascii="TimesNewRomanPSMT" w:hAnsi="TimesNewRomanPSMT" w:cs="TimesNewRomanPSMT"/>
          <w:sz w:val="20"/>
          <w:szCs w:val="20"/>
          <w:lang w:val="en-US"/>
        </w:rPr>
        <w:t>, Addison-Wesley, Cambridge, MA.</w:t>
      </w:r>
    </w:p>
    <w:sectPr w:rsidR="002347E8" w:rsidRPr="002320F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6C28" w:rsidRDefault="001A6C28" w:rsidP="00D30A6E">
      <w:pPr>
        <w:spacing w:after="0" w:line="240" w:lineRule="auto"/>
      </w:pPr>
      <w:r>
        <w:separator/>
      </w:r>
    </w:p>
  </w:endnote>
  <w:endnote w:type="continuationSeparator" w:id="0">
    <w:p w:rsidR="001A6C28" w:rsidRDefault="001A6C28" w:rsidP="00D30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panose1 w:val="00000000000000000000"/>
    <w:charset w:val="00"/>
    <w:family w:val="auto"/>
    <w:notTrueType/>
    <w:pitch w:val="default"/>
    <w:sig w:usb0="00000003" w:usb1="00000000" w:usb2="00000000" w:usb3="00000000" w:csb0="00000001"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NewRomanPS-Bold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6C28" w:rsidRDefault="001A6C28" w:rsidP="00D30A6E">
      <w:pPr>
        <w:spacing w:after="0" w:line="240" w:lineRule="auto"/>
      </w:pPr>
      <w:r>
        <w:separator/>
      </w:r>
    </w:p>
  </w:footnote>
  <w:footnote w:type="continuationSeparator" w:id="0">
    <w:p w:rsidR="001A6C28" w:rsidRDefault="001A6C28" w:rsidP="00D30A6E">
      <w:pPr>
        <w:spacing w:after="0" w:line="240" w:lineRule="auto"/>
      </w:pPr>
      <w:r>
        <w:continuationSeparator/>
      </w:r>
    </w:p>
  </w:footnote>
  <w:footnote w:id="1">
    <w:p w:rsidR="00192F31" w:rsidRDefault="00192F31">
      <w:pPr>
        <w:pStyle w:val="Testonotaapidipagina"/>
      </w:pPr>
      <w:r>
        <w:rPr>
          <w:rStyle w:val="Rimandonotaapidipagina"/>
        </w:rPr>
        <w:footnoteRef/>
      </w:r>
      <w:r>
        <w:t xml:space="preserve"> Questo capitolo è tratto dal libro </w:t>
      </w:r>
      <w:r w:rsidRPr="003F7321">
        <w:rPr>
          <w:i/>
        </w:rPr>
        <w:t>La ricerca trasversale e longitudinale nelle scienze sociali</w:t>
      </w:r>
      <w:r>
        <w:t xml:space="preserve"> </w:t>
      </w:r>
      <w:r w:rsidR="003F7321">
        <w:t xml:space="preserve">scritto da Amalia Caputo, a Cristiano </w:t>
      </w:r>
      <w:proofErr w:type="spellStart"/>
      <w:r w:rsidR="003F7321">
        <w:t>Felaco</w:t>
      </w:r>
      <w:proofErr w:type="spellEnd"/>
      <w:r w:rsidR="003F7321">
        <w:t xml:space="preserve"> e Gabriella Punziano ed </w:t>
      </w:r>
      <w:r>
        <w:t xml:space="preserve">edito da Franco Angeli nel 2017. </w:t>
      </w:r>
    </w:p>
  </w:footnote>
  <w:footnote w:id="2">
    <w:p w:rsidR="00D30A6E" w:rsidRDefault="00D30A6E" w:rsidP="00D30A6E">
      <w:pPr>
        <w:autoSpaceDE w:val="0"/>
        <w:autoSpaceDN w:val="0"/>
        <w:adjustRightInd w:val="0"/>
        <w:spacing w:after="0" w:line="240" w:lineRule="auto"/>
        <w:rPr>
          <w:rFonts w:ascii="TimesNewRomanPSMT" w:hAnsi="TimesNewRomanPSMT" w:cs="TimesNewRomanPSMT"/>
          <w:sz w:val="18"/>
          <w:szCs w:val="18"/>
        </w:rPr>
      </w:pPr>
      <w:r>
        <w:rPr>
          <w:rStyle w:val="Rimandonotaapidipagina"/>
        </w:rPr>
        <w:footnoteRef/>
      </w:r>
      <w:r>
        <w:t xml:space="preserve"> </w:t>
      </w:r>
      <w:r>
        <w:rPr>
          <w:rFonts w:ascii="TimesNewRomanPSMT" w:hAnsi="TimesNewRomanPSMT" w:cs="TimesNewRomanPSMT"/>
          <w:sz w:val="18"/>
          <w:szCs w:val="18"/>
        </w:rPr>
        <w:t xml:space="preserve">In questa sede, come sarà specificato nel prossimo paragrafo, i termini </w:t>
      </w:r>
      <w:r>
        <w:rPr>
          <w:rFonts w:ascii="Times New Roman" w:hAnsi="Times New Roman" w:cs="Times New Roman"/>
          <w:i/>
          <w:iCs/>
          <w:sz w:val="18"/>
          <w:szCs w:val="18"/>
        </w:rPr>
        <w:t xml:space="preserve">standard </w:t>
      </w:r>
      <w:r>
        <w:rPr>
          <w:rFonts w:ascii="TimesNewRomanPSMT" w:hAnsi="TimesNewRomanPSMT" w:cs="TimesNewRomanPSMT"/>
          <w:sz w:val="18"/>
          <w:szCs w:val="18"/>
        </w:rPr>
        <w:t xml:space="preserve">e </w:t>
      </w:r>
      <w:r>
        <w:rPr>
          <w:rFonts w:ascii="Times New Roman" w:hAnsi="Times New Roman" w:cs="Times New Roman"/>
          <w:i/>
          <w:iCs/>
          <w:sz w:val="18"/>
          <w:szCs w:val="18"/>
        </w:rPr>
        <w:t xml:space="preserve">non standard </w:t>
      </w:r>
      <w:r>
        <w:rPr>
          <w:rFonts w:ascii="TimesNewRomanPSMT" w:hAnsi="TimesNewRomanPSMT" w:cs="TimesNewRomanPSMT"/>
          <w:sz w:val="18"/>
          <w:szCs w:val="18"/>
        </w:rPr>
        <w:t>rimandano alla distinzione condotta da Alberto Marradi (2007) nell’ambito delle riflessioni sugli approcci di ricerca tipici delle scienze sociali.</w:t>
      </w:r>
    </w:p>
    <w:p w:rsidR="00D30A6E" w:rsidRDefault="00D30A6E">
      <w:pPr>
        <w:pStyle w:val="Testonotaapidipagina"/>
      </w:pPr>
    </w:p>
  </w:footnote>
  <w:footnote w:id="3">
    <w:p w:rsidR="00264DDB" w:rsidRDefault="00264DDB" w:rsidP="00264DDB">
      <w:pPr>
        <w:autoSpaceDE w:val="0"/>
        <w:autoSpaceDN w:val="0"/>
        <w:adjustRightInd w:val="0"/>
        <w:spacing w:after="0" w:line="240" w:lineRule="auto"/>
        <w:rPr>
          <w:rFonts w:ascii="TimesNewRomanPSMT" w:hAnsi="TimesNewRomanPSMT" w:cs="TimesNewRomanPSMT"/>
          <w:sz w:val="18"/>
          <w:szCs w:val="18"/>
        </w:rPr>
      </w:pPr>
      <w:r>
        <w:rPr>
          <w:rStyle w:val="Rimandonotaapidipagina"/>
        </w:rPr>
        <w:footnoteRef/>
      </w:r>
      <w:r>
        <w:t xml:space="preserve"> </w:t>
      </w:r>
      <w:r>
        <w:rPr>
          <w:rFonts w:ascii="TimesNewRomanPSMT" w:hAnsi="TimesNewRomanPSMT" w:cs="TimesNewRomanPSMT"/>
          <w:sz w:val="18"/>
          <w:szCs w:val="18"/>
        </w:rPr>
        <w:t>Per le specifiche relative al nuovo disegno d’indagine si consulti https://www.istat.it/it/censimenti-permanenti/popolazione-e-abitazioni</w:t>
      </w:r>
    </w:p>
    <w:p w:rsidR="00264DDB" w:rsidRDefault="00264DDB">
      <w:pPr>
        <w:pStyle w:val="Testonotaapidipagina"/>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A6E"/>
    <w:rsid w:val="000A6B1C"/>
    <w:rsid w:val="00192F31"/>
    <w:rsid w:val="001A6C28"/>
    <w:rsid w:val="002320F4"/>
    <w:rsid w:val="002347E8"/>
    <w:rsid w:val="00264DDB"/>
    <w:rsid w:val="00273F55"/>
    <w:rsid w:val="003F7321"/>
    <w:rsid w:val="004A589E"/>
    <w:rsid w:val="006C3798"/>
    <w:rsid w:val="00847EDB"/>
    <w:rsid w:val="00934D60"/>
    <w:rsid w:val="00D30A6E"/>
    <w:rsid w:val="00E53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D30A6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D30A6E"/>
    <w:rPr>
      <w:sz w:val="20"/>
      <w:szCs w:val="20"/>
    </w:rPr>
  </w:style>
  <w:style w:type="character" w:styleId="Rimandonotaapidipagina">
    <w:name w:val="footnote reference"/>
    <w:basedOn w:val="Carpredefinitoparagrafo"/>
    <w:uiPriority w:val="99"/>
    <w:semiHidden/>
    <w:unhideWhenUsed/>
    <w:rsid w:val="00D30A6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D30A6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D30A6E"/>
    <w:rPr>
      <w:sz w:val="20"/>
      <w:szCs w:val="20"/>
    </w:rPr>
  </w:style>
  <w:style w:type="character" w:styleId="Rimandonotaapidipagina">
    <w:name w:val="footnote reference"/>
    <w:basedOn w:val="Carpredefinitoparagrafo"/>
    <w:uiPriority w:val="99"/>
    <w:semiHidden/>
    <w:unhideWhenUsed/>
    <w:rsid w:val="00D30A6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48AC9-9EED-4609-95FA-A43E1C1F3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4603</Words>
  <Characters>26239</Characters>
  <Application>Microsoft Office Word</Application>
  <DocSecurity>0</DocSecurity>
  <Lines>218</Lines>
  <Paragraphs>61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saracino</dc:creator>
  <cp:lastModifiedBy>Gabriella Punziano</cp:lastModifiedBy>
  <cp:revision>2</cp:revision>
  <dcterms:created xsi:type="dcterms:W3CDTF">2018-04-20T06:54:00Z</dcterms:created>
  <dcterms:modified xsi:type="dcterms:W3CDTF">2018-04-20T06:54:00Z</dcterms:modified>
</cp:coreProperties>
</file>